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359B" w:rsidRDefault="00F6359B">
      <w:pPr>
        <w:rPr>
          <w:rtl/>
        </w:rPr>
      </w:pPr>
    </w:p>
    <w:p w:rsidR="00F635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465" inset="0,0,0,0">
              <w:txbxContent>
                <w:p w:rsidR="00F6359B" w:rsidRDefault="00F6359B">
                  <w:r>
                    <w:rPr>
                      <w:rtl/>
                    </w:rPr>
                    <w:t>150                                          ספר החוקים 255                  ט"ז בתמוז התשי"ח 04.07.1958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6" o:spid="_x0000_s1026" type="#_x0000_t202" style="position:absolute;left:0;text-align:left;margin-left:77.55pt;margin-top:488.35pt;width:413.6pt;height:45.35pt;z-index:6;mso-position-horizontal-relative:page;mso-position-vertical-relative:page" stroked="f">
            <v:textbox style="mso-next-textbox:#_x0000_s53466" inset="0,0,0,0">
              <w:txbxContent>
                <w:p w:rsidR="00F6359B" w:rsidRDefault="00F6359B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ה' בתמוז תשי"ח (23 ביוני 1058); הצעת החוק ודברי הסבר נתפרסמו בה"ח 348, תשי"ח,</w:t>
                  </w:r>
                </w:p>
                <w:p w:rsidR="00F6359B" w:rsidRDefault="00F6359B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274.</w:t>
                  </w:r>
                </w:p>
                <w:p w:rsidR="00F6359B" w:rsidRPr="00F6359B" w:rsidRDefault="00F6359B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151, תשי"ד, עמי 92; ס"ח 201, תשט"ו, עמ' 48; ס"ח  223 , תשי''ז,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7" o:spid="_x0000_s1027" type="#_x0000_t202" style="position:absolute;left:0;text-align:left;margin-left:222.7pt;margin-top:386.55pt;width:114.85pt;height:43.55pt;z-index:5;mso-position-horizontal-relative:page;mso-position-vertical-relative:page" stroked="f">
            <v:textbox style="mso-next-textbox:#_x0000_s53467" inset="0,0,0,0">
              <w:txbxContent>
                <w:p w:rsidR="00F6359B" w:rsidRDefault="00F6359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359B" w:rsidRDefault="00F6359B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8" o:spid="_x0000_s1028" type="#_x0000_t202" style="position:absolute;left:0;text-align:left;margin-left:354.15pt;margin-top:428.15pt;width:119.4pt;height:34.25pt;z-index:4;mso-position-horizontal-relative:page;mso-position-vertical-relative:page" stroked="f">
            <v:textbox style="mso-next-textbox:#_x0000_s53468" inset="0,0,0,0">
              <w:txbxContent>
                <w:p w:rsidR="00F6359B" w:rsidRDefault="00F6359B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F6359B" w:rsidRDefault="00F6359B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9" o:spid="_x0000_s1029" type="#_x0000_t202" style="position:absolute;left:0;text-align:left;margin-left:98.75pt;margin-top:393.1pt;width:92.65pt;height:33.25pt;z-index:3;mso-position-horizontal-relative:page;mso-position-vertical-relative:page" stroked="f">
            <v:textbox style="mso-next-textbox:#_x0000_s53469" inset="0,0,0,0">
              <w:txbxContent>
                <w:p w:rsidR="00F6359B" w:rsidRDefault="00F6359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6359B" w:rsidRDefault="00F6359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70" o:spid="_x0000_s1030" type="#_x0000_t202" style="position:absolute;left:0;text-align:left;margin-left:73.8pt;margin-top:102.6pt;width:505.3pt;height:280.15pt;z-index:2;mso-position-horizontal-relative:page;mso-position-vertical-relative:page" stroked="f">
            <v:textbox style="mso-next-textbox:#_x0000_s5347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2"/>
                    <w:gridCol w:w="1523"/>
                  </w:tblGrid>
                  <w:tr w:rsidR="00F6359B" w:rsidRPr="00F6359B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F6359B" w:rsidRDefault="00F6359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.בסעיף 23 לחוק הגנת הדייר' תשי"ד-1954 1-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"בארבע השבים הראשונות" יבואו המלים "בחמש השנים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הראשונות";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לאחר המלה "השלישית" יבוא פסיק, ובמקום המלים "ושל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180% בשנה הרביעית" יבואו המלים "של 180% בשנה הרביעית ושל 210% בשנה</w:t>
                        </w:r>
                      </w:p>
                      <w:p w:rsidR="00F6359B" w:rsidRP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החמישית'/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6359B" w:rsidRPr="00F6359B" w:rsidRDefault="00F635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F6359B" w:rsidRPr="00F6359B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F6359B" w:rsidRDefault="00F635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בית דין שפסק דמי שכירות למושכר לפני תחילתו של חוק זה, רשאי, על פי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כל צד, לשנות את הפסק, אם נראה לבית הדין שהיה פוסק דמי שכירות אחרים אילו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חוק זה בר-תוקף בשעת מתן הפסק,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בין בעל בית לדייר, אחרי תחילתו של חוק הגנת הדייר, תשי"ד-1954,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תחילתו של חוק זה, על דמי שכירות של בית עסק מן הסוגים הנקובים בסעיף 17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חוק, רשאי בית הדין, על פי בקשת כל צד, לשנות את דמי השכירות המוסכמים, אם</w:t>
                        </w:r>
                      </w:p>
                      <w:p w:rsid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לבית הדין שהצדדים היו קובעים דמי שכירות אחרים, אילו היה חוק זה בר-תולף</w:t>
                        </w:r>
                      </w:p>
                      <w:p w:rsidR="00F6359B" w:rsidRP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עשיית ההסכם.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6359B" w:rsidRPr="00F6359B" w:rsidRDefault="00F635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F6359B" w:rsidRPr="00F6359B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F6359B" w:rsidRPr="00F6359B" w:rsidRDefault="00F635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ביום י"א בניסן תשי"ח (1 באפריל 1958).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6359B" w:rsidRPr="00F6359B" w:rsidRDefault="00F635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6359B" w:rsidRDefault="00F635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71" o:spid="_x0000_s1031" type="#_x0000_t202" style="position:absolute;left:0;text-align:left;margin-left:134pt;margin-top:84pt;width:309.85pt;height:18.6pt;z-index:1;mso-position-horizontal-relative:page;mso-position-vertical-relative:page" stroked="f">
            <v:textbox style="mso-next-textbox:#_x0000_s53471" inset="0,0,0,0">
              <w:txbxContent>
                <w:p w:rsidR="00F6359B" w:rsidRPr="00F6359B" w:rsidRDefault="00F6359B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הדייר, תשי"ד-1954 (תיקון), תשי"ח-1958*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35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F63E2D-95FE-4086-850A-65EA1675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359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2008-04-06T19:20:00Z</dcterms:created>
  <dcterms:modified xsi:type="dcterms:W3CDTF">2008-04-06T19:20:00Z</dcterms:modified>
</cp:coreProperties>
</file>