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72258" w:rsidRDefault="00D72258">
      <w:pPr>
        <w:rPr>
          <w:rtl/>
        </w:rPr>
      </w:pPr>
    </w:p>
    <w:p w:rsidR="00D7225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3507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53507" inset="0,0,0,0">
              <w:txbxContent>
                <w:p w:rsidR="00FB2BF1" w:rsidRDefault="00FB2BF1">
                  <w:r>
                    <w:rPr>
                      <w:rtl/>
                    </w:rPr>
                    <w:t>151                                          ספר החוקים 561                  י"ז בתמוז התשכ"ט 03.07.1969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53508" o:spid="_x0000_s1026" type="#_x0000_t202" style="position:absolute;left:0;text-align:left;margin-left:155.5pt;margin-top:673.8pt;width:395.2pt;height:73.65pt;z-index:3;mso-position-horizontal-relative:page;mso-position-vertical-relative:page" stroked="f">
            <v:textbox style="mso-next-textbox:#_x0000_s53508" inset="0,0,0,0">
              <w:txbxContent>
                <w:p w:rsidR="00FB2BF1" w:rsidRDefault="00FB2BF1">
                  <w:pPr>
                    <w:pStyle w:val="OCRStyle1"/>
                    <w:ind w:left="44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חי בתמוז תשכ''ט (24 ביוני 1969); הצעת החוק ודברי הסבר טורסמו בה"ח 626/ תשכ"ה,</w:t>
                  </w:r>
                </w:p>
                <w:p w:rsidR="00FB2BF1" w:rsidRDefault="00FB2BF1">
                  <w:pPr>
                    <w:pStyle w:val="OCRStyle1"/>
                    <w:ind w:left="558"/>
                    <w:rPr>
                      <w:rtl/>
                    </w:rPr>
                  </w:pPr>
                  <w:r>
                    <w:rPr>
                      <w:rtl/>
                    </w:rPr>
                    <w:t>עמ' 22.</w:t>
                  </w:r>
                </w:p>
                <w:p w:rsidR="00FB2BF1" w:rsidRPr="00D72258" w:rsidRDefault="00FB2BF1">
                  <w:pPr>
                    <w:pStyle w:val="OCRStyle1"/>
                    <w:ind w:left="443"/>
                  </w:pPr>
                  <w:r>
                    <w:rPr>
                      <w:rtl/>
                    </w:rPr>
                    <w:t>1 ס"ח תשי''ח, עמ' 103.</w:t>
                  </w:r>
                </w:p>
              </w:txbxContent>
            </v:textbox>
            <w10:wrap anchorx="page" anchory="page"/>
          </v:shape>
        </w:pict>
      </w:r>
      <w:r>
        <w:pict>
          <v:shape id="_x0000_s53509" o:spid="_x0000_s1027" type="#_x0000_t202" style="position:absolute;left:0;text-align:left;margin-left:112.15pt;margin-top:403.15pt;width:442.35pt;height:261.15pt;z-index:2;mso-position-horizontal-relative:page;mso-position-vertical-relative:page" stroked="f">
            <v:textbox style="mso-next-textbox:#_x0000_s53509" inset="0,0,0,0">
              <w:txbxContent>
                <w:tbl>
                  <w:tblPr>
                    <w:tblW w:w="44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47"/>
                    <w:gridCol w:w="6996"/>
                  </w:tblGrid>
                  <w:tr w:rsidR="00FB2BF1" w:rsidRPr="00D72258">
                    <w:trPr>
                      <w:jc w:val="right"/>
                    </w:trPr>
                    <w:tc>
                      <w:tcPr>
                        <w:tcW w:w="651" w:type="pct"/>
                      </w:tcPr>
                      <w:p w:rsidR="00FB2BF1" w:rsidRDefault="00FB2B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סייגים</w:t>
                        </w:r>
                      </w:p>
                      <w:p w:rsidR="00FB2BF1" w:rsidRPr="00D72258" w:rsidRDefault="00FB2B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להתדיינות</w:t>
                        </w:r>
                      </w:p>
                    </w:tc>
                    <w:tc>
                      <w:tcPr>
                        <w:tcW w:w="4349" w:type="pct"/>
                      </w:tcPr>
                      <w:p w:rsidR="00FB2BF1" w:rsidRDefault="00FB2B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 (א) הגיש אדם נגד בן-זוגו קובלנה או תובענה אזרחית, בין שעילתן נולדה לפני</w:t>
                        </w:r>
                      </w:p>
                      <w:p w:rsidR="00FB2BF1" w:rsidRDefault="00FB2B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נישואיהם ובין שנולדה בתקופת נישואיהם, רשאי בית המשפט, בהחלטה מנומקת, לעכב.את</w:t>
                        </w:r>
                      </w:p>
                      <w:p w:rsidR="00FB2BF1" w:rsidRDefault="00FB2B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תחילתו או המשכו של הדיון בקובלנה או בתובענה אם ראה לנכון לעשות כן בשל אחד</w:t>
                        </w:r>
                      </w:p>
                      <w:p w:rsidR="00FB2BF1" w:rsidRDefault="00FB2B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מאלה:</w:t>
                        </w:r>
                      </w:p>
                      <w:p w:rsidR="00FB2BF1" w:rsidRDefault="00FB2B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בית משפט מוסמך אחר או בית דין מוסמך עושה אותה שעה, על-פי</w:t>
                        </w:r>
                      </w:p>
                      <w:p w:rsidR="00FB2BF1" w:rsidRDefault="00FB2B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תביעה או בקשה שהוגשה לפני הגשת הקובלנה או התובענה האזרחית כאמור,</w:t>
                        </w:r>
                      </w:p>
                      <w:p w:rsidR="00FB2BF1" w:rsidRDefault="00FB2B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להחזרת שלום הבית בין בני הזוג;</w:t>
                        </w:r>
                      </w:p>
                      <w:p w:rsidR="00FB2BF1" w:rsidRDefault="00FB2B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בית המשפט סבור שענינו של הקובל או התובע בקיום המשפט או בהמשכו</w:t>
                        </w:r>
                      </w:p>
                      <w:p w:rsidR="00FB2BF1" w:rsidRDefault="00FB2B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אינו שקול כנגד הנזק לשלום הבית הצפוי מקיום המשפט או מהמשכו אותה</w:t>
                        </w:r>
                      </w:p>
                      <w:p w:rsidR="00FB2BF1" w:rsidRDefault="00FB2B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שעה.</w:t>
                        </w:r>
                      </w:p>
                      <w:p w:rsidR="00FB2BF1" w:rsidRDefault="00FB2B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עיכוב לפי סעיף קטן (א) יהיה לתקופה שיקבע בית המשפט בהחלטתו ושלא</w:t>
                        </w:r>
                      </w:p>
                      <w:p w:rsidR="00FB2BF1" w:rsidRDefault="00FB2B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תעלה על שלושה חדשים; בית המשפט רשאי, בהחלטה מנומקת, להאריך מדי פעם את</w:t>
                        </w:r>
                      </w:p>
                      <w:p w:rsidR="00FB2BF1" w:rsidRDefault="00FB2B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העיכוב לתקופה נוספת שיקבע ורשאי הוא בכל עת לבטל את העיכוב לכשימצא זאת לנכון.</w:t>
                        </w:r>
                      </w:p>
                      <w:p w:rsidR="00FB2BF1" w:rsidRDefault="00FB2B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עיכב בית המשפט את הדיון כאמור בסעיף קטן (א) (2), רשאי הוא להטיל על</w:t>
                        </w:r>
                      </w:p>
                      <w:p w:rsidR="00FB2BF1" w:rsidRDefault="00FB2B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פקיד סעד כמשמעותו בחוק שירותי הסעד, תשי"ח-1958 1, או על אדם אחר שהסכים לכך,</w:t>
                        </w:r>
                      </w:p>
                      <w:p w:rsidR="00FB2BF1" w:rsidRPr="00D72258" w:rsidRDefault="00FB2B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לפשר בין בני הזוג בענין שהוא נושא הקובלנה או התובענה.</w:t>
                        </w:r>
                      </w:p>
                    </w:tc>
                  </w:tr>
                </w:tbl>
                <w:p w:rsidR="00FB2BF1" w:rsidRDefault="00FB2BF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3510" o:spid="_x0000_s1028" type="#_x0000_t202" style="position:absolute;left:0;text-align:left;margin-left:207.4pt;margin-top:360.75pt;width:283.95pt;height:35.85pt;z-index:1;mso-position-horizontal-relative:page;mso-position-vertical-relative:page" stroked="f">
            <v:textbox style="mso-next-textbox:#_x0000_s53510" inset="0,0,0,0">
              <w:txbxContent>
                <w:p w:rsidR="00FB2BF1" w:rsidRPr="00D72258" w:rsidRDefault="00FB2BF1">
                  <w:pPr>
                    <w:pStyle w:val="OCRStyle1"/>
                    <w:ind w:left="148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להסדר התדיינות בין בני-זוג, תשכ"ט-1969 .</w:t>
                  </w:r>
                </w:p>
              </w:txbxContent>
            </v:textbox>
            <w10:wrap anchorx="page" anchory="page"/>
          </v:shape>
        </w:pict>
      </w:r>
    </w:p>
    <w:p w:rsidR="00FB2BF1" w:rsidRDefault="00FB2BF1">
      <w:pPr>
        <w:rPr>
          <w:rtl/>
        </w:rPr>
      </w:pPr>
      <w:r>
        <w:rPr>
          <w:rtl/>
        </w:rPr>
        <w:br w:type="page"/>
      </w:r>
    </w:p>
    <w:p w:rsidR="00FB2BF1" w:rsidRDefault="00000000">
      <w:pPr>
        <w:rPr>
          <w:rtl/>
        </w:rPr>
      </w:pPr>
      <w:r>
        <w:pict>
          <v:shape id="_x0000_s53511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53511" inset="0,0,0,0">
              <w:txbxContent>
                <w:p w:rsidR="00FB2BF1" w:rsidRDefault="00FB2BF1">
                  <w:r>
                    <w:rPr>
                      <w:rtl/>
                    </w:rPr>
                    <w:t>152                                          ספר החוקים 561                  י"ז בתמוז התשכ"ט 03.07.1969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53512" o:spid="_x0000_s1030" type="#_x0000_t202" style="position:absolute;left:0;text-align:left;margin-left:281.05pt;margin-top:243.4pt;width:185.7pt;height:31.1pt;z-index:9;mso-position-horizontal-relative:page;mso-position-vertical-relative:page" stroked="f">
            <v:textbox style="mso-next-textbox:#_x0000_s53512" inset="0,0,0,0">
              <w:txbxContent>
                <w:p w:rsidR="00FB2BF1" w:rsidRDefault="00FB2BF1">
                  <w:pPr>
                    <w:pStyle w:val="OCRStyle2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2 ס"ח תשי"ג, עמ' 165.</w:t>
                  </w:r>
                </w:p>
                <w:p w:rsidR="00FB2BF1" w:rsidRPr="00FB2BF1" w:rsidRDefault="00FB2BF1">
                  <w:pPr>
                    <w:pStyle w:val="OCRStyle2"/>
                    <w:ind w:left="349"/>
                  </w:pPr>
                  <w:r>
                    <w:rPr>
                      <w:rtl/>
                    </w:rPr>
                    <w:t>3 דיני מדינת ישראל, נוסח חדש 10, עמ' .266</w:t>
                  </w:r>
                </w:p>
              </w:txbxContent>
            </v:textbox>
            <w10:wrap anchorx="page" anchory="page"/>
          </v:shape>
        </w:pict>
      </w:r>
      <w:r>
        <w:pict>
          <v:shape id="_x0000_s53513" o:spid="_x0000_s1031" type="#_x0000_t202" style="position:absolute;left:0;text-align:left;margin-left:97.1pt;margin-top:168.95pt;width:108.5pt;height:32.1pt;z-index:8;mso-position-horizontal-relative:page;mso-position-vertical-relative:page" stroked="f">
            <v:textbox style="mso-next-textbox:#_x0000_s53513" inset="0,0,0,0">
              <w:txbxContent>
                <w:p w:rsidR="00FB2BF1" w:rsidRDefault="00FB2BF1">
                  <w:pPr>
                    <w:pStyle w:val="OCRStyle2"/>
                    <w:ind w:left="86"/>
                    <w:rPr>
                      <w:rtl/>
                    </w:rPr>
                  </w:pPr>
                  <w:r>
                    <w:rPr>
                      <w:rtl/>
                    </w:rPr>
                    <w:t>יעקב ש' שפירא</w:t>
                  </w:r>
                </w:p>
                <w:p w:rsidR="00FB2BF1" w:rsidRDefault="00FB2BF1">
                  <w:pPr>
                    <w:pStyle w:val="OCRStyle2"/>
                    <w:ind w:left="410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3514" o:spid="_x0000_s1032" type="#_x0000_t202" style="position:absolute;left:0;text-align:left;margin-left:219.65pt;margin-top:166.95pt;width:96.25pt;height:35.85pt;z-index:7;mso-position-horizontal-relative:page;mso-position-vertical-relative:page" stroked="f">
            <v:textbox style="mso-next-textbox:#_x0000_s53514" inset="0,0,0,0">
              <w:txbxContent>
                <w:p w:rsidR="00FB2BF1" w:rsidRDefault="00FB2BF1">
                  <w:pPr>
                    <w:pStyle w:val="OCRStyle2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FB2BF1" w:rsidRDefault="00FB2BF1">
                  <w:pPr>
                    <w:pStyle w:val="OCRStyle2"/>
                    <w:ind w:left="24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3515" o:spid="_x0000_s1033" type="#_x0000_t202" style="position:absolute;left:0;text-align:left;margin-left:348pt;margin-top:192.5pt;width:119.8pt;height:47.1pt;z-index:6;mso-position-horizontal-relative:page;mso-position-vertical-relative:page" stroked="f">
            <v:textbox style="mso-next-textbox:#_x0000_s53515" inset="0,0,0,0">
              <w:txbxContent>
                <w:p w:rsidR="00FB2BF1" w:rsidRDefault="00FB2BF1">
                  <w:pPr>
                    <w:pStyle w:val="OCRStyle2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FB2BF1" w:rsidRDefault="00FB2BF1">
                  <w:pPr>
                    <w:pStyle w:val="OCRStyle2"/>
                    <w:ind w:left="57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3516" o:spid="_x0000_s1034" type="#_x0000_t202" style="position:absolute;left:0;text-align:left;margin-left:80.3pt;margin-top:78.45pt;width:465.7pt;height:82.95pt;z-index:5;mso-position-horizontal-relative:page;mso-position-vertical-relative:page" stroked="f">
            <v:textbox style="mso-next-textbox:#_x0000_s53516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64"/>
                    <w:gridCol w:w="1302"/>
                  </w:tblGrid>
                  <w:tr w:rsidR="00FB2BF1" w:rsidRPr="00FB2BF1">
                    <w:trPr>
                      <w:jc w:val="right"/>
                    </w:trPr>
                    <w:tc>
                      <w:tcPr>
                        <w:tcW w:w="4231" w:type="pct"/>
                      </w:tcPr>
                      <w:p w:rsidR="00FB2BF1" w:rsidRDefault="00FB2BF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חוק זה אינו גורע מהוראות חוק שיפוט בתי דין רבניים (נישואין וגירושין), תשי"ג-</w:t>
                        </w:r>
                      </w:p>
                      <w:p w:rsidR="00FB2BF1" w:rsidRDefault="00FB2BF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1953 2, או מכל סמכות של בית משפט על-פי דין.</w:t>
                        </w:r>
                      </w:p>
                    </w:tc>
                    <w:tc>
                      <w:tcPr>
                        <w:tcW w:w="769" w:type="pct"/>
                      </w:tcPr>
                      <w:p w:rsidR="00FB2BF1" w:rsidRPr="00FB2BF1" w:rsidRDefault="00FB2BF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דינים</w:t>
                        </w:r>
                      </w:p>
                    </w:tc>
                  </w:tr>
                  <w:tr w:rsidR="00FB2BF1" w:rsidRPr="00FB2BF1">
                    <w:trPr>
                      <w:jc w:val="right"/>
                    </w:trPr>
                    <w:tc>
                      <w:tcPr>
                        <w:tcW w:w="4231" w:type="pct"/>
                      </w:tcPr>
                      <w:p w:rsidR="00FB2BF1" w:rsidRDefault="00FB2BF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18 לפקודת הנזיקין ננוסח חדש] 3, סעיף קטן (א) בטל, וסעיף קטן (ב) יצויין</w:t>
                        </w:r>
                      </w:p>
                      <w:p w:rsidR="00FB2BF1" w:rsidRPr="00FB2BF1" w:rsidRDefault="00FB2BF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כסעיף .18</w:t>
                        </w:r>
                      </w:p>
                    </w:tc>
                    <w:tc>
                      <w:tcPr>
                        <w:tcW w:w="769" w:type="pct"/>
                      </w:tcPr>
                      <w:p w:rsidR="00FB2BF1" w:rsidRDefault="00FB2BF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היקון פקודת</w:t>
                        </w:r>
                      </w:p>
                      <w:p w:rsidR="00FB2BF1" w:rsidRPr="00FB2BF1" w:rsidRDefault="00FB2BF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הנזיקין</w:t>
                        </w:r>
                      </w:p>
                    </w:tc>
                  </w:tr>
                </w:tbl>
                <w:p w:rsidR="00FB2BF1" w:rsidRDefault="00FB2BF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7225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7225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1BEFDCB-C294-4402-990A-A070CD489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72258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FB2BF1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2008-04-06T21:11:00Z</dcterms:created>
  <dcterms:modified xsi:type="dcterms:W3CDTF">2008-04-06T21:11:00Z</dcterms:modified>
</cp:coreProperties>
</file>