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87F19" w:rsidRDefault="00C87F19">
      <w:pPr>
        <w:rPr>
          <w:rtl/>
        </w:rPr>
      </w:pPr>
    </w:p>
    <w:p w:rsidR="00C87F1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3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238" inset="0,0,0,0">
              <w:txbxContent>
                <w:p w:rsidR="00144D7E" w:rsidRDefault="00144D7E">
                  <w:r>
                    <w:rPr>
                      <w:rtl/>
                    </w:rPr>
                    <w:t>80                                           ספר החוקים 619                   ז' בניסן התשל"א 02.04.1971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239" o:spid="_x0000_s1026" type="#_x0000_t202" style="position:absolute;left:0;text-align:left;margin-left:71.2pt;margin-top:712.9pt;width:425.1pt;height:49.5pt;z-index:3;mso-wrap-style:none;mso-position-horizontal-relative:page;mso-position-vertical-relative:page" stroked="f">
            <v:textbox style="mso-next-textbox:#_x0000_s1239" inset="0,0,0,0">
              <w:txbxContent>
                <w:tbl>
                  <w:tblPr>
                    <w:tblW w:w="45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29"/>
                  </w:tblGrid>
                  <w:tr w:rsidR="00144D7E" w:rsidRPr="00C87F19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144D7E" w:rsidRDefault="00144D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 נתקבל בכנסת ביום כ"ז באדר תשל"א (24 במרס 1971); הצעת החוק ודברי הסבר פורסמו בהצעות חוק 834/</w:t>
                        </w:r>
                      </w:p>
                      <w:p w:rsidR="00144D7E" w:rsidRDefault="00144D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תשכ"ט, עמ' 229.</w:t>
                        </w:r>
                      </w:p>
                      <w:p w:rsidR="00144D7E" w:rsidRPr="00C87F19" w:rsidRDefault="00144D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ס"ח תשי"ט, עמ' 32.</w:t>
                        </w:r>
                      </w:p>
                    </w:tc>
                  </w:tr>
                </w:tbl>
                <w:p w:rsidR="00144D7E" w:rsidRDefault="00144D7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40" o:spid="_x0000_s1027" type="#_x0000_t202" style="position:absolute;left:0;text-align:left;margin-left:70.2pt;margin-top:534.1pt;width:505.7pt;height:171.25pt;z-index:2;mso-wrap-style:none;mso-position-horizontal-relative:page;mso-position-vertical-relative:page" stroked="f">
            <v:textbox style="mso-next-textbox:#_x0000_s1240" inset="0,0,0,0">
              <w:txbxContent>
                <w:tbl>
                  <w:tblPr>
                    <w:tblW w:w="539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807"/>
                    <w:gridCol w:w="1386"/>
                  </w:tblGrid>
                  <w:tr w:rsidR="00144D7E" w:rsidRPr="00C87F19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144D7E" w:rsidRDefault="00144D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האמור בסעיף 50 לחוק שירות התעסוקה, תשי"ט-1959  1(להלן - החוק העיקרי),</w:t>
                        </w:r>
                      </w:p>
                      <w:p w:rsidR="00144D7E" w:rsidRDefault="00144D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יסומן "(א)" ואחריו יבוא:</w:t>
                        </w:r>
                      </w:p>
                      <w:p w:rsidR="00144D7E" w:rsidRDefault="00144D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לא הגיש ארגון מעבידים או ארגון עובדים רשימת מועמדים</w:t>
                        </w:r>
                      </w:p>
                      <w:p w:rsidR="00144D7E" w:rsidRDefault="00144D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(א) (2) או (3), לפי הענין, תוך שלושה חדשים מהיום</w:t>
                        </w:r>
                      </w:p>
                      <w:p w:rsidR="00144D7E" w:rsidRDefault="00144D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נתבקש על כך מאת שר העבודה, רשאי השר למנות כחבר ועדת</w:t>
                        </w:r>
                      </w:p>
                      <w:p w:rsidR="00144D7E" w:rsidRDefault="00144D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המקצוע אדם הנראה לו מתאים לייצג את ענין הארגון בועדת המקצוע.</w:t>
                        </w:r>
                      </w:p>
                      <w:p w:rsidR="00144D7E" w:rsidRDefault="00144D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ימנה השר חבר ועדת מקצוע כאמור בסעיף קטן (ב),</w:t>
                        </w:r>
                      </w:p>
                      <w:p w:rsidR="00144D7E" w:rsidRDefault="00144D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נמסרה לאותו ארגון תזכורת על כך, שלושים יום לפחות לפני</w:t>
                        </w:r>
                      </w:p>
                      <w:p w:rsidR="00144D7E" w:rsidRDefault="00144D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המינוי, ובה צויין כי בדעת השר למנות חבר ועדת המקצוע בהתאם</w:t>
                        </w:r>
                      </w:p>
                      <w:p w:rsidR="00144D7E" w:rsidRPr="00C87F19" w:rsidRDefault="00144D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לסעיף קטן (ב)."</w:t>
                        </w:r>
                      </w:p>
                    </w:tc>
                    <w:tc>
                      <w:tcPr>
                        <w:tcW w:w="754" w:type="pct"/>
                      </w:tcPr>
                      <w:p w:rsidR="00144D7E" w:rsidRPr="00C87F19" w:rsidRDefault="00144D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50</w:t>
                        </w:r>
                      </w:p>
                    </w:tc>
                  </w:tr>
                </w:tbl>
                <w:p w:rsidR="00144D7E" w:rsidRDefault="00144D7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41" o:spid="_x0000_s1028" type="#_x0000_t202" style="position:absolute;left:0;text-align:left;margin-left:137.95pt;margin-top:495.5pt;width:329.25pt;height:31.1pt;z-index:1;mso-wrap-style:none;mso-position-horizontal-relative:page;mso-position-vertical-relative:page" stroked="f">
            <v:textbox style="mso-next-textbox:#_x0000_s1241" inset="0,0,0,0">
              <w:txbxContent>
                <w:tbl>
                  <w:tblPr>
                    <w:tblW w:w="351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87"/>
                  </w:tblGrid>
                  <w:tr w:rsidR="00144D7E" w:rsidRPr="00C87F19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144D7E" w:rsidRPr="00C87F19" w:rsidRDefault="00144D7E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חוק שירות התעסוקה (תיקון), תשל"א-1971 *</w:t>
                        </w:r>
                      </w:p>
                    </w:tc>
                  </w:tr>
                </w:tbl>
                <w:p w:rsidR="00144D7E" w:rsidRDefault="00144D7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144D7E" w:rsidRDefault="00144D7E">
      <w:pPr>
        <w:rPr>
          <w:rtl/>
        </w:rPr>
      </w:pPr>
      <w:r>
        <w:rPr>
          <w:rtl/>
        </w:rPr>
        <w:br w:type="page"/>
      </w:r>
    </w:p>
    <w:p w:rsidR="00144D7E" w:rsidRDefault="00000000">
      <w:pPr>
        <w:rPr>
          <w:rtl/>
        </w:rPr>
      </w:pPr>
      <w:r>
        <w:pict>
          <v:shape id="_x0000_s1242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242" inset="0,0,0,0">
              <w:txbxContent>
                <w:p w:rsidR="00144D7E" w:rsidRDefault="00144D7E">
                  <w:r>
                    <w:rPr>
                      <w:rtl/>
                    </w:rPr>
                    <w:t>81                                           ספר החוקים 619                   ז' בניסן התשל"א 02.04.1971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243" o:spid="_x0000_s1030" type="#_x0000_t202" style="position:absolute;left:0;text-align:left;margin-left:159.8pt;margin-top:193.35pt;width:130.1pt;height:58pt;z-index:8;mso-wrap-style:none;mso-position-horizontal-relative:page;mso-position-vertical-relative:page" stroked="f">
            <v:textbox style="mso-next-textbox:#_x0000_s1243" inset="0,0,0,0">
              <w:txbxContent>
                <w:tbl>
                  <w:tblPr>
                    <w:tblW w:w="138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364"/>
                  </w:tblGrid>
                  <w:tr w:rsidR="00144D7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144D7E" w:rsidRDefault="00144D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גבתי</w:t>
                        </w:r>
                      </w:p>
                      <w:p w:rsidR="00144D7E" w:rsidRDefault="00144D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החקלאות</w:t>
                        </w:r>
                      </w:p>
                      <w:p w:rsidR="00144D7E" w:rsidRDefault="00144D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ממלא מקום שר העבודה</w:t>
                        </w:r>
                      </w:p>
                    </w:tc>
                  </w:tr>
                </w:tbl>
                <w:p w:rsidR="00144D7E" w:rsidRDefault="00144D7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244" o:spid="_x0000_s1031" type="#_x0000_t202" style="position:absolute;left:0;text-align:left;margin-left:310.5pt;margin-top:189pt;width:101pt;height:48.3pt;z-index:7;mso-wrap-style:none;mso-position-horizontal-relative:page;mso-position-vertical-relative:page" stroked="f">
            <v:textbox style="mso-next-textbox:#_x0000_s1244" inset="0,0,0,0">
              <w:txbxContent>
                <w:tbl>
                  <w:tblPr>
                    <w:tblW w:w="107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836"/>
                  </w:tblGrid>
                  <w:tr w:rsidR="00144D7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144D7E" w:rsidRDefault="00144D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גולדה מאיר</w:t>
                        </w:r>
                      </w:p>
                      <w:p w:rsidR="00144D7E" w:rsidRDefault="00144D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144D7E" w:rsidRDefault="00144D7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245" o:spid="_x0000_s1032" type="#_x0000_t202" style="position:absolute;left:0;text-align:left;margin-left:435.2pt;margin-top:225.6pt;width:141pt;height:42.95pt;z-index:6;mso-wrap-style:none;mso-position-horizontal-relative:page;mso-position-vertical-relative:page" stroked="f">
            <v:textbox style="mso-next-textbox:#_x0000_s1245" inset="0,0,0,0">
              <w:txbxContent>
                <w:tbl>
                  <w:tblPr>
                    <w:tblW w:w="150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564"/>
                  </w:tblGrid>
                  <w:tr w:rsidR="00144D7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144D7E" w:rsidRDefault="00144D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שניאור זלמן שזר</w:t>
                        </w:r>
                      </w:p>
                      <w:p w:rsidR="00144D7E" w:rsidRDefault="00144D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144D7E" w:rsidRDefault="00144D7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246" o:spid="_x0000_s1033" type="#_x0000_t202" style="position:absolute;left:0;text-align:left;margin-left:85.55pt;margin-top:50.2pt;width:485.3pt;height:122.55pt;z-index:5;mso-wrap-style:none;mso-position-horizontal-relative:page;mso-position-vertical-relative:page" stroked="f">
            <v:textbox style="mso-next-textbox:#_x0000_s1246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43"/>
                    <w:gridCol w:w="7180"/>
                  </w:tblGrid>
                  <w:tr w:rsidR="00144D7E">
                    <w:trPr>
                      <w:jc w:val="right"/>
                    </w:trPr>
                    <w:tc>
                      <w:tcPr>
                        <w:tcW w:w="788" w:type="pct"/>
                      </w:tcPr>
                      <w:p w:rsidR="00144D7E" w:rsidRPr="00144D7E" w:rsidRDefault="00144D7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59</w:t>
                        </w:r>
                      </w:p>
                    </w:tc>
                    <w:tc>
                      <w:tcPr>
                        <w:tcW w:w="4212" w:type="pct"/>
                      </w:tcPr>
                      <w:p w:rsidR="00144D7E" w:rsidRDefault="00144D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האמור בסעיף 59 לחוק העיקרי יסומן "(א)" ואחריו יבוא:</w:t>
                        </w:r>
                      </w:p>
                      <w:p w:rsidR="00144D7E" w:rsidRDefault="00144D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שר העבודה רשאי, באישור ועדת העבודה של הכנסת, לקבוע</w:t>
                        </w:r>
                      </w:p>
                      <w:p w:rsidR="00144D7E" w:rsidRDefault="00144D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אגרה בעד בחינת מקצוע לפי פרק זה, אם לכלל הנבחנים ואם</w:t>
                        </w:r>
                      </w:p>
                      <w:p w:rsidR="00144D7E" w:rsidRDefault="00144D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לסוגי נבחנים או סוגי מקצועות; תקפן של התקנות יהיה לשנתיים, אלא</w:t>
                        </w:r>
                      </w:p>
                      <w:p w:rsidR="00144D7E" w:rsidRDefault="00144D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שועדת העבודה רשאית להאריכן מדי פעם לתקופה נוספת שתקבע ושלא</w:t>
                        </w:r>
                      </w:p>
                      <w:p w:rsidR="00144D7E" w:rsidRDefault="00144D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תפחת משנתיים."</w:t>
                        </w:r>
                      </w:p>
                    </w:tc>
                  </w:tr>
                </w:tbl>
                <w:p w:rsidR="00144D7E" w:rsidRDefault="00144D7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87F1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7F1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C03C6AB-5943-47B0-8F62-056F7FDC0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87F19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144D7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2008-04-09T14:57:00Z</dcterms:created>
  <dcterms:modified xsi:type="dcterms:W3CDTF">2008-04-09T14:57:00Z</dcterms:modified>
</cp:coreProperties>
</file>