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0D6F" w:rsidRDefault="00350D6F">
      <w:pPr>
        <w:rPr>
          <w:rtl/>
        </w:rPr>
      </w:pPr>
    </w:p>
    <w:p w:rsidR="00350D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541" inset="0,0,0,0">
              <w:txbxContent>
                <w:p w:rsidR="00350D6F" w:rsidRDefault="00350D6F">
                  <w:r>
                    <w:rPr>
                      <w:rtl/>
                    </w:rPr>
                    <w:t>42                                           ספר החוקים 588                 כ"א באדר ב' התש"ל 29.03.1970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42" o:spid="_x0000_s1026" type="#_x0000_t202" style="position:absolute;left:0;text-align:left;margin-left:100.8pt;margin-top:628.75pt;width:373.25pt;height:104.15pt;z-index:6;mso-wrap-style:none;mso-position-horizontal-relative:page;mso-position-vertical-relative:page" stroked="f">
            <v:textbox style="mso-next-textbox:#_x0000_s53542" inset="0,0,0,0">
              <w:txbxContent>
                <w:p w:rsidR="00350D6F" w:rsidRDefault="00350D6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באדר ב' תש"ל (26 במרס 1970); הצעת החוק ודברי הסבר פורסמו בה"ח 870, תש"ל,</w:t>
                  </w:r>
                </w:p>
                <w:p w:rsidR="00350D6F" w:rsidRDefault="00350D6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עמ' 74.</w:t>
                  </w:r>
                </w:p>
                <w:p w:rsidR="00350D6F" w:rsidRDefault="00350D6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131; תשי"ט, עמ' 191; תש"ך, עמ' 23; תשכ"א, עמ' 67; תשכ"ד, עמ' 70; תשכ"ה, עמ' 155;</w:t>
                  </w:r>
                </w:p>
                <w:p w:rsidR="00350D6F" w:rsidRDefault="00350D6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תשכ"ו, עמ' 22, חשכ''ז, עמ' .20</w:t>
                  </w:r>
                </w:p>
                <w:p w:rsidR="00350D6F" w:rsidRDefault="00350D6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8 ק"ת תשכ"א, עמ' 1425; ק"ת 2528, תש"ל, עמ' 1090.</w:t>
                  </w:r>
                </w:p>
                <w:p w:rsidR="00350D6F" w:rsidRDefault="00350D6F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350D6F" w:rsidRPr="00350D6F" w:rsidRDefault="00350D6F">
                  <w:pPr>
                    <w:pStyle w:val="OCRStyle1"/>
                    <w:ind w:left="4115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43" o:spid="_x0000_s1027" type="#_x0000_t202" style="position:absolute;left:0;text-align:left;margin-left:126.95pt;margin-top:558.85pt;width:89.7pt;height:38.6pt;z-index:5;mso-wrap-style:none;mso-position-horizontal-relative:page;mso-position-vertical-relative:page" stroked="f">
            <v:textbox style="mso-next-textbox:#_x0000_s53543" inset="0,0,0,0">
              <w:txbxContent>
                <w:p w:rsidR="00350D6F" w:rsidRDefault="00350D6F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50D6F" w:rsidRDefault="00350D6F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44" o:spid="_x0000_s1028" type="#_x0000_t202" style="position:absolute;left:0;text-align:left;margin-left:245.75pt;margin-top:563pt;width:88.5pt;height:37.6pt;z-index:4;mso-wrap-style:none;mso-position-horizontal-relative:page;mso-position-vertical-relative:page" stroked="f">
            <v:textbox style="mso-next-textbox:#_x0000_s53544" inset="0,0,0,0">
              <w:txbxContent>
                <w:p w:rsidR="00350D6F" w:rsidRDefault="00350D6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50D6F" w:rsidRDefault="00350D6F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45" o:spid="_x0000_s1029" type="#_x0000_t202" style="position:absolute;left:0;text-align:left;margin-left:359.4pt;margin-top:582pt;width:130.3pt;height:41.6pt;z-index:3;mso-wrap-style:none;mso-position-horizontal-relative:page;mso-position-vertical-relative:page" stroked="f">
            <v:textbox style="mso-next-textbox:#_x0000_s53545" inset="0,0,0,0">
              <w:txbxContent>
                <w:p w:rsidR="00350D6F" w:rsidRDefault="00350D6F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50D6F" w:rsidRDefault="00350D6F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46" o:spid="_x0000_s1030" type="#_x0000_t202" style="position:absolute;left:0;text-align:left;margin-left:86.35pt;margin-top:110.8pt;width:469.85pt;height:443.9pt;z-index:2;mso-wrap-style:none;mso-position-horizontal-relative:page;mso-position-vertical-relative:page" stroked="f">
            <v:textbox style="mso-next-textbox:#_x0000_s53546" inset="0,0,0,0">
              <w:txbxContent>
                <w:tbl>
                  <w:tblPr>
                    <w:tblW w:w="50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93"/>
                    <w:gridCol w:w="3880"/>
                    <w:gridCol w:w="1170"/>
                  </w:tblGrid>
                  <w:tr w:rsidR="00350D6F" w:rsidRPr="00350D6F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350D6F" w:rsidRDefault="00350D6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 לחוק בול בטחון (תיקון והארכת תקופת ההיטל), תשי"ח-1958  1(להלן -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ההארכה), בהגדרת "התקופה הנוספת", במקום "והמסתיימת ביום כ"ג באדר ב' תש"ל</w:t>
                        </w:r>
                      </w:p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1970)" יבוא "והמסתיימת ביום כ"ז באדר ב' תשל"ג (31 במרס 1973)'/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350D6F" w:rsidRPr="00350D6F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9 לחוק ההארכה, בסעיף קטן (א) ובסעיף קטן (ח), במקום "והמסתיימת ביום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באייר תש"ל (31 במאי 1970)" יבוא "והמסתיימת ביום כ"ט באייר תשל"ג (31 במאי</w:t>
                        </w:r>
                      </w:p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1973)".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350D6F" w:rsidRPr="00350D6F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ההארכה, בסעיף קטן (א) ובסעיף קטן (א1), במקום "לבין יום כ"ג</w:t>
                        </w:r>
                      </w:p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תש"ל (31 במרס 1970)" יבוא "לבין יום כ"ז באדר ב' תשל"ג (31 במרס 1973)".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350D6F" w:rsidRPr="00350D6F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לחוק ההארכה -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"לבין יום כ"ג באדר ב' תש"ל (31 במרס 1970)"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"לבין יום כ"ז באדר ב' תשל"ג (31 במרס 1973);</w:t>
                        </w:r>
                      </w:p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הטבלה תבוא טבלה זו: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350D6F">
                    <w:trPr>
                      <w:jc w:val="right"/>
                    </w:trPr>
                    <w:tc>
                      <w:tcPr>
                        <w:tcW w:w="2044" w:type="pct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בול בטחון בלירות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</w:t>
                        </w:r>
                      </w:p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605</w:t>
                        </w:r>
                      </w:p>
                    </w:tc>
                    <w:tc>
                      <w:tcPr>
                        <w:tcW w:w="2271" w:type="pct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"כשתפוסת גלילי המנוע היא בסמ"ק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800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801 - 1000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1001 - 1300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1301 - 1750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1751 - 3000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3001 - 4000</w:t>
                        </w:r>
                      </w:p>
                      <w:p w:rsidR="00350D6F" w:rsidRP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4001 ומעלה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50D6F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יראו רכב פרטי המונע במנוע רוטציוני מסוג "וונקל" כרכב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שתפוסת גלילי המנוע שלו בסמ"ק היא כפי שנקבע כסעיף 2 לחלק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לתוספת הראשונה לתקנות התעבורה, תשכ"א-1961 2.";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שיעור בול בטחון על רכב שדה הוא כשיעור החל על מכונית</w:t>
                        </w:r>
                      </w:p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שתפוסת גלילי המנוע שלה היא עד 800 סמ"ק."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50D6F" w:rsidRDefault="00350D6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50D6F" w:rsidRDefault="00350D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47" o:spid="_x0000_s1031" type="#_x0000_t202" style="position:absolute;left:0;text-align:left;margin-left:118.6pt;margin-top:68pt;width:348.1pt;height:41.8pt;z-index:1;mso-wrap-style:none;mso-position-horizontal-relative:page;mso-position-vertical-relative:page" stroked="f">
            <v:textbox style="mso-next-textbox:#_x0000_s53547" inset="0,0,0,0">
              <w:txbxContent>
                <w:p w:rsidR="00350D6F" w:rsidRDefault="00350D6F">
                  <w:pPr>
                    <w:pStyle w:val="OCRStyle1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בול בטחון (תיקון והארכת תקופת ההיטל) (תיקון מס' 8),</w:t>
                  </w:r>
                </w:p>
                <w:p w:rsidR="00350D6F" w:rsidRPr="00350D6F" w:rsidRDefault="00350D6F">
                  <w:pPr>
                    <w:pStyle w:val="OCRStyle1"/>
                    <w:ind w:left="25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0D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35A836-39B2-4F3F-8BD4-4A7728F4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0D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2008-04-09T14:40:00Z</dcterms:created>
  <dcterms:modified xsi:type="dcterms:W3CDTF">2008-04-09T14:40:00Z</dcterms:modified>
</cp:coreProperties>
</file>