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7417" w:rsidRDefault="00857417">
      <w:pPr>
        <w:rPr>
          <w:rtl/>
        </w:rPr>
      </w:pPr>
    </w:p>
    <w:p w:rsidR="008574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558" inset="0,0,0,0">
              <w:txbxContent>
                <w:p w:rsidR="00786E0C" w:rsidRDefault="00786E0C">
                  <w:r>
                    <w:rPr>
                      <w:rtl/>
                    </w:rPr>
                    <w:t>242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59" o:spid="_x0000_s1026" type="#_x0000_t202" style="position:absolute;left:0;text-align:left;margin-left:94.8pt;margin-top:682.05pt;width:399.35pt;height:68.9pt;z-index:3;mso-position-horizontal-relative:page;mso-position-vertical-relative:page" stroked="f">
            <v:textbox style="mso-next-textbox:#_x0000_s53559" inset="0,0,0,0">
              <w:txbxContent>
                <w:p w:rsidR="00786E0C" w:rsidRDefault="00786E0C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ביתו כ"ג בתמוז תשל"ג (23 ביולי 1973); הצעת החוק ודברי הסבר פורסמו בה"ח 1081/</w:t>
                  </w:r>
                </w:p>
                <w:p w:rsidR="00786E0C" w:rsidRDefault="00786E0C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תשל"ג עמ' 420.</w:t>
                  </w:r>
                </w:p>
                <w:p w:rsidR="00786E0C" w:rsidRPr="00857417" w:rsidRDefault="00786E0C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תשל"א, עמ' 76; תשל"ב,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0" o:spid="_x0000_s1027" type="#_x0000_t202" style="position:absolute;left:0;text-align:left;margin-left:100.95pt;margin-top:477.1pt;width:464.7pt;height:200.55pt;z-index:2;mso-position-horizontal-relative:page;mso-position-vertical-relative:page" stroked="f">
            <v:textbox style="mso-next-textbox:#_x0000_s535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3"/>
                    <w:gridCol w:w="1305"/>
                    <w:gridCol w:w="1273"/>
                  </w:tblGrid>
                  <w:tr w:rsidR="00786E0C" w:rsidRPr="00857417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786E0C" w:rsidRDefault="00786E0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12 לחוק מילווה חסכון, תשל"א-1971  1(להלן - החוק העיקרי) -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בטל.</w:t>
                        </w:r>
                      </w:p>
                      <w:p w:rsidR="00786E0C" w:rsidRPr="00857417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(0 ו-(ד) יסומנו (ב) ו-(ג).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86E0C" w:rsidRPr="00857417" w:rsidRDefault="00786E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786E0C" w:rsidRPr="00857417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786E0C" w:rsidRPr="00857417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12 לחוק העיקרי יבוא: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86E0C" w:rsidRPr="00857417" w:rsidRDefault="00786E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786E0C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תעודות המילווה לא יהיו סחירות ולא יהיו ניתנות להעברה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העברות מכוח הדין.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או הזכות לקבלתן לא יהיו ניתנות לשעבוד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כבטוחה -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התעודות או של הזכאי לקבלתן,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ערבה לו או לטובת המדינה בעד ערבותה: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</w:t>
                        </w:r>
                      </w:p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במסגרת אשראי מכוון כמשמעותו בסעיף 8 להוראות</w:t>
                        </w:r>
                      </w:p>
                    </w:tc>
                    <w:tc>
                      <w:tcPr>
                        <w:tcW w:w="772" w:type="pct"/>
                      </w:tcPr>
                      <w:p w:rsidR="00786E0C" w:rsidRPr="00857417" w:rsidRDefault="00786E0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ושעבוד</w:t>
                        </w:r>
                      </w:p>
                    </w:tc>
                    <w:tc>
                      <w:tcPr>
                        <w:tcW w:w="753" w:type="pct"/>
                      </w:tcPr>
                      <w:p w:rsidR="00786E0C" w:rsidRDefault="00786E0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6E0C" w:rsidRDefault="00786E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61" o:spid="_x0000_s1028" type="#_x0000_t202" style="position:absolute;left:0;text-align:left;margin-left:128.45pt;margin-top:438.5pt;width:351.25pt;height:36.05pt;z-index:1;mso-position-horizontal-relative:page;mso-position-vertical-relative:page" stroked="f">
            <v:textbox style="mso-next-textbox:#_x0000_s53561" inset="0,0,0,0">
              <w:txbxContent>
                <w:p w:rsidR="00786E0C" w:rsidRPr="00857417" w:rsidRDefault="00786E0C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חסכון, תשל"א-1971 (תיקון מס' 2), תשל"ג-1973 *</w:t>
                  </w:r>
                </w:p>
              </w:txbxContent>
            </v:textbox>
            <w10:wrap anchorx="page" anchory="page"/>
          </v:shape>
        </w:pict>
      </w:r>
    </w:p>
    <w:p w:rsidR="00786E0C" w:rsidRDefault="00786E0C">
      <w:pPr>
        <w:rPr>
          <w:rtl/>
        </w:rPr>
      </w:pPr>
      <w:r>
        <w:rPr>
          <w:rtl/>
        </w:rPr>
        <w:br w:type="page"/>
      </w:r>
    </w:p>
    <w:p w:rsidR="00786E0C" w:rsidRDefault="00000000">
      <w:pPr>
        <w:rPr>
          <w:rtl/>
        </w:rPr>
      </w:pPr>
      <w:r>
        <w:pict>
          <v:shape id="_x0000_s5356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562" inset="0,0,0,0">
              <w:txbxContent>
                <w:p w:rsidR="00786E0C" w:rsidRDefault="00786E0C">
                  <w:r>
                    <w:rPr>
                      <w:rtl/>
                    </w:rPr>
                    <w:t>243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3" o:spid="_x0000_s1030" type="#_x0000_t202" style="position:absolute;left:0;text-align:left;margin-left:380.15pt;margin-top:372.3pt;width:179.8pt;height:38.6pt;z-index:9;mso-position-horizontal-relative:page;mso-position-vertical-relative:page" stroked="f">
            <v:textbox style="mso-next-textbox:#_x0000_s53563" inset="0,0,0,0">
              <w:txbxContent>
                <w:p w:rsidR="00786E0C" w:rsidRDefault="00786E0C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ק''ת תשל''א, עמ' 690; תשל"ב, עמ' 621.</w:t>
                  </w:r>
                </w:p>
                <w:p w:rsidR="00786E0C" w:rsidRPr="00786E0C" w:rsidRDefault="00786E0C">
                  <w:pPr>
                    <w:pStyle w:val="OCRStyle2"/>
                    <w:ind w:left="25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תשכ"ז,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4" o:spid="_x0000_s1031" type="#_x0000_t202" style="position:absolute;left:0;text-align:left;margin-left:205.3pt;margin-top:303.4pt;width:90.5pt;height:36.05pt;z-index:8;mso-position-horizontal-relative:page;mso-position-vertical-relative:page" stroked="f">
            <v:textbox style="mso-next-textbox:#_x0000_s53564" inset="0,0,0,0">
              <w:txbxContent>
                <w:p w:rsidR="00786E0C" w:rsidRDefault="00786E0C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86E0C" w:rsidRDefault="00786E0C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5" o:spid="_x0000_s1032" type="#_x0000_t202" style="position:absolute;left:0;text-align:left;margin-left:323.3pt;margin-top:307.55pt;width:89.5pt;height:31.1pt;z-index:7;mso-position-horizontal-relative:page;mso-position-vertical-relative:page" stroked="f">
            <v:textbox style="mso-next-textbox:#_x0000_s53565" inset="0,0,0,0">
              <w:txbxContent>
                <w:p w:rsidR="00786E0C" w:rsidRDefault="00786E0C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86E0C" w:rsidRDefault="00786E0C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6" o:spid="_x0000_s1033" type="#_x0000_t202" style="position:absolute;left:0;text-align:left;margin-left:458.35pt;margin-top:330.9pt;width:106.7pt;height:37.05pt;z-index:6;mso-position-horizontal-relative:page;mso-position-vertical-relative:page" stroked="f">
            <v:textbox style="mso-next-textbox:#_x0000_s53566" inset="0,0,0,0">
              <w:txbxContent>
                <w:p w:rsidR="00786E0C" w:rsidRDefault="00786E0C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86E0C" w:rsidRDefault="00786E0C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7" o:spid="_x0000_s1034" type="#_x0000_t202" style="position:absolute;left:0;text-align:left;margin-left:180.35pt;margin-top:95.85pt;width:316pt;height:199.8pt;z-index:5;mso-position-horizontal-relative:page;mso-position-vertical-relative:page" stroked="f">
            <v:textbox style="mso-next-textbox:#_x0000_s53567" inset="0,0,0,0">
              <w:txbxContent>
                <w:p w:rsidR="00786E0C" w:rsidRDefault="00786E0C">
                  <w:pPr>
                    <w:pStyle w:val="OCRStyle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בנק ישראל (נכסים נזילים), תשל"א-1971 2, ושר החקלאות,</w:t>
                  </w:r>
                </w:p>
                <w:p w:rsidR="00786E0C" w:rsidRDefault="00786E0C">
                  <w:pPr>
                    <w:pStyle w:val="OCRStyle2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 או שר התיירות, או מי שהם או אחד</w:t>
                  </w:r>
                </w:p>
                <w:p w:rsidR="00786E0C" w:rsidRDefault="00786E0C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מהם הסמיכו, אישר את השיעבוד.</w:t>
                  </w:r>
                </w:p>
                <w:p w:rsidR="00786E0C" w:rsidRDefault="00786E0C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(ג) (1) שועבדו תעודות המילווה או הזכות לקבלתן, תהיה למי</w:t>
                  </w:r>
                </w:p>
                <w:p w:rsidR="00786E0C" w:rsidRDefault="00786E0C">
                  <w:pPr>
                    <w:pStyle w:val="OCRStyle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שלטובתו נעשה השעבוד זכות עדיפות להיפרע מהתעודות</w:t>
                  </w:r>
                </w:p>
                <w:p w:rsidR="00786E0C" w:rsidRDefault="00786E0C">
                  <w:pPr>
                    <w:pStyle w:val="OCRStyle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על פני כל נושה אחר, אף שלא נתמלאו תנאי סעיף 4 לחוק</w:t>
                  </w:r>
                </w:p>
                <w:p w:rsidR="00786E0C" w:rsidRDefault="00786E0C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המשכון, תשכ"ז-31967.</w:t>
                  </w:r>
                </w:p>
                <w:p w:rsidR="00786E0C" w:rsidRDefault="00786E0C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(2) לבנק ישראל תינתן הודעה על תעודות המילווה ששו-</w:t>
                  </w:r>
                </w:p>
                <w:p w:rsidR="00786E0C" w:rsidRDefault="00786E0C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עבדו או שהזכות לקבלתן שועבדה.</w:t>
                  </w:r>
                </w:p>
                <w:p w:rsidR="00786E0C" w:rsidRDefault="00786E0C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(3) שר האוצר יקבע בתקנות הוראות לענין מתן ההודעה</w:t>
                  </w:r>
                </w:p>
                <w:p w:rsidR="00786E0C" w:rsidRDefault="00786E0C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לבנק ישראל והרישומים שיעשה בנק ישראל, וכן למי יימסרו</w:t>
                  </w:r>
                </w:p>
                <w:p w:rsidR="00786E0C" w:rsidRDefault="00786E0C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תעודות המילווה שהן או הזכות לקבלתן שועבדו או דמי</w:t>
                  </w:r>
                </w:p>
                <w:p w:rsidR="00786E0C" w:rsidRDefault="00786E0C">
                  <w:pPr>
                    <w:pStyle w:val="OCRStyle2"/>
                    <w:ind w:left="1019"/>
                  </w:pPr>
                  <w:r>
                    <w:rPr>
                      <w:rtl/>
                    </w:rPr>
                    <w:t>פדיונן של תעודות כאמור*"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74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3109E6-D645-499E-894A-6C5DAC95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741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86E0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2008-04-07T11:54:00Z</dcterms:created>
  <dcterms:modified xsi:type="dcterms:W3CDTF">2008-04-07T11:54:00Z</dcterms:modified>
</cp:coreProperties>
</file>