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0B23" w:rsidRDefault="003D0B23">
      <w:pPr>
        <w:rPr>
          <w:rtl/>
        </w:rPr>
      </w:pPr>
    </w:p>
    <w:p w:rsidR="003D0B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66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3661" inset="0,0,0,0">
              <w:txbxContent>
                <w:p w:rsidR="003D0B23" w:rsidRDefault="003D0B23">
                  <w:r>
                    <w:rPr>
                      <w:rtl/>
                    </w:rPr>
                    <w:t>165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62" o:spid="_x0000_s1026" type="#_x0000_t202" style="position:absolute;left:0;text-align:left;margin-left:400.35pt;margin-top:714.55pt;width:158.6pt;height:16.85pt;z-index:7;mso-position-horizontal-relative:page;mso-position-vertical-relative:page" stroked="f">
            <v:textbox style="mso-next-textbox:#_x0000_s53662" inset="0,0,0,0">
              <w:txbxContent>
                <w:p w:rsidR="003D0B23" w:rsidRDefault="003D0B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63" o:spid="_x0000_s1027" type="#_x0000_t202" style="position:absolute;left:0;text-align:left;margin-left:167.1pt;margin-top:650.75pt;width:382.55pt;height:58.8pt;z-index:6;mso-position-horizontal-relative:page;mso-position-vertical-relative:page" stroked="f">
            <v:textbox style="mso-next-textbox:#_x0000_s53663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109"/>
                    <w:gridCol w:w="2848"/>
                  </w:tblGrid>
                  <w:tr w:rsidR="003D0B23" w:rsidRPr="003D0B23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ב' באב תשל''ה (10 ביולי 1975); הצעת החיק ודברי הסבר פורסמו בה''ח 1187, תשל''ח,</w:t>
                        </w:r>
                      </w:p>
                      <w:p w:rsidR="003D0B23" w:rsidRPr="003D0B23" w:rsidRDefault="003D0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314.</w:t>
                        </w:r>
                      </w:p>
                    </w:tc>
                  </w:tr>
                  <w:tr w:rsidR="003D0B23" w:rsidRPr="003D0B23">
                    <w:trPr>
                      <w:jc w:val="right"/>
                    </w:trPr>
                    <w:tc>
                      <w:tcPr>
                        <w:tcW w:w="2953" w:type="pct"/>
                      </w:tcPr>
                      <w:p w:rsidR="003D0B23" w:rsidRDefault="003D0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ס"ח תשכ''ט, עמ' 149.</w:t>
                        </w:r>
                      </w:p>
                      <w:p w:rsidR="003D0B23" w:rsidRPr="003D0B23" w:rsidRDefault="003D0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 ס"ה תשל"ד, עמ' 16.</w:t>
                        </w:r>
                      </w:p>
                    </w:tc>
                    <w:tc>
                      <w:tcPr>
                        <w:tcW w:w="2047" w:type="pct"/>
                      </w:tcPr>
                      <w:p w:rsidR="003D0B23" w:rsidRDefault="003D0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תשל''ד, עמ' 67.</w:t>
                        </w:r>
                      </w:p>
                      <w:p w:rsidR="003D0B23" w:rsidRPr="003D0B23" w:rsidRDefault="003D0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ס"ח תשי''ט, עמ' 234.</w:t>
                        </w:r>
                      </w:p>
                    </w:tc>
                  </w:tr>
                </w:tbl>
                <w:p w:rsidR="003D0B23" w:rsidRDefault="003D0B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64" o:spid="_x0000_s1028" type="#_x0000_t202" style="position:absolute;left:0;text-align:left;margin-left:168.9pt;margin-top:587pt;width:118.2pt;height:38.6pt;z-index:5;mso-position-horizontal-relative:page;mso-position-vertical-relative:page" stroked="f">
            <v:textbox style="mso-next-textbox:#_x0000_s53664" inset="0,0,0,0">
              <w:txbxContent>
                <w:p w:rsidR="003D0B23" w:rsidRDefault="003D0B23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3D0B23" w:rsidRDefault="003D0B23">
                  <w:pPr>
                    <w:pStyle w:val="OCRStyle1"/>
                    <w:ind w:left="64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65" o:spid="_x0000_s1029" type="#_x0000_t202" style="position:absolute;left:0;text-align:left;margin-left:314.05pt;margin-top:584.65pt;width:84.75pt;height:38.4pt;z-index:4;mso-position-horizontal-relative:page;mso-position-vertical-relative:page" stroked="f">
            <v:textbox style="mso-next-textbox:#_x0000_s53665" inset="0,0,0,0">
              <w:txbxContent>
                <w:p w:rsidR="003D0B23" w:rsidRDefault="003D0B23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D0B23" w:rsidRDefault="003D0B23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66" o:spid="_x0000_s1030" type="#_x0000_t202" style="position:absolute;left:0;text-align:left;margin-left:436.4pt;margin-top:607.2pt;width:97.4pt;height:36.85pt;z-index:3;mso-position-horizontal-relative:page;mso-position-vertical-relative:page" stroked="f">
            <v:textbox style="mso-next-textbox:#_x0000_s53666" inset="0,0,0,0">
              <w:txbxContent>
                <w:p w:rsidR="003D0B23" w:rsidRDefault="003D0B23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D0B23" w:rsidRDefault="003D0B23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67" o:spid="_x0000_s1031" type="#_x0000_t202" style="position:absolute;left:0;text-align:left;margin-left:101.75pt;margin-top:255.75pt;width:456.4pt;height:325.5pt;z-index:2;mso-position-horizontal-relative:page;mso-position-vertical-relative:page" stroked="f">
            <v:textbox style="mso-next-textbox:#_x0000_s5366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5893"/>
                    <w:gridCol w:w="1231"/>
                  </w:tblGrid>
                  <w:tr w:rsidR="003D0B23" w:rsidRPr="003D0B23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3D0B23" w:rsidRPr="003D0B23" w:rsidRDefault="003D0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3D0B23" w:rsidRDefault="003D0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מילווה בטחוז (מפעלים מאושרים), תשל"ד-1974 1 (להלן -</w:t>
                        </w:r>
                      </w:p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הגדרת "הכנסה מוטבת" יבוא:</w:t>
                        </w:r>
                      </w:p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""הכנסה מוטבת" -</w:t>
                        </w:r>
                      </w:p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הכנסה שחל עליה סעיף 47 לחוק לעידוד השקעות הון, תשיי'ט-,1959 2, למעט</w:t>
                        </w:r>
                      </w:p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מדיבידנד של תושב חח ולמעט הכנסה מדיבידנד המשתלם מתוך</w:t>
                        </w:r>
                      </w:p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דיבידנד שקיבלה הברה ממפעל מאושר ושילמה עליו מילווה על פי חוק זה;</w:t>
                        </w:r>
                      </w:p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הכנסה שחלים עליה סעיפים 5 ו-6 לחוק החברה לישראל בע"מ, תשכ"ט-</w:t>
                        </w:r>
                      </w:p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3, או סעיפים 6 ר7 לחוק לעידוד השקעות (חברות עתירות הון),</w:t>
                        </w:r>
                      </w:p>
                      <w:p w:rsidR="003D0B23" w:rsidRP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תשל"ד-1974 4;".</w:t>
                        </w:r>
                      </w:p>
                    </w:tc>
                  </w:tr>
                  <w:tr w:rsidR="003D0B23" w:rsidRPr="003D0B23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3D0B23" w:rsidRPr="003D0B23" w:rsidRDefault="003D0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3D0B23" w:rsidRP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2 לחוק העיקרי יבוא:</w:t>
                        </w:r>
                      </w:p>
                    </w:tc>
                  </w:tr>
                  <w:tr w:rsidR="003D0B23" w:rsidRPr="003D0B23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1" w:type="pct"/>
                      </w:tcPr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המקבל הכנסה מוטבת יהיה חייב למדינה במילווה בטחת (להלן -</w:t>
                        </w:r>
                      </w:p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המילווה) -</w:t>
                        </w:r>
                      </w:p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לשנת המס 1974 - בשיעור של 7% ;</w:t>
                        </w:r>
                      </w:p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לשנת המס 1975 ואילך - בשיגור של 1/4% 17 אם הוא</w:t>
                        </w:r>
                      </w:p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ובשיעור של 19% אם הוא חבר-בני-אדם."</w:t>
                        </w:r>
                      </w:p>
                    </w:tc>
                    <w:tc>
                      <w:tcPr>
                        <w:tcW w:w="742" w:type="pct"/>
                      </w:tcPr>
                      <w:p w:rsid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"הטלת המילווה</w:t>
                        </w:r>
                      </w:p>
                      <w:p w:rsidR="003D0B23" w:rsidRPr="003D0B23" w:rsidRDefault="003D0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</w:tr>
                  <w:tr w:rsidR="003D0B23" w:rsidRPr="003D0B23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3D0B23" w:rsidRPr="003D0B23" w:rsidRDefault="003D0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3D0B23" w:rsidRDefault="003D0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5(ב) לחוק העיקרי, אחרי "להעברות מכוח הדין" יבוא "ופרט להעברות</w:t>
                        </w:r>
                      </w:p>
                      <w:p w:rsidR="003D0B23" w:rsidRP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 המניות מאת חברה ששילמה מילווה על דיבידנד שקיבלה ממפעל מאושר".</w:t>
                        </w:r>
                      </w:p>
                    </w:tc>
                  </w:tr>
                  <w:tr w:rsidR="003D0B23" w:rsidRPr="003D0B23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3D0B23" w:rsidRPr="003D0B23" w:rsidRDefault="003D0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3D0B23" w:rsidRPr="003D0B23" w:rsidRDefault="003D0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4* תחולתם של סעיפים 1 ו-3 היא לגבי שנת המס 1975 ואילך,</w:t>
                        </w:r>
                      </w:p>
                    </w:tc>
                  </w:tr>
                </w:tbl>
                <w:p w:rsidR="003D0B23" w:rsidRDefault="003D0B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68" o:spid="_x0000_s1032" type="#_x0000_t202" style="position:absolute;left:0;text-align:left;margin-left:176.4pt;margin-top:212pt;width:360.75pt;height:38.6pt;z-index:1;mso-position-horizontal-relative:page;mso-position-vertical-relative:page" stroked="f">
            <v:textbox style="mso-next-textbox:#_x0000_s53668" inset="0,0,0,0">
              <w:txbxContent>
                <w:p w:rsidR="003D0B23" w:rsidRPr="003D0B23" w:rsidRDefault="003D0B23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בטחון (מפעלים מאושרים) (תיקון),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D0B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713037-2D36-4A7F-A98A-14073D06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0B2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2008-04-06T22:24:00Z</dcterms:created>
  <dcterms:modified xsi:type="dcterms:W3CDTF">2008-04-06T22:24:00Z</dcterms:modified>
</cp:coreProperties>
</file>