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15966" w:rsidRDefault="00315966">
      <w:pPr>
        <w:rPr>
          <w:rtl/>
        </w:rPr>
      </w:pPr>
    </w:p>
    <w:p w:rsidR="00315966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3789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3789" inset="0,0,0,0">
              <w:txbxContent>
                <w:p w:rsidR="006604A9" w:rsidRDefault="006604A9">
                  <w:r>
                    <w:rPr>
                      <w:rtl/>
                    </w:rPr>
                    <w:t>101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0" o:spid="_x0000_s1026" type="#_x0000_t202" style="position:absolute;left:0;text-align:left;margin-left:153.45pt;margin-top:668.3pt;width:411.65pt;height:72.25pt;z-index:3;mso-position-horizontal-relative:page;mso-position-vertical-relative:page" stroked="f">
            <v:textbox style="mso-next-textbox:#_x0000_s53790" inset="0,0,0,0">
              <w:txbxContent>
                <w:p w:rsidR="006604A9" w:rsidRDefault="006604A9">
                  <w:pPr>
                    <w:pStyle w:val="OCRStyle1"/>
                    <w:ind w:left="684"/>
                    <w:rPr>
                      <w:rtl/>
                    </w:rPr>
                  </w:pPr>
                  <w:r>
                    <w:rPr>
                      <w:rtl/>
                    </w:rPr>
                    <w:t>* נתקבל בגנסת ביום ה' בניסן תשליט ( 2 באפריל 1979); הצעת החוק ודברי הסבר פורסמו בה"ח 1391, תשליט,</w:t>
                  </w:r>
                </w:p>
                <w:p w:rsidR="006604A9" w:rsidRDefault="006604A9">
                  <w:pPr>
                    <w:pStyle w:val="OCRStyle1"/>
                    <w:ind w:left="79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122.</w:t>
                  </w:r>
                </w:p>
                <w:p w:rsidR="006604A9" w:rsidRPr="00315966" w:rsidRDefault="006604A9">
                  <w:pPr>
                    <w:pStyle w:val="OCRStyle1"/>
                    <w:ind w:left="69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תשכ"א, עמ' 100; תשל"ט, עמ' 96.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1" o:spid="_x0000_s1027" type="#_x0000_t202" style="position:absolute;left:0;text-align:left;margin-left:95.8pt;margin-top:343.55pt;width:457.95pt;height:323.75pt;z-index:2;mso-position-horizontal-relative:page;mso-position-vertical-relative:page" stroked="f">
            <v:textbox style="mso-next-textbox:#_x0000_s5379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69"/>
                    <w:gridCol w:w="957"/>
                    <w:gridCol w:w="6199"/>
                  </w:tblGrid>
                  <w:tr w:rsidR="006604A9" w:rsidRPr="00315966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מס נוסף לשנת</w:t>
                        </w:r>
                      </w:p>
                      <w:p w:rsidR="006604A9" w:rsidRPr="00315966" w:rsidRDefault="00660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1979</w:t>
                        </w:r>
                      </w:p>
                    </w:tc>
                    <w:tc>
                      <w:tcPr>
                        <w:tcW w:w="4298" w:type="pct"/>
                        <w:gridSpan w:val="2"/>
                      </w:tcPr>
                      <w:p w:rsidR="006604A9" w:rsidRDefault="006604A9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על אף האמור כחוק מס רכוש וקרן פיצויים, תשכ"א-1961  1(להלן - החוק העיקרי),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ישלמו בעלי הנכסים שלהלן בשנת המס 1979 מס נוסף על המס שהם חייבים בו לפי החוק</w:t>
                        </w:r>
                      </w:p>
                      <w:p w:rsidR="006604A9" w:rsidRPr="00315966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העיקרי (להלן - מס נוסף), בשיעור משוויים כמפורט לצידם: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%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נכסים המתוארים כסעיף 3 לחוק העיקרי: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קרקע שהיא מלאי עסקי לענין מס הכנסה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קרקע אחרת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1.5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בנין עסקי ובנין מיוחד אחר ששיעור המס המוטל עליהם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החוק העיקרי הוא % 1.5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נכסים המתוארים כסעיף 4 לחוק העיקרי: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0.35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בנין חקלאי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בנין מאגר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0.25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קרקע ומטעים -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לגבי חלק השווי שאיננו עולה על 75,000 לירות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לדונם כשהבעל איננו חקלאי, ולגבי חלק השווי שאיננו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עולה על 225,000 לירות לדונם כשהבעל הוא חקלאי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2.5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לגבי חלק השווי העולה על 75,000 לירות לדונם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כשהבעל איננו חקלאי, ולגבי חלק השווי העולה על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225,000 לירות לדונם כשהבעל הוא חקלאי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מבנה כתהליך כניה -</w:t>
                        </w:r>
                      </w:p>
                    </w:tc>
                  </w:tr>
                  <w:tr w:rsidR="006604A9">
                    <w:trPr>
                      <w:jc w:val="right"/>
                    </w:trPr>
                    <w:tc>
                      <w:tcPr>
                        <w:tcW w:w="702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575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1.2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0.6</w:t>
                        </w:r>
                      </w:p>
                    </w:tc>
                    <w:tc>
                      <w:tcPr>
                        <w:tcW w:w="3723" w:type="pct"/>
                      </w:tcPr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שיעור חד פעמי</w:t>
                        </w:r>
                      </w:p>
                      <w:p w:rsidR="006604A9" w:rsidRDefault="006604A9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שיעור כל מקדמה</w:t>
                        </w:r>
                      </w:p>
                    </w:tc>
                  </w:tr>
                </w:tbl>
                <w:p w:rsidR="006604A9" w:rsidRDefault="006604A9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3792" o:spid="_x0000_s1028" type="#_x0000_t202" style="position:absolute;left:0;text-align:left;margin-left:176.8pt;margin-top:317.05pt;width:339.15pt;height:18.8pt;z-index:1;mso-position-horizontal-relative:page;mso-position-vertical-relative:page" stroked="f">
            <v:textbox style="mso-next-textbox:#_x0000_s53792" inset="0,0,0,0">
              <w:txbxContent>
                <w:p w:rsidR="006604A9" w:rsidRPr="00315966" w:rsidRDefault="006604A9">
                  <w:pPr>
                    <w:pStyle w:val="OCRStyle1"/>
                    <w:ind w:left="148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מס רכוש וקרן פיצויים (הוראת שעה), תשל"ט-1979 *</w:t>
                  </w:r>
                </w:p>
              </w:txbxContent>
            </v:textbox>
            <w10:wrap anchorx="page" anchory="page"/>
          </v:shape>
        </w:pict>
      </w:r>
    </w:p>
    <w:p w:rsidR="0004639F" w:rsidRDefault="0004639F">
      <w:pPr>
        <w:rPr>
          <w:rtl/>
        </w:rPr>
      </w:pPr>
      <w:r>
        <w:rPr>
          <w:rtl/>
        </w:rPr>
        <w:br w:type="page"/>
      </w:r>
    </w:p>
    <w:p w:rsidR="0004639F" w:rsidRDefault="00000000">
      <w:pPr>
        <w:rPr>
          <w:rtl/>
        </w:rPr>
      </w:pPr>
      <w:r>
        <w:pict>
          <v:shape id="_x0000_s53793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3793" inset="0,0,0,0">
              <w:txbxContent>
                <w:p w:rsidR="006604A9" w:rsidRDefault="006604A9">
                  <w:r>
                    <w:rPr>
                      <w:rtl/>
                    </w:rPr>
                    <w:t>102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4" o:spid="_x0000_s1030" type="#_x0000_t202" style="position:absolute;left:0;text-align:left;margin-left:82.5pt;margin-top:719.8pt;width:199.8pt;height:21.6pt;z-index:6;mso-position-horizontal-relative:page;mso-position-vertical-relative:page" stroked="f">
            <v:textbox style="mso-next-textbox:#_x0000_s53794" inset="0,0,0,0">
              <w:txbxContent>
                <w:p w:rsidR="006604A9" w:rsidRDefault="006604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3795" o:spid="_x0000_s1031" type="#_x0000_t202" style="position:absolute;left:0;text-align:left;margin-left:90.25pt;margin-top:64.8pt;width:471.05pt;height:643.9pt;z-index:5;mso-position-horizontal-relative:page;mso-position-vertical-relative:page" stroked="f">
            <v:textbox style="mso-next-textbox:#_x0000_s53795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16"/>
                    <w:gridCol w:w="1447"/>
                  </w:tblGrid>
                  <w:tr w:rsidR="006604A9" w:rsidRPr="0004639F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(1) יחיד שהיה כיום ד' בניסן תשל"ט (1 באפריל 1979) כעל קרקעות שסעיף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 (1) (ב) חל עליהן (להלן בסעיף זה - קרקעות עירוניות) יהיה זכאי, לענין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 הנוסף, לניכוי של שני שלישים מחלק השווי הכולל של קרקעותיו העירו-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ניות, עד מיליון לירות.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השווי הכולל של קרקעותיו העירוניות על מיליון לירות, יופחת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 האמור בפסקה (1) כשני שלישים מחלק השווי העולה על מיליון לירות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(1) יחיד שהיה ביום די בניסן תשל"ט (1 באפריל 1979) בעל קרקעות ומטעים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שסעיף 1 (2) (ג) חל עליהן (להלן כסעיף זה - קרקעות חקלאיות), יהיה זכאי,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המס הנוסף, לניכוי של שני שלישים מחלק השווי הכולל של קרקעותיו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החקלאיות שחל עליהן סעיף 1(2) (ג)(2) (להלן כסעיף זה - שווי מזכה),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עד מיליון לירות.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עלה השווי המזכה הכולל על מיליון לירות, יופחת הניכוי האמור בפסקה (1)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כשני שלישים מחלק השווי המזכה העולה על מיליון לירות כאמור.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היו ליחיד גם קרקעות עירוניות וגם קרקעות חקלאיות, יצורף, לענין מתן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הניכוי, השווי המזכה לשווי הכולל של הקרקעות העירוניות.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בסעיף זה, "יחיד" - לרבות בן-זוגו וילדיו שבתחילת שנת המס 1979 טרם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מלאו להם 18 שנה (להלן - משפחתו).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הזכות לניכוי לפי סעיפים קטנים (א) ו-(כ) מותנית בכך שבעל הקרקע -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יגיש למנהל, לא יאוחר מיום ה' בתמוז תשל"ט (30 ביוני 1979), הצהרה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שבה יפרט את כל הקרקעות שבבעלותו ובבעלות משפחתו, לרבות קרקעות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בבעלות משותפת עם אחרים;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ישלם עד יום ט' בתשרי תש"ם (30 בספטמבר 1979) את מלוא המס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הנוסף המגיע בשל הקרקעות, ואם השיג על השומה - לפחות את המס שאינו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שנוי במחלוקת; ובלבד שאם שילם את המס שאינו שנוי במחלוקת והתברר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כי הוא חייב סכום מס נוסף לא יהא זכאי לניכוי כשל חלק השווי שממנו עולה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הסכום הנוסף.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ניכוי בקול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קרקעות ומטעים</w:t>
                        </w:r>
                      </w:p>
                    </w:tc>
                  </w:tr>
                  <w:tr w:rsidR="006604A9" w:rsidRPr="0004639F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על אף האמור כסעיף 1, יחיד שסעיף 2 אינו חל עליו ושהיה כיום ד' בניסן תשל"ט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באפריל 1979) כעל קרקע אשר סעיף 1 (1) (כ) או (2) (ג) (2) חל עליה ואשר סוגה,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יעודה ואפשרויות הניצול הכלכלי שלה, וכן הבעלות בה, לא נשתנו משנת 1978, לא ישלם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 לשנת המס 1979 יותר ממס על השווי שנקבע לשנת 1978 בתוספת 150%, ובלבד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ששילם את מלוא המס המגיע ממנו עליה עד יום ט' בתשרי תש"ם (30 בספטמבר 1979).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</w:t>
                        </w:r>
                      </w:p>
                    </w:tc>
                  </w:tr>
                  <w:tr w:rsidR="006604A9" w:rsidRPr="0004639F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על אף האמור בסעיף 16 לחוק העיקרי, רשאי שר האוצר, באישור ועדת הכספים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הכנסת, לשנות, גם כשנת המס 1979, את השווי של הנכסים המפורטים בסעיף 13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לחוק העיקרי.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סמכות לשנות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שוויים של נכסים</w:t>
                        </w:r>
                      </w:p>
                    </w:tc>
                  </w:tr>
                  <w:tr w:rsidR="006604A9" w:rsidRPr="0004639F">
                    <w:trPr>
                      <w:jc w:val="right"/>
                    </w:trPr>
                    <w:tc>
                      <w:tcPr>
                        <w:tcW w:w="415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הוראות החוק העיקרי, למעט ההוראה בדבר הנחה כשל הקדמת תשלום על פי סעיף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 (ב) לחוק העיקרי - לגבי מי שסעיף 2 חל עליו - יחולו לגבי המס הנוסף כאילו היה</w:t>
                        </w:r>
                      </w:p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 רכוש; לא תהיה סמכות מכוח סעיף 51 לחוק העיקרי להאריך את המועד לתשלום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בסעיפים 2 (ה) (2) או 3 לחוק זה.</w:t>
                        </w:r>
                      </w:p>
                    </w:tc>
                    <w:tc>
                      <w:tcPr>
                        <w:tcW w:w="845" w:type="pct"/>
                      </w:tcPr>
                      <w:p w:rsidR="006604A9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הוראות</w:t>
                        </w:r>
                      </w:p>
                      <w:p w:rsidR="006604A9" w:rsidRPr="0004639F" w:rsidRDefault="006604A9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</w:t>
                        </w:r>
                      </w:p>
                    </w:tc>
                  </w:tr>
                </w:tbl>
                <w:p w:rsidR="006604A9" w:rsidRDefault="006604A9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604A9" w:rsidRDefault="006604A9">
      <w:pPr>
        <w:rPr>
          <w:rtl/>
        </w:rPr>
      </w:pPr>
      <w:r>
        <w:rPr>
          <w:rtl/>
        </w:rPr>
        <w:br w:type="page"/>
      </w:r>
    </w:p>
    <w:p w:rsidR="006604A9" w:rsidRDefault="00000000">
      <w:pPr>
        <w:rPr>
          <w:rtl/>
        </w:rPr>
      </w:pPr>
      <w:r>
        <w:pict>
          <v:shape id="_x0000_s53796" o:spid="_x0000_s1032" type="#_x0000_t202" style="position:absolute;left:0;text-align:left;margin-left:50pt;margin-top:771.95pt;width:495.35pt;height:30pt;z-index:12;mso-position-horizontal-relative:page;mso-position-vertical-relative:page" stroked="f">
            <v:textbox style="mso-next-textbox:#_x0000_s53796" inset="0,0,0,0">
              <w:txbxContent>
                <w:p w:rsidR="006604A9" w:rsidRDefault="006604A9">
                  <w:r>
                    <w:rPr>
                      <w:rtl/>
                    </w:rPr>
                    <w:t>103                                          ספר החוקים 934                  י"ג בניסן התשל"ט 10.04.1979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7" o:spid="_x0000_s1033" type="#_x0000_t202" style="position:absolute;left:0;text-align:left;margin-left:461.85pt;margin-top:147.45pt;width:97.2pt;height:37.05pt;z-index:11;mso-position-horizontal-relative:page;mso-position-vertical-relative:page" stroked="f">
            <v:textbox style="mso-next-textbox:#_x0000_s53797" inset="0,0,0,0">
              <w:txbxContent>
                <w:p w:rsidR="006604A9" w:rsidRDefault="006604A9">
                  <w:pPr>
                    <w:pStyle w:val="OCRStyle3"/>
                    <w:ind w:left="378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6604A9" w:rsidRDefault="006604A9">
                  <w:pPr>
                    <w:pStyle w:val="OCRStyle3"/>
                    <w:ind w:left="37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8" o:spid="_x0000_s1034" type="#_x0000_t202" style="position:absolute;left:0;text-align:left;margin-left:177.7pt;margin-top:122.5pt;width:99.8pt;height:23.15pt;z-index:10;mso-position-horizontal-relative:page;mso-position-vertical-relative:page" stroked="f">
            <v:textbox style="mso-next-textbox:#_x0000_s53798" inset="0,0,0,0">
              <w:txbxContent>
                <w:p w:rsidR="006604A9" w:rsidRDefault="006604A9">
                  <w:pPr>
                    <w:pStyle w:val="OCRStyle3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שמחה ארליך</w:t>
                  </w:r>
                </w:p>
                <w:p w:rsidR="006604A9" w:rsidRDefault="006604A9">
                  <w:pPr>
                    <w:pStyle w:val="OCRStyle3"/>
                    <w:ind w:left="47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53799" o:spid="_x0000_s1035" type="#_x0000_t202" style="position:absolute;left:0;text-align:left;margin-left:311.15pt;margin-top:121.7pt;width:112.65pt;height:30.9pt;z-index:9;mso-position-horizontal-relative:page;mso-position-vertical-relative:page" stroked="f">
            <v:textbox style="mso-next-textbox:#_x0000_s53799" inset="0,0,0,0">
              <w:txbxContent>
                <w:p w:rsidR="006604A9" w:rsidRDefault="006604A9">
                  <w:pPr>
                    <w:pStyle w:val="OCRStyle3"/>
                    <w:ind w:left="803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604A9" w:rsidRDefault="006604A9">
                  <w:pPr>
                    <w:pStyle w:val="OCRStyle3"/>
                    <w:ind w:left="806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3800" o:spid="_x0000_s1036" type="#_x0000_t202" style="position:absolute;left:0;text-align:left;margin-left:90.8pt;margin-top:66.45pt;width:464.9pt;height:36.25pt;z-index:8;mso-position-horizontal-relative:page;mso-position-vertical-relative:page" stroked="f">
            <v:textbox style="mso-next-textbox:#_x0000_s53800" inset="0,0,0,0">
              <w:txbxContent>
                <w:tbl>
                  <w:tblPr>
                    <w:tblW w:w="45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0"/>
                    <w:gridCol w:w="236"/>
                    <w:gridCol w:w="7092"/>
                  </w:tblGrid>
                  <w:tr w:rsidR="006604A9" w:rsidRPr="006604A9">
                    <w:trPr>
                      <w:jc w:val="right"/>
                    </w:trPr>
                    <w:tc>
                      <w:tcPr>
                        <w:tcW w:w="753" w:type="pct"/>
                      </w:tcPr>
                      <w:p w:rsid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הוראת מעבר</w:t>
                        </w:r>
                      </w:p>
                      <w:p w:rsid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למבנה בתהליך</w:t>
                        </w:r>
                      </w:p>
                      <w:p w:rsidR="006604A9" w:rsidRP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בניה</w:t>
                        </w:r>
                      </w:p>
                    </w:tc>
                    <w:tc>
                      <w:tcPr>
                        <w:tcW w:w="137" w:type="pct"/>
                      </w:tcPr>
                      <w:p w:rsid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10" w:type="pct"/>
                      </w:tcPr>
                      <w:p w:rsid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 .נשל מבנה בתהליך בניה שבנייתו החלה לפני תחילת חוק זה ישולם מס יחסי כיחס</w:t>
                        </w:r>
                      </w:p>
                      <w:p w:rsidR="006604A9" w:rsidRPr="006604A9" w:rsidRDefault="006604A9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תקופת הבניה שלאחר תחילת חוק זה לכל תקופת הבניה.</w:t>
                        </w:r>
                      </w:p>
                    </w:tc>
                  </w:tr>
                </w:tbl>
                <w:p w:rsidR="006604A9" w:rsidRDefault="006604A9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315966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596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012E666-9228-4EB5-A666-C728C91E7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315966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04639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604A9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4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2008-04-06T23:57:00Z</dcterms:created>
  <dcterms:modified xsi:type="dcterms:W3CDTF">2008-04-06T23:57:00Z</dcterms:modified>
</cp:coreProperties>
</file>