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993A7" w14:textId="77777777" w:rsidR="009B209E" w:rsidRPr="00D341FB" w:rsidRDefault="002C1FF9" w:rsidP="002C1FF9">
      <w:pPr>
        <w:jc w:val="center"/>
        <w:rPr>
          <w:b/>
          <w:sz w:val="32"/>
          <w:szCs w:val="32"/>
          <w:u w:val="single"/>
        </w:rPr>
      </w:pPr>
      <w:r w:rsidRPr="00D341FB">
        <w:rPr>
          <w:b/>
          <w:sz w:val="32"/>
          <w:szCs w:val="32"/>
          <w:u w:val="single"/>
        </w:rPr>
        <w:t>QUALITY CHECK</w:t>
      </w:r>
    </w:p>
    <w:p w14:paraId="5CC24542" w14:textId="77777777" w:rsidR="002C1FF9" w:rsidRPr="00D341FB" w:rsidRDefault="002C1FF9" w:rsidP="002C1FF9">
      <w:pPr>
        <w:rPr>
          <w:b/>
          <w:u w:val="single"/>
        </w:rPr>
      </w:pPr>
    </w:p>
    <w:p w14:paraId="23E7DBC8" w14:textId="77777777" w:rsidR="002C1FF9" w:rsidRPr="00503D4C" w:rsidRDefault="002C1FF9" w:rsidP="00503D4C">
      <w:pPr>
        <w:widowControl w:val="0"/>
        <w:tabs>
          <w:tab w:val="left" w:pos="220"/>
          <w:tab w:val="left" w:pos="720"/>
        </w:tabs>
        <w:autoSpaceDE w:val="0"/>
        <w:autoSpaceDN w:val="0"/>
        <w:adjustRightInd w:val="0"/>
        <w:spacing w:after="293" w:line="276" w:lineRule="auto"/>
        <w:jc w:val="both"/>
        <w:rPr>
          <w:sz w:val="28"/>
          <w:szCs w:val="28"/>
        </w:rPr>
      </w:pPr>
      <w:r w:rsidRPr="00D341FB">
        <w:rPr>
          <w:b/>
          <w:sz w:val="28"/>
          <w:szCs w:val="28"/>
          <w:u w:val="single"/>
        </w:rPr>
        <w:t>Q.a.)</w:t>
      </w:r>
      <w:r w:rsidRPr="00D341FB">
        <w:rPr>
          <w:sz w:val="28"/>
          <w:szCs w:val="28"/>
        </w:rPr>
        <w:t xml:space="preserve"> </w:t>
      </w:r>
      <w:r w:rsidRPr="00503D4C">
        <w:rPr>
          <w:sz w:val="28"/>
          <w:szCs w:val="28"/>
        </w:rPr>
        <w:t xml:space="preserve">Knowing what data is important to monitor is an important prioritization skill in </w:t>
      </w:r>
      <w:r w:rsidRPr="00503D4C">
        <w:rPr>
          <w:rFonts w:ascii="MS Mincho" w:eastAsia="MS Mincho" w:hAnsi="MS Mincho" w:cs="MS Mincho"/>
          <w:sz w:val="28"/>
          <w:szCs w:val="28"/>
        </w:rPr>
        <w:t> </w:t>
      </w:r>
      <w:r w:rsidRPr="00503D4C">
        <w:rPr>
          <w:sz w:val="28"/>
          <w:szCs w:val="28"/>
        </w:rPr>
        <w:t>Data Management. For your expanded data set (and outside of Loan_Amount_000 and Respondent_Name), explain which two columns you think are most important to monitor and why.</w:t>
      </w:r>
    </w:p>
    <w:p w14:paraId="10E7433A" w14:textId="77777777" w:rsidR="002C1FF9" w:rsidRPr="00D341FB" w:rsidRDefault="002C1FF9" w:rsidP="002C1FF9">
      <w:pPr>
        <w:widowControl w:val="0"/>
        <w:tabs>
          <w:tab w:val="left" w:pos="220"/>
          <w:tab w:val="left" w:pos="720"/>
        </w:tabs>
        <w:autoSpaceDE w:val="0"/>
        <w:autoSpaceDN w:val="0"/>
        <w:adjustRightInd w:val="0"/>
        <w:spacing w:after="293" w:line="340" w:lineRule="atLeast"/>
        <w:jc w:val="both"/>
        <w:rPr>
          <w:sz w:val="28"/>
          <w:szCs w:val="28"/>
        </w:rPr>
      </w:pPr>
      <w:r w:rsidRPr="00D341FB">
        <w:rPr>
          <w:b/>
          <w:sz w:val="28"/>
          <w:szCs w:val="28"/>
        </w:rPr>
        <w:t>Opinion</w:t>
      </w:r>
      <w:r w:rsidRPr="00D341FB">
        <w:rPr>
          <w:sz w:val="28"/>
          <w:szCs w:val="28"/>
        </w:rPr>
        <w:t>:</w:t>
      </w:r>
    </w:p>
    <w:p w14:paraId="130ACB0F" w14:textId="77777777" w:rsidR="00DC5AA0" w:rsidRDefault="0022302B" w:rsidP="00503D4C">
      <w:pPr>
        <w:spacing w:line="276" w:lineRule="auto"/>
        <w:jc w:val="both"/>
        <w:rPr>
          <w:rFonts w:eastAsia="MS Mincho"/>
        </w:rPr>
      </w:pPr>
      <w:r>
        <w:rPr>
          <w:rFonts w:eastAsia="MS Mincho"/>
        </w:rPr>
        <w:t>T</w:t>
      </w:r>
      <w:r w:rsidR="002C1FF9" w:rsidRPr="00D341FB">
        <w:rPr>
          <w:rFonts w:eastAsia="MS Mincho"/>
        </w:rPr>
        <w:t xml:space="preserve">he purpose of HMDA are three fold: </w:t>
      </w:r>
    </w:p>
    <w:p w14:paraId="201CC0C3" w14:textId="77777777" w:rsidR="00DC5AA0" w:rsidRDefault="002C1FF9" w:rsidP="00503D4C">
      <w:pPr>
        <w:pStyle w:val="ListParagraph"/>
        <w:numPr>
          <w:ilvl w:val="0"/>
          <w:numId w:val="3"/>
        </w:numPr>
        <w:spacing w:line="276" w:lineRule="auto"/>
        <w:jc w:val="both"/>
        <w:rPr>
          <w:rFonts w:ascii="Times New Roman" w:hAnsi="Times New Roman" w:cs="Times New Roman"/>
          <w:color w:val="252525"/>
          <w:sz w:val="24"/>
          <w:szCs w:val="24"/>
          <w:shd w:val="clear" w:color="auto" w:fill="FFFFFF"/>
        </w:rPr>
      </w:pPr>
      <w:r w:rsidRPr="00DC5AA0">
        <w:rPr>
          <w:rFonts w:ascii="Times New Roman" w:eastAsia="MS Mincho" w:hAnsi="Times New Roman" w:cs="Times New Roman"/>
          <w:sz w:val="24"/>
          <w:szCs w:val="24"/>
        </w:rPr>
        <w:t xml:space="preserve">to ensure that the </w:t>
      </w:r>
      <w:r w:rsidRPr="00DC5AA0">
        <w:rPr>
          <w:rFonts w:ascii="Times New Roman" w:hAnsi="Times New Roman" w:cs="Times New Roman"/>
          <w:color w:val="252525"/>
          <w:sz w:val="24"/>
          <w:szCs w:val="24"/>
          <w:shd w:val="clear" w:color="auto" w:fill="FFFFFF"/>
        </w:rPr>
        <w:t xml:space="preserve">financial institutions are serving the housing credit needs of the neighborhoods and communities in which they are located. </w:t>
      </w:r>
    </w:p>
    <w:p w14:paraId="0A1BC92B" w14:textId="77777777" w:rsidR="00DC5AA0" w:rsidRDefault="002C1FF9" w:rsidP="00503D4C">
      <w:pPr>
        <w:pStyle w:val="ListParagraph"/>
        <w:numPr>
          <w:ilvl w:val="0"/>
          <w:numId w:val="3"/>
        </w:numPr>
        <w:spacing w:line="276" w:lineRule="auto"/>
        <w:jc w:val="both"/>
        <w:rPr>
          <w:rFonts w:ascii="Times New Roman" w:hAnsi="Times New Roman" w:cs="Times New Roman"/>
          <w:color w:val="252525"/>
          <w:sz w:val="24"/>
          <w:szCs w:val="24"/>
          <w:shd w:val="clear" w:color="auto" w:fill="FFFFFF"/>
        </w:rPr>
      </w:pPr>
      <w:r w:rsidRPr="00DC5AA0">
        <w:rPr>
          <w:rFonts w:ascii="Times New Roman" w:hAnsi="Times New Roman" w:cs="Times New Roman"/>
          <w:color w:val="252525"/>
          <w:sz w:val="24"/>
          <w:szCs w:val="24"/>
          <w:shd w:val="clear" w:color="auto" w:fill="FFFFFF"/>
        </w:rPr>
        <w:t xml:space="preserve"> to aid public officials in targeting public investments from the private sector to areas </w:t>
      </w:r>
      <w:r w:rsidR="00DC5AA0" w:rsidRPr="00DC5AA0">
        <w:rPr>
          <w:rFonts w:ascii="Times New Roman" w:hAnsi="Times New Roman" w:cs="Times New Roman"/>
          <w:color w:val="252525"/>
          <w:sz w:val="24"/>
          <w:szCs w:val="24"/>
          <w:shd w:val="clear" w:color="auto" w:fill="FFFFFF"/>
        </w:rPr>
        <w:t xml:space="preserve">where they are needed. </w:t>
      </w:r>
    </w:p>
    <w:p w14:paraId="67011F4E" w14:textId="77777777" w:rsidR="00DC5AA0" w:rsidRDefault="002C1FF9" w:rsidP="00503D4C">
      <w:pPr>
        <w:pStyle w:val="ListParagraph"/>
        <w:numPr>
          <w:ilvl w:val="0"/>
          <w:numId w:val="3"/>
        </w:numPr>
        <w:spacing w:line="276" w:lineRule="auto"/>
        <w:jc w:val="both"/>
        <w:rPr>
          <w:rFonts w:ascii="Times New Roman" w:hAnsi="Times New Roman" w:cs="Times New Roman"/>
          <w:color w:val="252525"/>
          <w:sz w:val="24"/>
          <w:szCs w:val="24"/>
          <w:shd w:val="clear" w:color="auto" w:fill="FFFFFF"/>
        </w:rPr>
      </w:pPr>
      <w:r w:rsidRPr="00DC5AA0">
        <w:rPr>
          <w:rFonts w:ascii="Times New Roman" w:hAnsi="Times New Roman" w:cs="Times New Roman"/>
          <w:color w:val="252525"/>
          <w:sz w:val="24"/>
          <w:szCs w:val="24"/>
          <w:shd w:val="clear" w:color="auto" w:fill="FFFFFF"/>
        </w:rPr>
        <w:t xml:space="preserve">collection and disclosure of data about applicant and borrower characteristics to assist in identifying possible discriminatory lending patterns and enforcing antidiscrimination statutes. </w:t>
      </w:r>
    </w:p>
    <w:p w14:paraId="311AE561" w14:textId="77777777" w:rsidR="002C1FF9" w:rsidRPr="00DC5AA0" w:rsidRDefault="00FD5E3A" w:rsidP="00503D4C">
      <w:pPr>
        <w:spacing w:line="276" w:lineRule="auto"/>
        <w:jc w:val="both"/>
        <w:rPr>
          <w:color w:val="252525"/>
          <w:shd w:val="clear" w:color="auto" w:fill="FFFFFF"/>
        </w:rPr>
      </w:pPr>
      <w:r w:rsidRPr="00DC5AA0">
        <w:rPr>
          <w:color w:val="252525"/>
          <w:shd w:val="clear" w:color="auto" w:fill="FFFFFF"/>
        </w:rPr>
        <w:t xml:space="preserve">The </w:t>
      </w:r>
      <w:r w:rsidR="00DC5AA0">
        <w:rPr>
          <w:color w:val="252525"/>
          <w:shd w:val="clear" w:color="auto" w:fill="FFFFFF"/>
        </w:rPr>
        <w:t xml:space="preserve">HMDA </w:t>
      </w:r>
      <w:r w:rsidRPr="00DC5AA0">
        <w:rPr>
          <w:color w:val="252525"/>
          <w:shd w:val="clear" w:color="auto" w:fill="FFFFFF"/>
        </w:rPr>
        <w:t xml:space="preserve">data revolves around features of loan, applicant, institution and property involved. </w:t>
      </w:r>
    </w:p>
    <w:p w14:paraId="6FDE7F3F" w14:textId="77777777" w:rsidR="00FD5E3A" w:rsidRPr="00D341FB" w:rsidRDefault="00FD5E3A" w:rsidP="00503D4C">
      <w:pPr>
        <w:spacing w:line="276" w:lineRule="auto"/>
        <w:jc w:val="both"/>
        <w:rPr>
          <w:color w:val="252525"/>
          <w:shd w:val="clear" w:color="auto" w:fill="FFFFFF"/>
        </w:rPr>
      </w:pPr>
    </w:p>
    <w:p w14:paraId="45C478E4" w14:textId="77777777" w:rsidR="001C4D39" w:rsidRDefault="00FD5E3A" w:rsidP="00503D4C">
      <w:pPr>
        <w:spacing w:line="276" w:lineRule="auto"/>
        <w:jc w:val="both"/>
        <w:rPr>
          <w:color w:val="252525"/>
          <w:shd w:val="clear" w:color="auto" w:fill="FFFFFF"/>
        </w:rPr>
      </w:pPr>
      <w:r w:rsidRPr="00D341FB">
        <w:rPr>
          <w:color w:val="252525"/>
          <w:shd w:val="clear" w:color="auto" w:fill="FFFFFF"/>
        </w:rPr>
        <w:t xml:space="preserve">Loan amount and the responding institution’s name play a significant role in analyzing the asset portfolio per institution, trends in loan pricing, market share of the institution etc. </w:t>
      </w:r>
    </w:p>
    <w:p w14:paraId="1D5E96FA" w14:textId="77777777" w:rsidR="001C4D39" w:rsidRDefault="001C4D39" w:rsidP="00503D4C">
      <w:pPr>
        <w:spacing w:line="276" w:lineRule="auto"/>
        <w:jc w:val="both"/>
        <w:rPr>
          <w:color w:val="252525"/>
          <w:shd w:val="clear" w:color="auto" w:fill="FFFFFF"/>
        </w:rPr>
      </w:pPr>
    </w:p>
    <w:p w14:paraId="50D2A79F" w14:textId="77777777" w:rsidR="00DC5AA0" w:rsidRPr="00DC5AA0" w:rsidRDefault="00DC5AA0" w:rsidP="00503D4C">
      <w:pPr>
        <w:spacing w:line="276" w:lineRule="auto"/>
        <w:jc w:val="both"/>
        <w:rPr>
          <w:color w:val="252525"/>
          <w:shd w:val="clear" w:color="auto" w:fill="FFFFFF"/>
        </w:rPr>
      </w:pPr>
      <w:r w:rsidRPr="00DC5AA0">
        <w:rPr>
          <w:color w:val="252525"/>
          <w:shd w:val="clear" w:color="auto" w:fill="FFFFFF"/>
        </w:rPr>
        <w:t>O</w:t>
      </w:r>
      <w:r w:rsidR="001C4D39" w:rsidRPr="00DC5AA0">
        <w:rPr>
          <w:color w:val="252525"/>
          <w:shd w:val="clear" w:color="auto" w:fill="FFFFFF"/>
        </w:rPr>
        <w:t xml:space="preserve">ther key place holders </w:t>
      </w:r>
      <w:r w:rsidRPr="00DC5AA0">
        <w:rPr>
          <w:color w:val="252525"/>
          <w:shd w:val="clear" w:color="auto" w:fill="FFFFFF"/>
        </w:rPr>
        <w:t xml:space="preserve">are </w:t>
      </w:r>
    </w:p>
    <w:p w14:paraId="3C755E72" w14:textId="77777777" w:rsidR="00DC5AA0" w:rsidRDefault="00DC5AA0" w:rsidP="00DC5AA0">
      <w:pPr>
        <w:spacing w:line="276" w:lineRule="auto"/>
        <w:jc w:val="both"/>
        <w:rPr>
          <w:color w:val="252525"/>
          <w:shd w:val="clear" w:color="auto" w:fill="FFFFFF"/>
        </w:rPr>
      </w:pPr>
    </w:p>
    <w:p w14:paraId="7DB51387" w14:textId="77777777" w:rsidR="00DC5AA0" w:rsidRDefault="00DC5AA0" w:rsidP="001C4D39">
      <w:pPr>
        <w:pStyle w:val="ListParagraph"/>
        <w:numPr>
          <w:ilvl w:val="0"/>
          <w:numId w:val="6"/>
        </w:numPr>
        <w:spacing w:line="276" w:lineRule="auto"/>
        <w:jc w:val="both"/>
        <w:rPr>
          <w:rFonts w:ascii="Times New Roman" w:hAnsi="Times New Roman" w:cs="Times New Roman"/>
          <w:color w:val="252525"/>
          <w:sz w:val="24"/>
          <w:szCs w:val="24"/>
          <w:shd w:val="clear" w:color="auto" w:fill="FFFFFF"/>
        </w:rPr>
      </w:pPr>
      <w:r w:rsidRPr="00DC5AA0">
        <w:rPr>
          <w:rFonts w:ascii="Times New Roman" w:hAnsi="Times New Roman" w:cs="Times New Roman"/>
          <w:b/>
          <w:color w:val="252525"/>
          <w:sz w:val="24"/>
          <w:szCs w:val="24"/>
          <w:shd w:val="clear" w:color="auto" w:fill="FFFFFF"/>
        </w:rPr>
        <w:t>L</w:t>
      </w:r>
      <w:r w:rsidR="00317380" w:rsidRPr="00DC5AA0">
        <w:rPr>
          <w:rFonts w:ascii="Times New Roman" w:hAnsi="Times New Roman" w:cs="Times New Roman"/>
          <w:b/>
          <w:color w:val="252525"/>
          <w:sz w:val="24"/>
          <w:szCs w:val="24"/>
          <w:shd w:val="clear" w:color="auto" w:fill="FFFFFF"/>
        </w:rPr>
        <w:t>oan type</w:t>
      </w:r>
      <w:r w:rsidR="00D02DAE">
        <w:rPr>
          <w:rFonts w:ascii="Times New Roman" w:hAnsi="Times New Roman" w:cs="Times New Roman"/>
          <w:b/>
          <w:color w:val="252525"/>
          <w:sz w:val="24"/>
          <w:szCs w:val="24"/>
          <w:shd w:val="clear" w:color="auto" w:fill="FFFFFF"/>
        </w:rPr>
        <w:t xml:space="preserve"> </w:t>
      </w:r>
      <w:r w:rsidR="00540123">
        <w:rPr>
          <w:rFonts w:ascii="Times New Roman" w:hAnsi="Times New Roman" w:cs="Times New Roman"/>
          <w:b/>
          <w:color w:val="252525"/>
          <w:sz w:val="24"/>
          <w:szCs w:val="24"/>
          <w:shd w:val="clear" w:color="auto" w:fill="FFFFFF"/>
        </w:rPr>
        <w:t>(conventional and conforming status)</w:t>
      </w:r>
      <w:r w:rsidR="00317380" w:rsidRPr="00DC5AA0">
        <w:rPr>
          <w:rFonts w:ascii="Times New Roman" w:hAnsi="Times New Roman" w:cs="Times New Roman"/>
          <w:color w:val="252525"/>
          <w:sz w:val="24"/>
          <w:szCs w:val="24"/>
          <w:shd w:val="clear" w:color="auto" w:fill="FFFFFF"/>
        </w:rPr>
        <w:t>. The percentage share of conventional and conforming loans is always a good indicator of the lender type and loan pricing with respect to the economic zone.</w:t>
      </w:r>
      <w:r w:rsidR="00540123">
        <w:rPr>
          <w:rFonts w:ascii="Times New Roman" w:hAnsi="Times New Roman" w:cs="Times New Roman"/>
          <w:color w:val="252525"/>
          <w:sz w:val="24"/>
          <w:szCs w:val="24"/>
          <w:shd w:val="clear" w:color="auto" w:fill="FFFFFF"/>
        </w:rPr>
        <w:t xml:space="preserve"> Reasons are:</w:t>
      </w:r>
    </w:p>
    <w:p w14:paraId="26BB1343" w14:textId="77777777" w:rsidR="00BF4164" w:rsidRPr="00BF4164" w:rsidRDefault="00BF4164" w:rsidP="005E0FCC">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homebuyers rely </w:t>
      </w:r>
      <w:r w:rsidRPr="00BF4164">
        <w:rPr>
          <w:rFonts w:ascii="Times New Roman" w:hAnsi="Times New Roman" w:cs="Times New Roman"/>
          <w:color w:val="000000"/>
          <w:sz w:val="24"/>
          <w:szCs w:val="24"/>
          <w:shd w:val="clear" w:color="auto" w:fill="FFFFFF"/>
        </w:rPr>
        <w:t>heavily on government-backed mortgages, particularly those insured by the FHA or guaranteed by the VA, to finance their purchases</w:t>
      </w:r>
      <w:r w:rsidR="00D02DAE">
        <w:rPr>
          <w:rFonts w:ascii="Times New Roman" w:hAnsi="Times New Roman" w:cs="Times New Roman"/>
          <w:color w:val="000000"/>
          <w:sz w:val="24"/>
          <w:szCs w:val="24"/>
          <w:shd w:val="clear" w:color="auto" w:fill="FFFFFF"/>
        </w:rPr>
        <w:t xml:space="preserve"> when a financial crisis is present.</w:t>
      </w:r>
    </w:p>
    <w:p w14:paraId="71DEB67F" w14:textId="77777777" w:rsidR="00BF4164" w:rsidRPr="00BF4164" w:rsidRDefault="00BF4164" w:rsidP="005E0FCC">
      <w:pPr>
        <w:pStyle w:val="ListParagraph"/>
        <w:numPr>
          <w:ilvl w:val="0"/>
          <w:numId w:val="10"/>
        </w:numPr>
        <w:spacing w:line="276" w:lineRule="auto"/>
        <w:jc w:val="both"/>
        <w:rPr>
          <w:rFonts w:ascii="Times New Roman" w:hAnsi="Times New Roman" w:cs="Times New Roman"/>
          <w:sz w:val="24"/>
          <w:szCs w:val="24"/>
        </w:rPr>
      </w:pPr>
      <w:r w:rsidRPr="00BF4164">
        <w:rPr>
          <w:rFonts w:ascii="Times New Roman" w:hAnsi="Times New Roman" w:cs="Times New Roman"/>
          <w:sz w:val="24"/>
          <w:szCs w:val="24"/>
        </w:rPr>
        <w:t xml:space="preserve">a highly disproportionate share of conventional higher-priced loans </w:t>
      </w:r>
      <w:r w:rsidR="00D02DAE">
        <w:rPr>
          <w:rFonts w:ascii="Times New Roman" w:hAnsi="Times New Roman" w:cs="Times New Roman"/>
          <w:sz w:val="24"/>
          <w:szCs w:val="24"/>
        </w:rPr>
        <w:t xml:space="preserve">is observed because </w:t>
      </w:r>
      <w:r w:rsidR="00D02DAE" w:rsidRPr="00BF4164">
        <w:rPr>
          <w:rFonts w:ascii="Times New Roman" w:hAnsi="Times New Roman" w:cs="Times New Roman"/>
          <w:sz w:val="24"/>
          <w:szCs w:val="24"/>
        </w:rPr>
        <w:t xml:space="preserve">small banks and credit unions </w:t>
      </w:r>
      <w:r w:rsidR="00D02DAE">
        <w:rPr>
          <w:rFonts w:ascii="Times New Roman" w:hAnsi="Times New Roman" w:cs="Times New Roman"/>
          <w:sz w:val="24"/>
          <w:szCs w:val="24"/>
        </w:rPr>
        <w:t>are</w:t>
      </w:r>
      <w:r w:rsidR="00D02DAE" w:rsidRPr="00BF4164">
        <w:rPr>
          <w:rFonts w:ascii="Times New Roman" w:hAnsi="Times New Roman" w:cs="Times New Roman"/>
          <w:sz w:val="24"/>
          <w:szCs w:val="24"/>
        </w:rPr>
        <w:t xml:space="preserve"> much more likely to originate conventional higher-priced loans than large banks and mortgage companie</w:t>
      </w:r>
      <w:r w:rsidR="00D02DAE">
        <w:rPr>
          <w:rFonts w:ascii="Times New Roman" w:hAnsi="Times New Roman" w:cs="Times New Roman"/>
          <w:sz w:val="24"/>
          <w:szCs w:val="24"/>
        </w:rPr>
        <w:t>s</w:t>
      </w:r>
    </w:p>
    <w:p w14:paraId="080C1915" w14:textId="77777777" w:rsidR="00D02DAE" w:rsidRPr="00D02DAE" w:rsidRDefault="00D02DAE" w:rsidP="005E0FCC">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identify the programs that are lacking support in current market and plan conventional loan products that meets the current needs of the borrower like </w:t>
      </w:r>
      <w:r>
        <w:rPr>
          <w:rFonts w:ascii="Times New Roman" w:hAnsi="Times New Roman" w:cs="Times New Roman"/>
          <w:color w:val="000000"/>
          <w:sz w:val="24"/>
          <w:szCs w:val="24"/>
          <w:shd w:val="clear" w:color="auto" w:fill="FFFFFF"/>
        </w:rPr>
        <w:t>more flexibility</w:t>
      </w:r>
      <w:r w:rsidRPr="00D02DAE">
        <w:rPr>
          <w:rFonts w:ascii="Times New Roman" w:hAnsi="Times New Roman" w:cs="Times New Roman"/>
          <w:color w:val="000000"/>
          <w:sz w:val="24"/>
          <w:szCs w:val="24"/>
          <w:shd w:val="clear" w:color="auto" w:fill="FFFFFF"/>
        </w:rPr>
        <w:t xml:space="preserve"> and quicker underwritin</w:t>
      </w:r>
      <w:r>
        <w:rPr>
          <w:rFonts w:ascii="Times New Roman" w:hAnsi="Times New Roman" w:cs="Times New Roman"/>
          <w:color w:val="000000"/>
          <w:sz w:val="24"/>
          <w:szCs w:val="24"/>
          <w:shd w:val="clear" w:color="auto" w:fill="FFFFFF"/>
        </w:rPr>
        <w:t xml:space="preserve">g, minimizing </w:t>
      </w:r>
      <w:r w:rsidRPr="00D02DAE">
        <w:rPr>
          <w:rFonts w:ascii="Times New Roman" w:hAnsi="Times New Roman" w:cs="Times New Roman"/>
          <w:color w:val="000000"/>
          <w:sz w:val="24"/>
          <w:szCs w:val="24"/>
          <w:shd w:val="clear" w:color="auto" w:fill="FFFFFF"/>
        </w:rPr>
        <w:t xml:space="preserve">down payment or initial monthly payments </w:t>
      </w:r>
      <w:r>
        <w:rPr>
          <w:rFonts w:ascii="Times New Roman" w:hAnsi="Times New Roman" w:cs="Times New Roman"/>
          <w:color w:val="000000"/>
          <w:sz w:val="24"/>
          <w:szCs w:val="24"/>
          <w:shd w:val="clear" w:color="auto" w:fill="FFFFFF"/>
        </w:rPr>
        <w:t>etc.</w:t>
      </w:r>
    </w:p>
    <w:p w14:paraId="532AE051" w14:textId="77777777" w:rsidR="00540123" w:rsidRPr="00BF4164" w:rsidRDefault="00540123" w:rsidP="00BF4164">
      <w:pPr>
        <w:spacing w:line="276" w:lineRule="auto"/>
        <w:jc w:val="both"/>
        <w:rPr>
          <w:color w:val="252525"/>
          <w:shd w:val="clear" w:color="auto" w:fill="FFFFFF"/>
        </w:rPr>
      </w:pPr>
    </w:p>
    <w:p w14:paraId="2EEC6B47" w14:textId="77777777" w:rsidR="00DC5AA0" w:rsidRPr="00BF4164" w:rsidRDefault="00FD5E3A" w:rsidP="00503D4C">
      <w:pPr>
        <w:pStyle w:val="ListParagraph"/>
        <w:numPr>
          <w:ilvl w:val="0"/>
          <w:numId w:val="6"/>
        </w:numPr>
        <w:spacing w:line="276" w:lineRule="auto"/>
        <w:jc w:val="both"/>
        <w:rPr>
          <w:rFonts w:ascii="Times New Roman" w:hAnsi="Times New Roman" w:cs="Times New Roman"/>
          <w:color w:val="252525"/>
          <w:sz w:val="24"/>
          <w:szCs w:val="24"/>
          <w:shd w:val="clear" w:color="auto" w:fill="FFFFFF"/>
        </w:rPr>
      </w:pPr>
      <w:r w:rsidRPr="00BF4164">
        <w:rPr>
          <w:rFonts w:ascii="Times New Roman" w:hAnsi="Times New Roman" w:cs="Times New Roman"/>
          <w:b/>
          <w:color w:val="252525"/>
          <w:sz w:val="24"/>
          <w:szCs w:val="24"/>
          <w:shd w:val="clear" w:color="auto" w:fill="FFFFFF"/>
        </w:rPr>
        <w:t>Loan Purpose.</w:t>
      </w:r>
      <w:r w:rsidRPr="00BF4164">
        <w:rPr>
          <w:rFonts w:ascii="Times New Roman" w:hAnsi="Times New Roman" w:cs="Times New Roman"/>
          <w:color w:val="252525"/>
          <w:sz w:val="24"/>
          <w:szCs w:val="24"/>
          <w:shd w:val="clear" w:color="auto" w:fill="FFFFFF"/>
        </w:rPr>
        <w:t xml:space="preserve"> </w:t>
      </w:r>
      <w:r w:rsidR="00DC5AA0" w:rsidRPr="00BF4164">
        <w:rPr>
          <w:rFonts w:ascii="Times New Roman" w:hAnsi="Times New Roman" w:cs="Times New Roman"/>
          <w:color w:val="252525"/>
          <w:sz w:val="24"/>
          <w:szCs w:val="24"/>
          <w:shd w:val="clear" w:color="auto" w:fill="FFFFFF"/>
        </w:rPr>
        <w:t xml:space="preserve">It is </w:t>
      </w:r>
      <w:r w:rsidR="00E05E23" w:rsidRPr="00BF4164">
        <w:rPr>
          <w:rFonts w:ascii="Times New Roman" w:hAnsi="Times New Roman" w:cs="Times New Roman"/>
          <w:color w:val="252525"/>
          <w:sz w:val="24"/>
          <w:szCs w:val="24"/>
          <w:shd w:val="clear" w:color="auto" w:fill="FFFFFF"/>
        </w:rPr>
        <w:t xml:space="preserve">important is because </w:t>
      </w:r>
      <w:r w:rsidR="00DC5AA0" w:rsidRPr="00BF4164">
        <w:rPr>
          <w:rFonts w:ascii="Times New Roman" w:hAnsi="Times New Roman" w:cs="Times New Roman"/>
          <w:color w:val="252525"/>
          <w:sz w:val="24"/>
          <w:szCs w:val="24"/>
          <w:shd w:val="clear" w:color="auto" w:fill="FFFFFF"/>
        </w:rPr>
        <w:t>of the following facts:</w:t>
      </w:r>
    </w:p>
    <w:p w14:paraId="3EDC5331" w14:textId="77777777" w:rsidR="00DC5AA0" w:rsidRPr="00DC5AA0" w:rsidRDefault="00D341FB" w:rsidP="00503D4C">
      <w:pPr>
        <w:pStyle w:val="ListParagraph"/>
        <w:numPr>
          <w:ilvl w:val="0"/>
          <w:numId w:val="7"/>
        </w:numPr>
        <w:spacing w:line="276" w:lineRule="auto"/>
        <w:jc w:val="both"/>
        <w:rPr>
          <w:rFonts w:ascii="Times New Roman" w:hAnsi="Times New Roman" w:cs="Times New Roman"/>
          <w:color w:val="252525"/>
          <w:sz w:val="24"/>
          <w:szCs w:val="24"/>
          <w:shd w:val="clear" w:color="auto" w:fill="FFFFFF"/>
        </w:rPr>
      </w:pPr>
      <w:r w:rsidRPr="00DC5AA0">
        <w:rPr>
          <w:rFonts w:ascii="Times New Roman" w:hAnsi="Times New Roman" w:cs="Times New Roman"/>
          <w:color w:val="252525"/>
          <w:sz w:val="24"/>
          <w:szCs w:val="24"/>
          <w:shd w:val="clear" w:color="auto" w:fill="FFFFFF"/>
        </w:rPr>
        <w:t>If</w:t>
      </w:r>
      <w:r w:rsidRPr="00DC5AA0">
        <w:rPr>
          <w:rFonts w:ascii="Times New Roman" w:hAnsi="Times New Roman" w:cs="Times New Roman"/>
          <w:color w:val="000000"/>
          <w:sz w:val="24"/>
          <w:szCs w:val="24"/>
          <w:shd w:val="clear" w:color="auto" w:fill="FFFFFF"/>
        </w:rPr>
        <w:t xml:space="preserve"> the number of applications for loans to </w:t>
      </w:r>
      <w:r w:rsidRPr="00DC5AA0">
        <w:rPr>
          <w:rFonts w:ascii="Times New Roman" w:hAnsi="Times New Roman" w:cs="Times New Roman"/>
          <w:b/>
          <w:color w:val="000000"/>
          <w:sz w:val="24"/>
          <w:szCs w:val="24"/>
          <w:shd w:val="clear" w:color="auto" w:fill="FFFFFF"/>
        </w:rPr>
        <w:t>refinance</w:t>
      </w:r>
      <w:r w:rsidRPr="00DC5AA0">
        <w:rPr>
          <w:rFonts w:ascii="Times New Roman" w:hAnsi="Times New Roman" w:cs="Times New Roman"/>
          <w:color w:val="000000"/>
          <w:sz w:val="24"/>
          <w:szCs w:val="24"/>
          <w:shd w:val="clear" w:color="auto" w:fill="FFFFFF"/>
        </w:rPr>
        <w:t xml:space="preserve"> an existing loan </w:t>
      </w:r>
      <w:r w:rsidR="00DC5AA0" w:rsidRPr="00DC5AA0">
        <w:rPr>
          <w:rFonts w:ascii="Times New Roman" w:hAnsi="Times New Roman" w:cs="Times New Roman"/>
          <w:color w:val="000000"/>
          <w:sz w:val="24"/>
          <w:szCs w:val="24"/>
          <w:shd w:val="clear" w:color="auto" w:fill="FFFFFF"/>
        </w:rPr>
        <w:t>falls</w:t>
      </w:r>
      <w:r w:rsidRPr="00DC5AA0">
        <w:rPr>
          <w:rFonts w:ascii="Times New Roman" w:hAnsi="Times New Roman" w:cs="Times New Roman"/>
          <w:color w:val="000000"/>
          <w:sz w:val="24"/>
          <w:szCs w:val="24"/>
          <w:shd w:val="clear" w:color="auto" w:fill="FFFFFF"/>
        </w:rPr>
        <w:t xml:space="preserve"> </w:t>
      </w:r>
      <w:r w:rsidR="00DC5AA0">
        <w:rPr>
          <w:rFonts w:ascii="Times New Roman" w:hAnsi="Times New Roman" w:cs="Times New Roman"/>
          <w:color w:val="000000"/>
          <w:sz w:val="24"/>
          <w:szCs w:val="24"/>
          <w:shd w:val="clear" w:color="auto" w:fill="FFFFFF"/>
        </w:rPr>
        <w:t xml:space="preserve">is </w:t>
      </w:r>
      <w:r w:rsidRPr="00DC5AA0">
        <w:rPr>
          <w:rFonts w:ascii="Times New Roman" w:hAnsi="Times New Roman" w:cs="Times New Roman"/>
          <w:color w:val="000000"/>
          <w:sz w:val="24"/>
          <w:szCs w:val="24"/>
          <w:shd w:val="clear" w:color="auto" w:fill="FFFFFF"/>
        </w:rPr>
        <w:t xml:space="preserve">most likely because short-term interest rates increased and thereby reduced the number of existing loans that could be refinanced at a lower rate. </w:t>
      </w:r>
    </w:p>
    <w:p w14:paraId="257054D2" w14:textId="77777777" w:rsidR="00DC5AA0" w:rsidRPr="00DC5AA0" w:rsidRDefault="00D341FB" w:rsidP="00503D4C">
      <w:pPr>
        <w:pStyle w:val="ListParagraph"/>
        <w:numPr>
          <w:ilvl w:val="0"/>
          <w:numId w:val="7"/>
        </w:numPr>
        <w:spacing w:line="276" w:lineRule="auto"/>
        <w:jc w:val="both"/>
        <w:rPr>
          <w:rFonts w:ascii="Times New Roman" w:hAnsi="Times New Roman" w:cs="Times New Roman"/>
          <w:color w:val="252525"/>
          <w:sz w:val="24"/>
          <w:szCs w:val="24"/>
          <w:shd w:val="clear" w:color="auto" w:fill="FFFFFF"/>
        </w:rPr>
      </w:pPr>
      <w:r w:rsidRPr="00DC5AA0">
        <w:rPr>
          <w:rFonts w:ascii="Times New Roman" w:hAnsi="Times New Roman" w:cs="Times New Roman"/>
          <w:color w:val="000000"/>
          <w:sz w:val="24"/>
          <w:szCs w:val="24"/>
          <w:shd w:val="clear" w:color="auto" w:fill="FFFFFF"/>
        </w:rPr>
        <w:t xml:space="preserve">Slower house-price appreciation and, in some areas, outright declines in property values also likely diminished the attractiveness of </w:t>
      </w:r>
      <w:r w:rsidRPr="00DC5AA0">
        <w:rPr>
          <w:rFonts w:ascii="Times New Roman" w:hAnsi="Times New Roman" w:cs="Times New Roman"/>
          <w:b/>
          <w:color w:val="000000"/>
          <w:sz w:val="24"/>
          <w:szCs w:val="24"/>
          <w:shd w:val="clear" w:color="auto" w:fill="FFFFFF"/>
        </w:rPr>
        <w:t>refinancing</w:t>
      </w:r>
      <w:r w:rsidRPr="00DC5AA0">
        <w:rPr>
          <w:rFonts w:ascii="Times New Roman" w:hAnsi="Times New Roman" w:cs="Times New Roman"/>
          <w:color w:val="000000"/>
          <w:sz w:val="24"/>
          <w:szCs w:val="24"/>
          <w:shd w:val="clear" w:color="auto" w:fill="FFFFFF"/>
        </w:rPr>
        <w:t xml:space="preserve"> or the borrower's ability to refinance.</w:t>
      </w:r>
      <w:r w:rsidR="001C4D39" w:rsidRPr="00DC5AA0">
        <w:rPr>
          <w:rFonts w:ascii="Times New Roman" w:hAnsi="Times New Roman" w:cs="Times New Roman"/>
          <w:color w:val="000000"/>
          <w:sz w:val="24"/>
          <w:szCs w:val="24"/>
          <w:shd w:val="clear" w:color="auto" w:fill="FFFFFF"/>
        </w:rPr>
        <w:t xml:space="preserve"> </w:t>
      </w:r>
    </w:p>
    <w:p w14:paraId="6172C3D8" w14:textId="77777777" w:rsidR="00DC5AA0" w:rsidRDefault="00DC5AA0" w:rsidP="00503D4C">
      <w:pPr>
        <w:spacing w:line="276" w:lineRule="auto"/>
        <w:ind w:left="1500"/>
        <w:jc w:val="both"/>
        <w:rPr>
          <w:color w:val="000000"/>
          <w:shd w:val="clear" w:color="auto" w:fill="FFFFFF"/>
        </w:rPr>
      </w:pPr>
    </w:p>
    <w:p w14:paraId="0AD02138" w14:textId="77777777" w:rsidR="001C4D39" w:rsidRDefault="001C4D39" w:rsidP="00503D4C">
      <w:pPr>
        <w:spacing w:line="276" w:lineRule="auto"/>
        <w:ind w:left="1500"/>
        <w:jc w:val="both"/>
      </w:pPr>
      <w:r w:rsidRPr="00DC5AA0">
        <w:rPr>
          <w:color w:val="000000"/>
          <w:shd w:val="clear" w:color="auto" w:fill="FFFFFF"/>
        </w:rPr>
        <w:t>This is highlighted by the 2013 reports of HMDA: “</w:t>
      </w:r>
      <w:r w:rsidRPr="00DC5AA0">
        <w:t xml:space="preserve">The number of mortgage originations in 2013 declined 11 percent, to 8.7 million from 9.8 million in 2012. This decrease was led by a drop in refinance mortgages for one- to four-family properties, which fell by over 1.5 </w:t>
      </w:r>
      <w:bookmarkStart w:id="0" w:name="_GoBack"/>
      <w:bookmarkEnd w:id="0"/>
      <w:r w:rsidRPr="00DC5AA0">
        <w:t>million, or 23 percent, likely because mortgage interest rates increased significantly during 2013.”</w:t>
      </w:r>
    </w:p>
    <w:p w14:paraId="6D971C76" w14:textId="77777777" w:rsidR="00812278" w:rsidRDefault="00812278" w:rsidP="00503D4C">
      <w:pPr>
        <w:spacing w:line="276" w:lineRule="auto"/>
        <w:jc w:val="both"/>
        <w:rPr>
          <w:color w:val="252525"/>
          <w:shd w:val="clear" w:color="auto" w:fill="FFFFFF"/>
        </w:rPr>
      </w:pPr>
    </w:p>
    <w:p w14:paraId="592BC0C5" w14:textId="77777777" w:rsidR="005E0FCC" w:rsidRDefault="0027074E" w:rsidP="00503D4C">
      <w:pPr>
        <w:pStyle w:val="ListParagraph"/>
        <w:numPr>
          <w:ilvl w:val="0"/>
          <w:numId w:val="6"/>
        </w:numPr>
        <w:spacing w:line="276" w:lineRule="auto"/>
        <w:jc w:val="both"/>
        <w:rPr>
          <w:rFonts w:ascii="Times New Roman" w:hAnsi="Times New Roman" w:cs="Times New Roman"/>
          <w:color w:val="252525"/>
          <w:sz w:val="24"/>
          <w:szCs w:val="24"/>
          <w:shd w:val="clear" w:color="auto" w:fill="FFFFFF"/>
        </w:rPr>
      </w:pPr>
      <w:r w:rsidRPr="0027074E">
        <w:rPr>
          <w:rFonts w:ascii="Times New Roman" w:hAnsi="Times New Roman" w:cs="Times New Roman"/>
          <w:b/>
          <w:color w:val="252525"/>
          <w:sz w:val="24"/>
          <w:szCs w:val="24"/>
          <w:shd w:val="clear" w:color="auto" w:fill="FFFFFF"/>
        </w:rPr>
        <w:t>Lien Status</w:t>
      </w:r>
      <w:r>
        <w:rPr>
          <w:rFonts w:ascii="Times New Roman" w:hAnsi="Times New Roman" w:cs="Times New Roman"/>
          <w:color w:val="252525"/>
          <w:sz w:val="24"/>
          <w:szCs w:val="24"/>
          <w:shd w:val="clear" w:color="auto" w:fill="FFFFFF"/>
        </w:rPr>
        <w:t>: Reason is:</w:t>
      </w:r>
    </w:p>
    <w:p w14:paraId="7E8F209A" w14:textId="77777777" w:rsidR="0027074E" w:rsidRDefault="0027074E" w:rsidP="00503D4C">
      <w:pPr>
        <w:pStyle w:val="ListParagraph"/>
        <w:numPr>
          <w:ilvl w:val="0"/>
          <w:numId w:val="13"/>
        </w:numPr>
        <w:spacing w:line="276"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Share of the first lien and second lien can be used to analyze risk of defaulting. This in turn helps in computing default rate which is used for defining Provisioning in credit policy.</w:t>
      </w:r>
    </w:p>
    <w:p w14:paraId="53E2A862" w14:textId="77777777" w:rsidR="0027074E" w:rsidRDefault="0027074E" w:rsidP="00503D4C">
      <w:pPr>
        <w:pStyle w:val="ListParagraph"/>
        <w:spacing w:line="276" w:lineRule="auto"/>
        <w:ind w:left="1140"/>
        <w:jc w:val="both"/>
        <w:rPr>
          <w:rFonts w:ascii="Times New Roman" w:hAnsi="Times New Roman" w:cs="Times New Roman"/>
          <w:color w:val="252525"/>
          <w:sz w:val="24"/>
          <w:szCs w:val="24"/>
          <w:shd w:val="clear" w:color="auto" w:fill="FFFFFF"/>
        </w:rPr>
      </w:pPr>
    </w:p>
    <w:p w14:paraId="39629BEE" w14:textId="77777777" w:rsidR="0027074E" w:rsidRPr="0027074E" w:rsidRDefault="0027074E" w:rsidP="00503D4C">
      <w:pPr>
        <w:pStyle w:val="ListParagraph"/>
        <w:numPr>
          <w:ilvl w:val="0"/>
          <w:numId w:val="6"/>
        </w:numPr>
        <w:spacing w:line="276" w:lineRule="auto"/>
        <w:jc w:val="both"/>
        <w:rPr>
          <w:rFonts w:ascii="Times New Roman" w:hAnsi="Times New Roman" w:cs="Times New Roman"/>
          <w:color w:val="252525"/>
          <w:sz w:val="24"/>
          <w:szCs w:val="24"/>
          <w:shd w:val="clear" w:color="auto" w:fill="FFFFFF"/>
        </w:rPr>
      </w:pPr>
      <w:r w:rsidRPr="0027074E">
        <w:rPr>
          <w:rFonts w:ascii="Times New Roman" w:hAnsi="Times New Roman" w:cs="Times New Roman"/>
          <w:b/>
          <w:color w:val="252525"/>
          <w:sz w:val="24"/>
          <w:szCs w:val="24"/>
          <w:shd w:val="clear" w:color="auto" w:fill="FFFFFF"/>
        </w:rPr>
        <w:t>Applicant Income</w:t>
      </w:r>
      <w:r>
        <w:rPr>
          <w:rFonts w:ascii="Times New Roman" w:hAnsi="Times New Roman" w:cs="Times New Roman"/>
          <w:color w:val="252525"/>
          <w:sz w:val="24"/>
          <w:szCs w:val="24"/>
          <w:shd w:val="clear" w:color="auto" w:fill="FFFFFF"/>
        </w:rPr>
        <w:t>:  This can be used to get the share of loans originated for low, middle and high income groups. This gives an insight on lending disparity.</w:t>
      </w:r>
    </w:p>
    <w:p w14:paraId="1704DB9F" w14:textId="77777777" w:rsidR="00D341FB" w:rsidRPr="00D341FB" w:rsidRDefault="00D341FB" w:rsidP="00503D4C">
      <w:pPr>
        <w:spacing w:line="276" w:lineRule="auto"/>
        <w:jc w:val="both"/>
      </w:pPr>
    </w:p>
    <w:p w14:paraId="306A144A" w14:textId="77777777" w:rsidR="00D341FB" w:rsidRPr="00D341FB" w:rsidRDefault="00D341FB" w:rsidP="002C1FF9">
      <w:pPr>
        <w:spacing w:line="276" w:lineRule="auto"/>
        <w:jc w:val="both"/>
      </w:pPr>
    </w:p>
    <w:p w14:paraId="70993731" w14:textId="77777777" w:rsidR="002C1FF9" w:rsidRPr="00D341FB" w:rsidRDefault="002C1FF9" w:rsidP="002C1FF9">
      <w:pPr>
        <w:widowControl w:val="0"/>
        <w:tabs>
          <w:tab w:val="left" w:pos="220"/>
          <w:tab w:val="left" w:pos="720"/>
        </w:tabs>
        <w:autoSpaceDE w:val="0"/>
        <w:autoSpaceDN w:val="0"/>
        <w:adjustRightInd w:val="0"/>
        <w:spacing w:after="293" w:line="340" w:lineRule="atLeast"/>
        <w:jc w:val="both"/>
      </w:pPr>
    </w:p>
    <w:p w14:paraId="40E74A9D" w14:textId="77777777" w:rsidR="002C1FF9" w:rsidRPr="00D341FB" w:rsidRDefault="002C1FF9" w:rsidP="002C1FF9">
      <w:pPr>
        <w:rPr>
          <w:b/>
          <w:u w:val="single"/>
        </w:rPr>
      </w:pPr>
    </w:p>
    <w:p w14:paraId="04262D99" w14:textId="46F4AAD4" w:rsidR="002C1FF9" w:rsidRDefault="00963EAD" w:rsidP="002C1FF9">
      <w:pPr>
        <w:rPr>
          <w:b/>
          <w:u w:val="single"/>
        </w:rPr>
      </w:pPr>
      <w:r>
        <w:rPr>
          <w:b/>
          <w:u w:val="single"/>
        </w:rPr>
        <w:t>References:</w:t>
      </w:r>
    </w:p>
    <w:p w14:paraId="7A165CD7" w14:textId="77777777" w:rsidR="00963EAD" w:rsidRDefault="00963EAD" w:rsidP="002C1FF9">
      <w:pPr>
        <w:rPr>
          <w:b/>
          <w:u w:val="single"/>
        </w:rPr>
      </w:pPr>
    </w:p>
    <w:p w14:paraId="334A5145" w14:textId="320A1B58" w:rsidR="00963EAD" w:rsidRDefault="00963EAD" w:rsidP="00963EA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Federal Reserve Bulletin Vol 93-2007: </w:t>
      </w:r>
      <w:hyperlink r:id="rId5" w:history="1">
        <w:r w:rsidRPr="00AE748E">
          <w:rPr>
            <w:rStyle w:val="Hyperlink"/>
            <w:rFonts w:ascii="Times New Roman" w:hAnsi="Times New Roman" w:cs="Times New Roman"/>
            <w:sz w:val="24"/>
            <w:szCs w:val="24"/>
          </w:rPr>
          <w:t>http://www.federalreserve.gov/pubs/bulletin/2007/articles/hmda/</w:t>
        </w:r>
      </w:hyperlink>
    </w:p>
    <w:p w14:paraId="39B4C327" w14:textId="79FD3820" w:rsidR="00963EAD" w:rsidRDefault="00963EAD" w:rsidP="00963EA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Federal Reserve  Bulletin  Vol 101-2015 : </w:t>
      </w:r>
      <w:hyperlink r:id="rId6" w:history="1">
        <w:r w:rsidRPr="00AE748E">
          <w:rPr>
            <w:rStyle w:val="Hyperlink"/>
            <w:rFonts w:ascii="Times New Roman" w:hAnsi="Times New Roman" w:cs="Times New Roman"/>
            <w:sz w:val="24"/>
            <w:szCs w:val="24"/>
          </w:rPr>
          <w:t>http://www.federalreserve.gov/pubs/bulletin/2015/pdf/2014_HMDA.pdf</w:t>
        </w:r>
      </w:hyperlink>
    </w:p>
    <w:p w14:paraId="709CE4FB" w14:textId="4C65D328" w:rsidR="00963EAD" w:rsidRDefault="00963EAD" w:rsidP="00963EA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HDMA 2013 guide </w:t>
      </w:r>
    </w:p>
    <w:p w14:paraId="1DBE1A7D" w14:textId="05159C65" w:rsidR="00963EAD" w:rsidRDefault="00963EAD" w:rsidP="00963EA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Federal Reserve Bulletin Vol-100-2014: </w:t>
      </w:r>
      <w:hyperlink r:id="rId7" w:history="1">
        <w:r w:rsidRPr="00AE748E">
          <w:rPr>
            <w:rStyle w:val="Hyperlink"/>
            <w:rFonts w:ascii="Times New Roman" w:hAnsi="Times New Roman" w:cs="Times New Roman"/>
            <w:sz w:val="24"/>
            <w:szCs w:val="24"/>
          </w:rPr>
          <w:t>http://www.federalreserve.gov/pubs/bulletin/2014/pdf/2013_hmda.pdf</w:t>
        </w:r>
      </w:hyperlink>
    </w:p>
    <w:p w14:paraId="06C533E5" w14:textId="5207406D" w:rsidR="00963EAD" w:rsidRPr="00963EAD" w:rsidRDefault="00963EAD" w:rsidP="00963EAD">
      <w:pPr>
        <w:pStyle w:val="ListParagraph"/>
        <w:numPr>
          <w:ilvl w:val="0"/>
          <w:numId w:val="14"/>
        </w:numPr>
        <w:rPr>
          <w:sz w:val="24"/>
          <w:szCs w:val="24"/>
        </w:rPr>
      </w:pPr>
      <w:r>
        <w:t>2013 HMDA Survey and Case Study</w:t>
      </w:r>
      <w:r>
        <w:t xml:space="preserve">: </w:t>
      </w:r>
      <w:hyperlink r:id="rId8" w:history="1">
        <w:r w:rsidRPr="00AE748E">
          <w:rPr>
            <w:rStyle w:val="Hyperlink"/>
          </w:rPr>
          <w:t>http://www.mortgagetrueview.com/wp-content/uploads/2014/05/2013-HMDA-CASE-STUDY-REPORT_Final.pdf</w:t>
        </w:r>
      </w:hyperlink>
    </w:p>
    <w:p w14:paraId="7B3F6D56" w14:textId="77777777" w:rsidR="00963EAD" w:rsidRPr="00963EAD" w:rsidRDefault="00963EAD" w:rsidP="00963EAD">
      <w:pPr>
        <w:ind w:left="180"/>
      </w:pPr>
    </w:p>
    <w:p w14:paraId="40740241" w14:textId="77777777" w:rsidR="00963EAD" w:rsidRPr="00963EAD" w:rsidRDefault="00963EAD" w:rsidP="00963EAD">
      <w:pPr>
        <w:pStyle w:val="ListParagraph"/>
        <w:rPr>
          <w:rFonts w:ascii="Times New Roman" w:hAnsi="Times New Roman" w:cs="Times New Roman"/>
          <w:sz w:val="24"/>
          <w:szCs w:val="24"/>
        </w:rPr>
      </w:pPr>
    </w:p>
    <w:sectPr w:rsidR="00963EAD" w:rsidRPr="00963E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32766"/>
    <w:multiLevelType w:val="hybridMultilevel"/>
    <w:tmpl w:val="1B7825E4"/>
    <w:lvl w:ilvl="0" w:tplc="5B984CC8">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0FB965D9"/>
    <w:multiLevelType w:val="hybridMultilevel"/>
    <w:tmpl w:val="F1C01544"/>
    <w:lvl w:ilvl="0" w:tplc="9014C6BE">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30A43DA2"/>
    <w:multiLevelType w:val="hybridMultilevel"/>
    <w:tmpl w:val="55C01284"/>
    <w:lvl w:ilvl="0" w:tplc="864E06E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60F52"/>
    <w:multiLevelType w:val="hybridMultilevel"/>
    <w:tmpl w:val="D4848C3A"/>
    <w:lvl w:ilvl="0" w:tplc="864E06E2">
      <w:start w:val="1"/>
      <w:numFmt w:val="bullet"/>
      <w:lvlText w:val=""/>
      <w:lvlJc w:val="left"/>
      <w:pPr>
        <w:ind w:left="114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6E45091"/>
    <w:multiLevelType w:val="hybridMultilevel"/>
    <w:tmpl w:val="F11A0988"/>
    <w:lvl w:ilvl="0" w:tplc="84DA01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58452E"/>
    <w:multiLevelType w:val="hybridMultilevel"/>
    <w:tmpl w:val="7E18D85E"/>
    <w:lvl w:ilvl="0" w:tplc="D160EA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CCB1B36"/>
    <w:multiLevelType w:val="hybridMultilevel"/>
    <w:tmpl w:val="0D62AE6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85D6E"/>
    <w:multiLevelType w:val="hybridMultilevel"/>
    <w:tmpl w:val="2BD4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D38D7"/>
    <w:multiLevelType w:val="hybridMultilevel"/>
    <w:tmpl w:val="1622980C"/>
    <w:lvl w:ilvl="0" w:tplc="5420A01E">
      <w:start w:val="1"/>
      <w:numFmt w:val="lowerLetter"/>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62466FA7"/>
    <w:multiLevelType w:val="hybridMultilevel"/>
    <w:tmpl w:val="36AA9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9555D"/>
    <w:multiLevelType w:val="hybridMultilevel"/>
    <w:tmpl w:val="9B58EDAC"/>
    <w:lvl w:ilvl="0" w:tplc="5538C7E8">
      <w:start w:val="1"/>
      <w:numFmt w:val="lowerLetter"/>
      <w:lvlText w:val="%1.)"/>
      <w:lvlJc w:val="left"/>
      <w:pPr>
        <w:ind w:left="1680" w:hanging="360"/>
      </w:pPr>
      <w:rPr>
        <w:rFonts w:ascii="Arial" w:hAnsi="Arial" w:cs="Arial" w:hint="default"/>
        <w:color w:val="000000"/>
        <w:sz w:val="19"/>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2">
    <w:nsid w:val="7A5010ED"/>
    <w:multiLevelType w:val="hybridMultilevel"/>
    <w:tmpl w:val="0602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BE2DB1"/>
    <w:multiLevelType w:val="hybridMultilevel"/>
    <w:tmpl w:val="39DC3BF4"/>
    <w:lvl w:ilvl="0" w:tplc="864E06E2">
      <w:start w:val="1"/>
      <w:numFmt w:val="bullet"/>
      <w:lvlText w:val=""/>
      <w:lvlJc w:val="left"/>
      <w:pPr>
        <w:ind w:left="114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3"/>
  </w:num>
  <w:num w:numId="4">
    <w:abstractNumId w:val="12"/>
  </w:num>
  <w:num w:numId="5">
    <w:abstractNumId w:val="10"/>
  </w:num>
  <w:num w:numId="6">
    <w:abstractNumId w:val="8"/>
  </w:num>
  <w:num w:numId="7">
    <w:abstractNumId w:val="1"/>
  </w:num>
  <w:num w:numId="8">
    <w:abstractNumId w:val="5"/>
  </w:num>
  <w:num w:numId="9">
    <w:abstractNumId w:val="6"/>
  </w:num>
  <w:num w:numId="10">
    <w:abstractNumId w:val="11"/>
  </w:num>
  <w:num w:numId="11">
    <w:abstractNumId w:val="9"/>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F9"/>
    <w:rsid w:val="001C4D39"/>
    <w:rsid w:val="0022302B"/>
    <w:rsid w:val="0027074E"/>
    <w:rsid w:val="002C1FF9"/>
    <w:rsid w:val="00317380"/>
    <w:rsid w:val="00503D4C"/>
    <w:rsid w:val="00540123"/>
    <w:rsid w:val="005E0FCC"/>
    <w:rsid w:val="00812278"/>
    <w:rsid w:val="00963EAD"/>
    <w:rsid w:val="009B209E"/>
    <w:rsid w:val="00B13B11"/>
    <w:rsid w:val="00BF4164"/>
    <w:rsid w:val="00D02DAE"/>
    <w:rsid w:val="00D341FB"/>
    <w:rsid w:val="00DC5AA0"/>
    <w:rsid w:val="00E05E23"/>
    <w:rsid w:val="00EB619C"/>
    <w:rsid w:val="00EE16B3"/>
    <w:rsid w:val="00FD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470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EAD"/>
    <w:rPr>
      <w:rFonts w:ascii="Times New Roman" w:hAnsi="Times New Roman" w:cs="Times New Roman"/>
      <w:sz w:val="24"/>
      <w:szCs w:val="24"/>
    </w:rPr>
  </w:style>
  <w:style w:type="paragraph" w:styleId="Heading1">
    <w:name w:val="heading 1"/>
    <w:basedOn w:val="Normal"/>
    <w:link w:val="Heading1Char"/>
    <w:uiPriority w:val="9"/>
    <w:qFormat/>
    <w:rsid w:val="00963E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FF9"/>
    <w:pPr>
      <w:ind w:left="720"/>
      <w:contextualSpacing/>
    </w:pPr>
    <w:rPr>
      <w:rFonts w:ascii="Arial" w:hAnsi="Arial" w:cs="Arial"/>
      <w:sz w:val="22"/>
      <w:szCs w:val="22"/>
    </w:rPr>
  </w:style>
  <w:style w:type="character" w:styleId="Hyperlink">
    <w:name w:val="Hyperlink"/>
    <w:basedOn w:val="DefaultParagraphFont"/>
    <w:rsid w:val="00963EAD"/>
    <w:rPr>
      <w:color w:val="0000FF" w:themeColor="hyperlink"/>
      <w:u w:val="single"/>
    </w:rPr>
  </w:style>
  <w:style w:type="character" w:customStyle="1" w:styleId="Heading1Char">
    <w:name w:val="Heading 1 Char"/>
    <w:basedOn w:val="DefaultParagraphFont"/>
    <w:link w:val="Heading1"/>
    <w:uiPriority w:val="9"/>
    <w:rsid w:val="00963EAD"/>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3030">
      <w:bodyDiv w:val="1"/>
      <w:marLeft w:val="0"/>
      <w:marRight w:val="0"/>
      <w:marTop w:val="0"/>
      <w:marBottom w:val="0"/>
      <w:divBdr>
        <w:top w:val="none" w:sz="0" w:space="0" w:color="auto"/>
        <w:left w:val="none" w:sz="0" w:space="0" w:color="auto"/>
        <w:bottom w:val="none" w:sz="0" w:space="0" w:color="auto"/>
        <w:right w:val="none" w:sz="0" w:space="0" w:color="auto"/>
      </w:divBdr>
    </w:div>
    <w:div w:id="175508970">
      <w:bodyDiv w:val="1"/>
      <w:marLeft w:val="0"/>
      <w:marRight w:val="0"/>
      <w:marTop w:val="0"/>
      <w:marBottom w:val="0"/>
      <w:divBdr>
        <w:top w:val="none" w:sz="0" w:space="0" w:color="auto"/>
        <w:left w:val="none" w:sz="0" w:space="0" w:color="auto"/>
        <w:bottom w:val="none" w:sz="0" w:space="0" w:color="auto"/>
        <w:right w:val="none" w:sz="0" w:space="0" w:color="auto"/>
      </w:divBdr>
    </w:div>
    <w:div w:id="215241104">
      <w:bodyDiv w:val="1"/>
      <w:marLeft w:val="0"/>
      <w:marRight w:val="0"/>
      <w:marTop w:val="0"/>
      <w:marBottom w:val="0"/>
      <w:divBdr>
        <w:top w:val="none" w:sz="0" w:space="0" w:color="auto"/>
        <w:left w:val="none" w:sz="0" w:space="0" w:color="auto"/>
        <w:bottom w:val="none" w:sz="0" w:space="0" w:color="auto"/>
        <w:right w:val="none" w:sz="0" w:space="0" w:color="auto"/>
      </w:divBdr>
    </w:div>
    <w:div w:id="356977685">
      <w:bodyDiv w:val="1"/>
      <w:marLeft w:val="0"/>
      <w:marRight w:val="0"/>
      <w:marTop w:val="0"/>
      <w:marBottom w:val="0"/>
      <w:divBdr>
        <w:top w:val="none" w:sz="0" w:space="0" w:color="auto"/>
        <w:left w:val="none" w:sz="0" w:space="0" w:color="auto"/>
        <w:bottom w:val="none" w:sz="0" w:space="0" w:color="auto"/>
        <w:right w:val="none" w:sz="0" w:space="0" w:color="auto"/>
      </w:divBdr>
    </w:div>
    <w:div w:id="502670525">
      <w:bodyDiv w:val="1"/>
      <w:marLeft w:val="0"/>
      <w:marRight w:val="0"/>
      <w:marTop w:val="0"/>
      <w:marBottom w:val="0"/>
      <w:divBdr>
        <w:top w:val="none" w:sz="0" w:space="0" w:color="auto"/>
        <w:left w:val="none" w:sz="0" w:space="0" w:color="auto"/>
        <w:bottom w:val="none" w:sz="0" w:space="0" w:color="auto"/>
        <w:right w:val="none" w:sz="0" w:space="0" w:color="auto"/>
      </w:divBdr>
    </w:div>
    <w:div w:id="519438913">
      <w:bodyDiv w:val="1"/>
      <w:marLeft w:val="0"/>
      <w:marRight w:val="0"/>
      <w:marTop w:val="0"/>
      <w:marBottom w:val="0"/>
      <w:divBdr>
        <w:top w:val="none" w:sz="0" w:space="0" w:color="auto"/>
        <w:left w:val="none" w:sz="0" w:space="0" w:color="auto"/>
        <w:bottom w:val="none" w:sz="0" w:space="0" w:color="auto"/>
        <w:right w:val="none" w:sz="0" w:space="0" w:color="auto"/>
      </w:divBdr>
    </w:div>
    <w:div w:id="702250054">
      <w:bodyDiv w:val="1"/>
      <w:marLeft w:val="0"/>
      <w:marRight w:val="0"/>
      <w:marTop w:val="0"/>
      <w:marBottom w:val="0"/>
      <w:divBdr>
        <w:top w:val="none" w:sz="0" w:space="0" w:color="auto"/>
        <w:left w:val="none" w:sz="0" w:space="0" w:color="auto"/>
        <w:bottom w:val="none" w:sz="0" w:space="0" w:color="auto"/>
        <w:right w:val="none" w:sz="0" w:space="0" w:color="auto"/>
      </w:divBdr>
    </w:div>
    <w:div w:id="890073786">
      <w:bodyDiv w:val="1"/>
      <w:marLeft w:val="0"/>
      <w:marRight w:val="0"/>
      <w:marTop w:val="0"/>
      <w:marBottom w:val="0"/>
      <w:divBdr>
        <w:top w:val="none" w:sz="0" w:space="0" w:color="auto"/>
        <w:left w:val="none" w:sz="0" w:space="0" w:color="auto"/>
        <w:bottom w:val="none" w:sz="0" w:space="0" w:color="auto"/>
        <w:right w:val="none" w:sz="0" w:space="0" w:color="auto"/>
      </w:divBdr>
    </w:div>
    <w:div w:id="1564097430">
      <w:bodyDiv w:val="1"/>
      <w:marLeft w:val="0"/>
      <w:marRight w:val="0"/>
      <w:marTop w:val="0"/>
      <w:marBottom w:val="0"/>
      <w:divBdr>
        <w:top w:val="none" w:sz="0" w:space="0" w:color="auto"/>
        <w:left w:val="none" w:sz="0" w:space="0" w:color="auto"/>
        <w:bottom w:val="none" w:sz="0" w:space="0" w:color="auto"/>
        <w:right w:val="none" w:sz="0" w:space="0" w:color="auto"/>
      </w:divBdr>
    </w:div>
    <w:div w:id="1632856675">
      <w:bodyDiv w:val="1"/>
      <w:marLeft w:val="0"/>
      <w:marRight w:val="0"/>
      <w:marTop w:val="0"/>
      <w:marBottom w:val="0"/>
      <w:divBdr>
        <w:top w:val="none" w:sz="0" w:space="0" w:color="auto"/>
        <w:left w:val="none" w:sz="0" w:space="0" w:color="auto"/>
        <w:bottom w:val="none" w:sz="0" w:space="0" w:color="auto"/>
        <w:right w:val="none" w:sz="0" w:space="0" w:color="auto"/>
      </w:divBdr>
    </w:div>
    <w:div w:id="1970889866">
      <w:bodyDiv w:val="1"/>
      <w:marLeft w:val="0"/>
      <w:marRight w:val="0"/>
      <w:marTop w:val="0"/>
      <w:marBottom w:val="0"/>
      <w:divBdr>
        <w:top w:val="none" w:sz="0" w:space="0" w:color="auto"/>
        <w:left w:val="none" w:sz="0" w:space="0" w:color="auto"/>
        <w:bottom w:val="none" w:sz="0" w:space="0" w:color="auto"/>
        <w:right w:val="none" w:sz="0" w:space="0" w:color="auto"/>
      </w:divBdr>
    </w:div>
    <w:div w:id="2071536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ederalreserve.gov/pubs/bulletin/2007/articles/hmda/" TargetMode="External"/><Relationship Id="rId6" Type="http://schemas.openxmlformats.org/officeDocument/2006/relationships/hyperlink" Target="http://www.federalreserve.gov/pubs/bulletin/2015/pdf/2014_HMDA.pdf" TargetMode="External"/><Relationship Id="rId7" Type="http://schemas.openxmlformats.org/officeDocument/2006/relationships/hyperlink" Target="http://www.federalreserve.gov/pubs/bulletin/2014/pdf/2013_hmda.pdf" TargetMode="External"/><Relationship Id="rId8" Type="http://schemas.openxmlformats.org/officeDocument/2006/relationships/hyperlink" Target="http://www.mortgagetrueview.com/wp-content/uploads/2014/05/2013-HMDA-CASE-STUDY-REPORT_Fin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cp:keywords/>
  <dc:description/>
  <cp:lastModifiedBy>Mohan, Ranganathan</cp:lastModifiedBy>
  <cp:revision>3</cp:revision>
  <dcterms:created xsi:type="dcterms:W3CDTF">2016-03-25T21:48:00Z</dcterms:created>
  <dcterms:modified xsi:type="dcterms:W3CDTF">2016-03-26T06:39:00Z</dcterms:modified>
</cp:coreProperties>
</file>