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EEA31">
      <w:pPr>
        <w:pStyle w:val="3"/>
        <w:keepNext/>
        <w:pageBreakBefore w:val="0"/>
      </w:pPr>
      <w:r>
        <w:rPr>
          <w:rFonts w:ascii="Times New Roman" w:hAnsi="Times New Roman" w:eastAsia="宋体" w:cs="Times New Roman"/>
          <w:color w:val="1F4E79"/>
        </w:rPr>
        <w:t>1.核心概念与Phase2阶段定位</w:t>
      </w:r>
    </w:p>
    <w:p w14:paraId="67C76557">
      <w:pPr>
        <w:pStyle w:val="4"/>
        <w:keepNext/>
      </w:pPr>
      <w:r>
        <w:rPr>
          <w:rFonts w:ascii="Times New Roman" w:hAnsi="Times New Roman" w:eastAsia="宋体" w:cs="Times New Roman"/>
        </w:rPr>
        <w:t>1.1RFFI任务的三轴谱系</w:t>
      </w:r>
    </w:p>
    <w:p w14:paraId="3736C261">
      <w:r>
        <w:rPr>
          <w:rFonts w:ascii="Times New Roman" w:hAnsi="Times New Roman" w:eastAsia="宋体" w:cs="Times New Roman"/>
          <w:sz w:val="22"/>
        </w:rPr>
        <w:t>表1从三个相互独立的轴定位RFFI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Radio Frequency Fingerprint Identification，即射频指纹识别；FSL是Few-Shot Learning，即少样本学习；DA是Domain Adaptation，即域适应；CIL是Class-Incremental Learning，即类增量学习；FSCIL是Few-Shot Class-Incremental Learning，即少样本类增量学习；UDA是Unsupervised Domain Adaptation，即无监督域适应。IQ是In-phase/Quadrature，即同相/正交基带采样；LEO是Low Earth Orbit，即低地球轨道；TX是transmitter，即发射机；CVS-RFFI是本项目与模型流程的名称，其中CVS不在本文中充当数学变量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  <w:sz w:val="22"/>
        </w:rPr>
        <w:t>任务：类别轴描述训练、测试及增量阶段的类别关系；域轴描述接收机、信道或采集条件是否变化；时间轴描述任务是否顺序到达，以及更新后的模型状态是否持续保存。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rPr>
            <m:sty m:val="p"/>
            <m:scr m:val="script"/>
          </m:rPr>
          <m:t>C</m:t>
        </m:r>
      </m:oMath>
      <w:r>
        <w:rPr>
          <w:rFonts w:ascii="Times New Roman" w:hAnsi="Times New Roman" w:eastAsia="宋体" w:cs="Times New Roman"/>
          <w:b w:val="0"/>
        </w:rPr>
        <w:t>表示发射机类别集合，物理上每个类别对应一台发射机身份；下标</w:t>
      </w:r>
      <m:oMath xmlns:a="http://schemas.openxmlformats.org/drawingml/2006/main" xmlns:pic="http://schemas.openxmlformats.org/drawingml/2006/picture">
        <m:r>
          <m:t>B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rPr>
          <w:rFonts w:ascii="Times New Roman" w:hAnsi="Times New Roman" w:eastAsia="宋体" w:cs="Times New Roman"/>
          <w:b w:val="0"/>
        </w:rPr>
        <w:t>依次表示base（基类）、novel（新类）、source（源域）和target（目标域）。</w:t>
      </w:r>
      <m:oMath xmlns:a="http://schemas.openxmlformats.org/drawingml/2006/main" xmlns:pic="http://schemas.openxmlformats.org/drawingml/2006/picture">
        <m:r>
          <m:t>d</m:t>
        </m:r>
      </m:oMath>
      <w:r>
        <w:rPr>
          <w:rFonts w:ascii="Times New Roman" w:hAnsi="Times New Roman" w:eastAsia="宋体" w:cs="Times New Roman"/>
          <w:b w:val="0"/>
        </w:rPr>
        <w:t>表示观测域，物理上由接收机链路、采集条件和信道共同决定；因此</w:t>
      </w:r>
      <m:oMath xmlns:a="http://schemas.openxmlformats.org/drawingml/2006/main" xmlns:pic="http://schemas.openxmlformats.org/drawingml/2006/picture"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表示源接收机域与目标接收机域不同。</w:t>
      </w:r>
      <m:oMath xmlns:a="http://schemas.openxmlformats.org/drawingml/2006/main" xmlns:pic="http://schemas.openxmlformats.org/drawingml/2006/picture">
        <m:r>
          <m:t>t</m:t>
        </m:r>
      </m:oMath>
      <w:r>
        <w:rPr>
          <w:rFonts w:ascii="Times New Roman" w:hAnsi="Times New Roman" w:eastAsia="宋体" w:cs="Times New Roman"/>
          <w:b w:val="0"/>
        </w:rPr>
        <w:t>表示增量session序号，</w:t>
      </w:r>
      <m:oMath xmlns:a="http://schemas.openxmlformats.org/drawingml/2006/main" xmlns:pic="http://schemas.openxmlformats.org/drawingml/2006/picture">
        <m:sSup>
          <m:e>
            <m:r>
              <m:rPr>
                <m:sty m:val="p"/>
                <m:scr m:val="script"/>
              </m:rPr>
              <m:t>C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≤</m:t>
                </m:r>
                <m:r>
                  <m:t>t</m:t>
                </m:r>
              </m:e>
            </m:d>
          </m:sup>
        </m:sSup>
      </m:oMath>
      <w:r>
        <w:rPr>
          <w:rFonts w:ascii="Times New Roman" w:hAnsi="Times New Roman" w:eastAsia="宋体" w:cs="Times New Roman"/>
          <w:b w:val="0"/>
        </w:rPr>
        <w:t xml:space="preserve">表示截至session </w:t>
      </w:r>
      <m:oMath xmlns:a="http://schemas.openxmlformats.org/drawingml/2006/main" xmlns:pic="http://schemas.openxmlformats.org/drawingml/2006/picture">
        <m:r>
          <m:t>t</m:t>
        </m:r>
      </m:oMath>
      <w:r>
        <w:rPr>
          <w:rFonts w:ascii="Times New Roman" w:hAnsi="Times New Roman" w:eastAsia="宋体" w:cs="Times New Roman"/>
          <w:b w:val="0"/>
        </w:rPr>
        <w:t>已注册的全部类别，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n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表示尚未注册的发射机。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是每类互不重复的物理support观测数；</w:t>
      </w:r>
      <m:oMath xmlns:a="http://schemas.openxmlformats.org/drawingml/2006/main" xmlns:pic="http://schemas.openxmlformats.org/drawingml/2006/picture">
        <m:r>
          <m:rPr>
            <m:sty m:val="p"/>
          </m:rPr>
          <m:t>∩</m:t>
        </m:r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r>
          <m:rPr>
            <m:sty m:val="p"/>
          </m:rPr>
          <m:t>∪</m:t>
        </m:r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r>
          <m:rPr>
            <m:sty m:val="p"/>
          </m:rPr>
          <m:t>⌀</m:t>
        </m:r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r>
          <m:rPr>
            <m:sty m:val="p"/>
          </m:rPr>
          <m:t>⊂</m:t>
        </m:r>
      </m:oMath>
      <w:r>
        <w:rPr>
          <w:rFonts w:ascii="Times New Roman" w:hAnsi="Times New Roman" w:eastAsia="宋体" w:cs="Times New Roman"/>
          <w:b w:val="0"/>
        </w:rPr>
        <w:t>分别表示交集、并集、空集和真子集</w:t>
      </w:r>
      <w:r>
        <w:rPr>
          <w:rFonts w:ascii="Times New Roman" w:hAnsi="Times New Roman" w:cs="Times New Roman" w:eastAsia="宋体"/>
        </w:rPr>
        <w:t>）</w:t>
      </w:r>
    </w:p>
    <w:p w14:paraId="2A41BFCD">
      <w:pPr>
        <w:pStyle w:val="19"/>
        <w:keepNext/>
        <w:jc w:val="center"/>
      </w:pPr>
      <w:r>
        <w:rPr>
          <w:rFonts w:ascii="Times New Roman" w:hAnsi="Times New Roman" w:eastAsia="宋体" w:cs="Times New Roman"/>
          <w:b/>
          <w:bCs/>
          <w:sz w:val="22"/>
        </w:rPr>
        <w:t>表1 RFFI任务在类别轴、域轴和时间轴上的定位</w:t>
      </w: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1497"/>
        <w:gridCol w:w="1029"/>
        <w:gridCol w:w="1497"/>
        <w:gridCol w:w="1684"/>
        <w:gridCol w:w="2062"/>
      </w:tblGrid>
      <w:tr w14:paraId="44D41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9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7BFC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任务类型</w:t>
            </w:r>
          </w:p>
        </w:tc>
        <w:tc>
          <w:tcPr>
            <w:tcW w:w="149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B404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类别轴</w:t>
            </w:r>
          </w:p>
        </w:tc>
        <w:tc>
          <w:tcPr>
            <w:tcW w:w="1029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4304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域轴</w:t>
            </w:r>
          </w:p>
        </w:tc>
        <w:tc>
          <w:tcPr>
            <w:tcW w:w="149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8FA5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时间轴</w:t>
            </w:r>
          </w:p>
        </w:tc>
        <w:tc>
          <w:tcPr>
            <w:tcW w:w="1684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DECE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监督预算</w:t>
            </w:r>
          </w:p>
        </w:tc>
        <w:tc>
          <w:tcPr>
            <w:tcW w:w="2062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75D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冻结后推理类别空间</w:t>
            </w:r>
          </w:p>
        </w:tc>
      </w:tr>
      <w:tr w14:paraId="7D7F0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8F58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标准RFFI-FSL</w:t>
            </w:r>
          </w:p>
        </w:tc>
        <w:tc>
          <w:tcPr>
            <w:tcW w:w="1497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D2CB6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=⌀</m:t>
                </m:r>
              </m:oMath>
            </m:oMathPara>
          </w:p>
        </w:tc>
        <w:tc>
          <w:tcPr>
            <w:tcW w:w="1029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77521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N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6954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episodic；episode间不累积</w:t>
            </w:r>
          </w:p>
        </w:tc>
        <w:tc>
          <w:tcPr>
            <w:tcW w:w="1684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74AE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novel类每类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ED08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当前episode的novel类</w:t>
            </w:r>
          </w:p>
        </w:tc>
      </w:tr>
      <w:tr w14:paraId="52450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2C96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RFFI域适应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74DF9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15788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968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单次迁移；类别不扩展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B5A3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target标签可为0、少量或充分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12A3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与source相同的发射机集合</w:t>
            </w:r>
          </w:p>
        </w:tc>
      </w:tr>
      <w:tr w14:paraId="2E60A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BE4A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6"/>
              </w:rPr>
              <w:t>RFFI少样本域适应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5DDA6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5E17F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C0A9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单次迁移；类别不扩展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C82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每个已知类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个target support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204D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与source相同的发射机集合</w:t>
            </w:r>
          </w:p>
        </w:tc>
      </w:tr>
      <w:tr w14:paraId="0EEAC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15F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跨域RFFI-FSL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93C1E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=⌀</m:t>
                </m:r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8B967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7D2B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episodic；通常不持久化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48B5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 novel类每类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CADC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标准FSL为novel类；</w:t>
            </w:r>
          </w:p>
        </w:tc>
      </w:tr>
      <w:tr w14:paraId="4E582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DDE8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RFFI-CIL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738C8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794D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通常</w:t>
            </w:r>
            <m:oMath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</m:oMath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940A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0F15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新增类标签数量不限定为少样本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3F42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全部累计已注册类</w:t>
            </w:r>
          </w:p>
        </w:tc>
      </w:tr>
      <w:tr w14:paraId="40283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54E2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RFFI-FSCIL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ABF17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DF4A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通常</w:t>
            </w:r>
            <m:oMath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</m:oMath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5199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FD8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每个增量新类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A3BF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全部累计已注册类</w:t>
            </w:r>
          </w:p>
        </w:tc>
      </w:tr>
      <w:tr w14:paraId="1975A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5871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6"/>
              </w:rPr>
              <w:t>跨域RFFI-FSCIL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A68EB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E76E0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92BA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166D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target新类每类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CA2A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全部累计已注册旧类与新类</w:t>
            </w:r>
          </w:p>
        </w:tc>
      </w:tr>
      <w:tr w14:paraId="3317F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4B49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开放世界跨域RFFI-FSCIL（扩展）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1ED6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类别增长且存在</w:t>
            </w:r>
            <m:oMath>
              <m:sSub>
                <m:sSub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unknown</m:t>
                  </m:r>
                </m:sub>
              </m:sSub>
            </m:oMath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FCD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域随部署阶段变化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8C52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注册与拒识顺序执行；状态持续保存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111E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已注册新类为K-shot；unknown无标签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B8A0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已注册旧类与新类，并拒识未注册unknown</w:t>
            </w:r>
          </w:p>
        </w:tc>
      </w:tr>
    </w:tbl>
    <w:p w14:paraId="02E6E1FA">
      <w:pPr>
        <w:pStyle w:val="19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/>
          <w:bCs/>
          <w:color w:val="C00000"/>
          <w:sz w:val="22"/>
        </w:rPr>
        <w:t>CVS阶段定位：Stage2-A是零标签target迁移参考；Stage2-B对应RFFI少样本监督域适应；Stage2-C在同一row中提供旧类与新类K-shot target support，对应跨域单步FSCIL与新类注册，连续执行多个增量session后才构成完整FSCIL</w:t>
      </w:r>
      <w:r>
        <w:rPr>
          <w:rFonts w:hint="eastAsia" w:cs="Times New Roman" w:ascii="Times New Roman" w:hAnsi="Times New Roman" w:eastAsia="宋体"/>
          <w:b/>
          <w:bCs/>
          <w:color w:val="C00000"/>
          <w:sz w:val="22"/>
          <w:lang w:eastAsia="zh-CN"/>
        </w:rPr>
        <w:t>。</w:t>
      </w:r>
    </w:p>
    <w:p w14:paraId="38068436">
      <w:pPr>
        <w:pStyle w:val="4"/>
        <w:keepNext/>
      </w:pPr>
      <w:r>
        <w:rPr>
          <w:rFonts w:ascii="Times New Roman" w:hAnsi="Times New Roman" w:eastAsia="宋体" w:cs="Times New Roman"/>
        </w:rPr>
        <w:t>1.2少样本学习的定义</w:t>
      </w:r>
    </w:p>
    <w:p w14:paraId="62551DB0">
      <w:r>
        <w:rPr>
          <w:rFonts w:ascii="Times New Roman" w:hAnsi="Times New Roman" w:eastAsia="宋体" w:cs="Times New Roman"/>
          <w:sz w:val="22"/>
        </w:rPr>
        <w:t>少样本学习是指模型已经从base数据或预训练状态中获得先验，在目标任务每类只有少量带标签样本时，仍能泛化到未参与适配的query。</w:t>
      </w:r>
    </w:p>
    <w:p w14:paraId="190E7357">
      <w:pPr>
        <w:pStyle w:val="19"/>
      </w:pPr>
      <w:r>
        <w:rPr>
          <w:rFonts w:ascii="Times New Roman" w:hAnsi="Times New Roman" w:eastAsia="宋体" w:cs="Times New Roman"/>
          <w:sz w:val="22"/>
        </w:rPr>
        <w:t>一次</w:t>
      </w:r>
      <m:oMath>
        <m:r>
          <m:rPr/>
          <m:t>N</m:t>
        </m:r>
      </m:oMath>
      <w:r>
        <w:rPr>
          <w:rFonts w:ascii="Times New Roman" w:hAnsi="Times New Roman" w:eastAsia="宋体" w:cs="Times New Roman"/>
          <w:sz w:val="22"/>
        </w:rPr>
        <w:t xml:space="preserve">-way </w:t>
      </w:r>
      <m:oMath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-shot任务记为</w:t>
      </w:r>
      <m:oMath>
        <m:r>
          <m:rPr/>
          <m:t>τ</m:t>
        </m:r>
        <m:r>
          <m:rPr>
            <m:sty m:val="p"/>
          </m:rPr>
          <m:t>=</m:t>
        </m:r>
        <m:d>
          <m:dPr>
            <m:sepChr m:val=""/>
          </m:dPr>
          <m:e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τ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τ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sz w:val="22"/>
        </w:rPr>
        <w:t>。support包含</w:t>
      </w:r>
      <m:oMath>
        <m:r>
          <m:rPr/>
          <m:t>N</m:t>
        </m:r>
      </m:oMath>
      <w:r>
        <w:rPr>
          <w:rFonts w:ascii="Times New Roman" w:hAnsi="Times New Roman" w:eastAsia="宋体" w:cs="Times New Roman"/>
          <w:sz w:val="22"/>
        </w:rPr>
        <w:t>个类别，每类</w:t>
      </w:r>
      <m:oMath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个独立带标签样本：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t>τ</m:t>
        </m:r>
      </m:oMath>
      <w:r>
        <w:rPr>
          <w:rFonts w:ascii="Times New Roman" w:hAnsi="Times New Roman" w:eastAsia="宋体" w:cs="Times New Roman"/>
          <w:b w:val="0"/>
        </w:rPr>
        <w:t>是一次独立少样本任务；</w:t>
      </w:r>
      <m:oMath xmlns:a="http://schemas.openxmlformats.org/drawingml/2006/main" xmlns:pic="http://schemas.openxmlformats.org/drawingml/2006/picture">
        <m:sSub>
          <m:e>
            <m:r>
              <m:t>S</m:t>
            </m:r>
          </m:e>
          <m:sub>
            <m:r>
              <m:t>τ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τ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分别是该任务的support集合与query集合。support是允许建立或更新模型状态的带标签样本，query只用于冻结后的测试。</w:t>
      </w:r>
      <m:oMath xmlns:a="http://schemas.openxmlformats.org/drawingml/2006/main" xmlns:pic="http://schemas.openxmlformats.org/drawingml/2006/picture">
        <m:r>
          <m:t>N</m:t>
        </m:r>
      </m:oMath>
      <w:r>
        <w:rPr>
          <w:rFonts w:ascii="Times New Roman" w:hAnsi="Times New Roman" w:eastAsia="宋体" w:cs="Times New Roman"/>
          <w:b w:val="0"/>
        </w:rPr>
        <w:t>是任务中的类别数，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是每类support数，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τ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是任务类别集合；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是类别索引，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是类内样本索引，</w:t>
      </w:r>
      <m:oMath xmlns:a="http://schemas.openxmlformats.org/drawingml/2006/main" xmlns:pic="http://schemas.openxmlformats.org/drawingml/2006/picture">
        <m:sSub>
          <m:e>
            <m:r>
              <m:t>x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的第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个固定接收IQ观测。</w:t>
      </w:r>
      <m:oMath xmlns:a="http://schemas.openxmlformats.org/drawingml/2006/main" xmlns:pic="http://schemas.openxmlformats.org/drawingml/2006/picture"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Times New Roman" w:hAnsi="Times New Roman" w:eastAsia="宋体" w:cs="Times New Roman"/>
          <w:b w:val="0"/>
        </w:rPr>
        <w:t>表示集合基数，</w:t>
      </w:r>
      <m:oMath xmlns:a="http://schemas.openxmlformats.org/drawingml/2006/main" xmlns:pic="http://schemas.openxmlformats.org/drawingml/2006/picture">
        <m:r>
          <m:rPr>
            <m:sty m:val="p"/>
          </m:rPr>
          <m:t>⋃</m:t>
        </m:r>
      </m:oMath>
      <w:r>
        <w:rPr>
          <w:rFonts w:ascii="Times New Roman" w:hAnsi="Times New Roman" w:eastAsia="宋体" w:cs="Times New Roman"/>
          <w:b w:val="0"/>
        </w:rPr>
        <w:t>表示把各类样本合并为support集合</w:t>
      </w:r>
      <w:r>
        <w:rPr>
          <w:rFonts w:ascii="Times New Roman" w:hAnsi="Times New Roman" w:cs="Times New Roman" w:eastAsia="宋体"/>
        </w:rPr>
        <w:t>）</w:t>
      </w:r>
    </w:p>
    <w:p w14:paraId="286AC45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⋃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/>
                    <m:t>τ</m:t>
                  </m:r>
                </m:sub>
              </m:sSub>
            </m:lim>
          </m:limLow>
          <m:sSubSup>
            <m:sSubSupPr/>
            <m:e>
              <m:d>
                <m:dPr>
                  <m:begChr m:val="{"/>
                  <m:sepChr m:val=""/>
                  <m:endChr m:val="}"/>
                </m:dPr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x</m:t>
                          </m:r>
                        </m:e>
                        <m:sub>
                          <m:r>
                            <m:rPr/>
                            <m:t>c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/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c</m:t>
                      </m:r>
                    </m:e>
                  </m:d>
                </m:e>
              </m:d>
            </m:e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K</m:t>
              </m:r>
            </m:sup>
          </m:sSubSup>
          <m:r>
            <m:rPr>
              <m:sty m:val="p"/>
            </m:rPr>
            <m:t>,</m:t>
          </m:r>
          <m:r>
            <m:rPr/>
            <m:t>  </m:t>
          </m:r>
          <m:d>
            <m:dPr>
              <m:begChr m:val="|"/>
              <m:sepChr m:val=""/>
              <m:endChr m:val="|"/>
            </m:dPr>
            <m:e>
              <m:sSub>
                <m:sSub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/>
                    <m:t>τ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  </m:t>
          </m:r>
          <m:d>
            <m:dPr>
              <m:begChr m:val="|"/>
              <m:sepChr m:val=""/>
              <m:endChr m:val="|"/>
            </m:dPr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τ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NK</m:t>
          </m:r>
          <m:r>
            <m:rPr>
              <m:sty m:val="p"/>
            </m:rPr>
            <m:t>.</m:t>
          </m:r>
        </m:oMath>
      </m:oMathPara>
    </w:p>
    <w:p w14:paraId="763007A7">
      <w:r>
        <w:rPr>
          <w:rFonts w:ascii="Times New Roman" w:hAnsi="Times New Roman" w:eastAsia="宋体" w:cs="Times New Roman"/>
          <w:sz w:val="22"/>
        </w:rPr>
        <w:t>学习算法读取先验状态</w:t>
      </w:r>
      <m:oMath>
        <m:sSub>
          <m:sSubPr/>
          <m:e>
            <m:r>
              <m:rPr/>
              <m:t>Ω</m:t>
            </m:r>
          </m:e>
          <m:sub>
            <m:r>
              <m:rPr/>
              <m:t>0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和support，生成当前任务预测器：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Ω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是任务开始前的冻结先验状态，例如Phase1 deployment bundle；</w:t>
      </w:r>
      <m:oMath xmlns:a="http://schemas.openxmlformats.org/drawingml/2006/main" xmlns:pic="http://schemas.openxmlformats.org/drawingml/2006/picture">
        <m:r>
          <m:rPr>
            <m:sty m:val="p"/>
            <m:scr m:val="script"/>
          </m:rPr>
          <m:t>A</m:t>
        </m:r>
      </m:oMath>
      <w:r>
        <w:rPr>
          <w:rFonts w:ascii="Times New Roman" w:hAnsi="Times New Roman" w:eastAsia="宋体" w:cs="Times New Roman"/>
          <w:b w:val="0"/>
        </w:rPr>
        <w:t>是只读取先验状态和support的适配/注册算法；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τ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是由它生成的当前任务预测器。</w:t>
      </w:r>
      <m:oMath xmlns:a="http://schemas.openxmlformats.org/drawingml/2006/main" xmlns:pic="http://schemas.openxmlformats.org/drawingml/2006/picture">
        <m:sSub>
          <m:e>
            <m:r>
              <m:t>x</m:t>
            </m:r>
          </m:e>
          <m:sub>
            <m:r>
              <m:t>q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是单个query观测，</w:t>
      </w:r>
      <m:oMath xmlns:a="http://schemas.openxmlformats.org/drawingml/2006/main" xmlns:pic="http://schemas.openxmlformats.org/drawingml/2006/picture">
        <m:sSub>
          <m:e>
            <m:r>
              <m:t>y</m:t>
            </m:r>
          </m:e>
          <m:sub>
            <m:r>
              <m:t>q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是真实发射机标签，</w:t>
      </w:r>
      <m:oMath xmlns:a="http://schemas.openxmlformats.org/drawingml/2006/main" xmlns:pic="http://schemas.openxmlformats.org/drawingml/2006/picture"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q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是模型预测；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τ</m:t>
            </m:r>
          </m:sub>
        </m:sSub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q</m:t>
                    </m:r>
                  </m:sub>
                </m:sSub>
              </m:e>
            </m:d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是query属于类别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的分数。</w:t>
      </w:r>
      <m:oMath xmlns:a="http://schemas.openxmlformats.org/drawingml/2006/main" xmlns:pic="http://schemas.openxmlformats.org/drawingml/2006/picture">
        <m:r>
          <m:rPr>
            <m:sty m:val="p"/>
          </m:rPr>
          <m:t>arg</m:t>
        </m:r>
        <m:r>
          <m:rPr>
            <m:sty m:val="p"/>
          </m:rPr>
          <m:t>max</m:t>
        </m:r>
      </m:oMath>
      <w:r>
        <w:rPr>
          <w:rFonts w:ascii="Times New Roman" w:hAnsi="Times New Roman" w:eastAsia="宋体" w:cs="Times New Roman"/>
          <w:b w:val="0"/>
        </w:rPr>
        <w:t>表示选择分数最大的类别。</w:t>
      </w:r>
      <m:oMath xmlns:a="http://schemas.openxmlformats.org/drawingml/2006/main" xmlns:pic="http://schemas.openxmlformats.org/drawingml/2006/picture">
        <m:sSub>
          <m:e>
            <m:r>
              <m:t>S</m:t>
            </m:r>
          </m:e>
          <m:sub>
            <m:r>
              <m:t>τ</m:t>
            </m:r>
          </m:sub>
        </m:sSub>
        <m:r>
          <m:rPr>
            <m:sty m:val="p"/>
          </m:rPr>
          <m:t>∩</m:t>
        </m:r>
        <m:sSub>
          <m:e>
            <m:r>
              <m:t>Q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rPr>
          <w:rFonts w:ascii="Times New Roman" w:hAnsi="Times New Roman" w:eastAsia="宋体" w:cs="Times New Roman"/>
          <w:b w:val="0"/>
        </w:rPr>
        <w:t>表示support与query不能共享同一物理样本</w:t>
      </w:r>
      <w:r>
        <w:rPr>
          <w:rFonts w:ascii="Times New Roman" w:hAnsi="Times New Roman" w:cs="Times New Roman" w:eastAsia="宋体"/>
        </w:rPr>
        <w:t>）</w:t>
      </w:r>
    </w:p>
    <w:p w14:paraId="6F55F8C0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script"/>
            </m:rPr>
            <m:t>A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τ</m:t>
                  </m:r>
                </m:sub>
              </m:sSub>
              <m:r>
                <m:rPr>
                  <m:sty m:val="p"/>
                </m:rPr>
                <m:t>;</m:t>
              </m:r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acc>
                <m:accPr/>
                <m:e>
                  <m:r>
                    <m:rPr/>
                    <m:t>y</m:t>
                  </m:r>
                </m:e>
              </m:acc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/>
                    <m:t>τ</m:t>
                  </m:r>
                </m:sub>
              </m:sSub>
            </m:lim>
          </m:limLow>
          <m:sSub>
            <m:sSubPr/>
            <m:e>
              <m:r>
                <m:rPr/>
                <m:t>h</m:t>
              </m:r>
            </m:e>
            <m:sub>
              <m:r>
                <m:rPr/>
                <m:t>τ</m:t>
              </m:r>
            </m:sub>
          </m:sSub>
          <m:sSub>
            <m:sSub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q</m:t>
                      </m:r>
                    </m:sub>
                  </m:sSub>
                </m:e>
              </m:d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q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q</m:t>
                  </m:r>
                </m:sub>
              </m:sSub>
            </m:e>
          </m:d>
          <m:r>
            <m:rPr>
              <m:sty m:val="p"/>
            </m:rPr>
            <m:t>∈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.</m:t>
          </m:r>
        </m:oMath>
      </m:oMathPara>
    </w:p>
    <w:p w14:paraId="60C3696E">
      <w:r>
        <w:rPr>
          <w:rFonts w:ascii="Times New Roman" w:hAnsi="Times New Roman" w:eastAsia="宋体" w:cs="Times New Roman"/>
          <w:sz w:val="22"/>
        </w:rPr>
        <w:t>support与query必须样本级互斥：</w:t>
      </w:r>
    </w:p>
    <w:p w14:paraId="205618F9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∩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=⌀.</m:t>
          </m:r>
        </m:oMath>
      </m:oMathPara>
    </w:p>
    <w:p w14:paraId="1FCA6847">
      <w:r>
        <w:rPr>
          <w:rFonts w:ascii="Times New Roman" w:hAnsi="Times New Roman" w:eastAsia="宋体" w:cs="Times New Roman"/>
          <w:sz w:val="22"/>
        </w:rPr>
        <w:t>标准novel-class FSL还要求base类与novel类互斥，query通常只在当前novel类中竞争。若训练与测试类别相同，只是每类样本较少，更准确的名称是low-shot closed-set classification。ProtoNet[1]属于度量型FSL方法，但把prototype估计器用于旧类target support，并不会自动把任务变成标准novel-class FSL。</w:t>
      </w:r>
    </w:p>
    <w:p w14:paraId="29FBB891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K-shot统计的是每类K个独立物理IQ记录；同一IQ的FFT、裁剪、均衡或数据增强view均不增加K。query只用于冻结后评价，不能训练、调参、早停、设阈值或回滚。</w:t>
      </w:r>
    </w:p>
    <w:p w14:paraId="05CFD8F0">
      <w:pPr>
        <w:pStyle w:val="4"/>
        <w:keepNext/>
      </w:pPr>
      <w:r>
        <w:rPr>
          <w:rFonts w:ascii="Times New Roman" w:hAnsi="Times New Roman" w:eastAsia="宋体" w:cs="Times New Roman"/>
        </w:rPr>
        <w:t>1.3域适应及Stage2-B定位</w:t>
      </w:r>
    </w:p>
    <w:p w14:paraId="3B3DEC9C">
      <w:r>
        <w:rPr>
          <w:rFonts w:ascii="Times New Roman" w:hAnsi="Times New Roman" w:eastAsia="宋体" w:cs="Times New Roman"/>
          <w:sz w:val="22"/>
        </w:rPr>
        <w:t>source域与target域可写为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分别表示源域与目标域数据分布；</w:t>
      </w:r>
      <m:oMath xmlns:a="http://schemas.openxmlformats.org/drawingml/2006/main" xmlns:pic="http://schemas.openxmlformats.org/drawingml/2006/picture">
        <m:r>
          <m:rPr>
            <m:sty m:val="p"/>
            <m:scr m:val="script"/>
          </m:rPr>
          <m:t>X</m:t>
        </m:r>
      </m:oMath>
      <w:r>
        <w:rPr>
          <w:rFonts w:ascii="Times New Roman" w:hAnsi="Times New Roman" w:eastAsia="宋体" w:cs="Times New Roman"/>
          <w:b w:val="0"/>
        </w:rPr>
        <w:t>是接收IQ的输入空间，</w:t>
      </w:r>
      <m:oMath xmlns:a="http://schemas.openxmlformats.org/drawingml/2006/main" xmlns:pic="http://schemas.openxmlformats.org/drawingml/2006/picture">
        <m:r>
          <m:rPr>
            <m:sty m:val="p"/>
            <m:scr m:val="script"/>
          </m:rPr>
          <m:t>Y</m:t>
        </m:r>
      </m:oMath>
      <w:r>
        <w:rPr>
          <w:rFonts w:ascii="Times New Roman" w:hAnsi="Times New Roman" w:eastAsia="宋体" w:cs="Times New Roman"/>
          <w:b w:val="0"/>
        </w:rPr>
        <w:t>是发射机标签空间。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是两个域中的联合分布，</w:t>
      </w:r>
      <m:oMath xmlns:a="http://schemas.openxmlformats.org/drawingml/2006/main" xmlns:pic="http://schemas.openxmlformats.org/drawingml/2006/picture"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e>
        </m:d>
      </m:oMath>
      <w:r>
        <w:rPr>
          <w:rFonts w:ascii="Times New Roman" w:hAnsi="Times New Roman" w:eastAsia="宋体" w:cs="Times New Roman"/>
          <w:b w:val="0"/>
        </w:rPr>
        <w:t>表示给定同一发射机身份时观测到某种IQ波形的条件分布。CVS中的物理含义是发射机身份不变，但目标接收机与LEO弱信道使波形分布改变</w:t>
      </w:r>
      <w:r>
        <w:rPr>
          <w:rFonts w:ascii="Times New Roman" w:hAnsi="Times New Roman" w:cs="Times New Roman" w:eastAsia="宋体"/>
        </w:rPr>
        <w:t>）</w:t>
      </w:r>
    </w:p>
    <w:p w14:paraId="7D9B4AF3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>
                  <m:sty m:val="p"/>
                  <m:scr m:val="script"/>
                </m:rPr>
                <m:t>X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s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e>
          </m: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>
                  <m:sty m:val="p"/>
                  <m:scr m:val="script"/>
                </m:rPr>
                <m:t>X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t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 w14:paraId="5E88F9D4">
      <w:r>
        <w:rPr>
          <w:rFonts w:ascii="Times New Roman" w:hAnsi="Times New Roman" w:eastAsia="宋体" w:cs="Times New Roman"/>
          <w:sz w:val="22"/>
        </w:rPr>
        <w:t>跨接收机RFFI保持旧类标签空间不变，但类别条件分布发生变化：</w:t>
      </w:r>
    </w:p>
    <w:p w14:paraId="486207B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old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s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∣</m:t>
              </m:r>
              <m:r>
                <m:rPr/>
                <m:t>Y</m:t>
              </m:r>
            </m:e>
          </m:d>
          <m:r>
            <m:rPr>
              <m:sty m:val="p"/>
            </m:rPr>
            <m:t>≠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t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∣</m:t>
              </m:r>
              <m:r>
                <m:rPr/>
                <m:t>Y</m:t>
              </m:r>
            </m:e>
          </m:d>
          <m:r>
            <m:rPr>
              <m:sty m:val="p"/>
            </m:rPr>
            <m:t>.</m:t>
          </m:r>
        </m:oMath>
      </m:oMathPara>
    </w:p>
    <w:p w14:paraId="1ADC9CFF">
      <w:r>
        <w:rPr>
          <w:rFonts w:ascii="Times New Roman" w:hAnsi="Times New Roman" w:eastAsia="宋体" w:cs="Times New Roman"/>
          <w:sz w:val="22"/>
        </w:rPr>
        <w:t>域适应的目标是利用source知识和允许读取的target数据，降低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R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是预测器</w:t>
      </w:r>
      <m:oMath xmlns:a="http://schemas.openxmlformats.org/drawingml/2006/main" xmlns:pic="http://schemas.openxmlformats.org/drawingml/2006/picture">
        <m:r>
          <m:t>h</m:t>
        </m:r>
      </m:oMath>
      <w:r>
        <w:rPr>
          <w:rFonts w:ascii="Times New Roman" w:hAnsi="Times New Roman" w:eastAsia="宋体" w:cs="Times New Roman"/>
          <w:b w:val="0"/>
        </w:rPr>
        <w:t>在目标接收机域上的期望分类风险；</w:t>
      </w:r>
      <m:oMath xmlns:a="http://schemas.openxmlformats.org/drawingml/2006/main" xmlns:pic="http://schemas.openxmlformats.org/drawingml/2006/picture">
        <m:r>
          <m:rPr>
            <m:sty m:val="p"/>
          </m:rPr>
          <m:t>ℓ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是单个样本的分类损失；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double-struck"/>
              </m:rPr>
              <m:t>E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e>
            </m:d>
            <m:r>
              <m:rPr>
                <m:sty m:val="p"/>
              </m:rPr>
              <m:t>∼</m:t>
            </m:r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</m:sub>
        </m:sSub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Times New Roman" w:hAnsi="Times New Roman" w:eastAsia="宋体" w:cs="Times New Roman"/>
          <w:b w:val="0"/>
        </w:rPr>
        <w:t>表示对目标域分布中的样本取数学期望。物理上，降低</w:t>
      </w:r>
      <m:oMath xmlns:a="http://schemas.openxmlformats.org/drawingml/2006/main" xmlns:pic="http://schemas.openxmlformats.org/drawingml/2006/picture"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就是减少目标卫星接收机上旧发射机的平均识别错误</w:t>
      </w:r>
      <w:r>
        <w:rPr>
          <w:rFonts w:ascii="Times New Roman" w:hAnsi="Times New Roman" w:cs="Times New Roman" w:eastAsia="宋体"/>
        </w:rPr>
        <w:t>）</w:t>
      </w:r>
    </w:p>
    <w:p w14:paraId="7F184A1A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t</m:t>
              </m:r>
            </m:sub>
          </m:sSub>
          <m:d>
            <m:dPr>
              <m:sepChr m:val=""/>
            </m:dPr>
            <m:e>
              <m:r>
                <m:rPr/>
                <m:t>h</m:t>
              </m:r>
            </m:e>
          </m:d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  <m:r>
                <m:rPr>
                  <m:sty m:val="p"/>
                </m:rPr>
                <m:t>∼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t</m:t>
                  </m:r>
                </m:sub>
              </m:sSub>
            </m:sub>
          </m:sSub>
          <m:r>
            <m:rPr/>
            <m:t>​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ℓ</m:t>
              </m:r>
              <m:d>
                <m:dPr>
                  <m:sepChr m:val=""/>
                </m:dPr>
                <m:e>
                  <m:r>
                    <m:rPr/>
                    <m:t>h</m:t>
                  </m:r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 w14:paraId="0B711868">
      <w:r>
        <w:rPr>
          <w:rFonts w:ascii="Times New Roman" w:hAnsi="Times New Roman" w:eastAsia="宋体" w:cs="Times New Roman"/>
          <w:sz w:val="22"/>
        </w:rPr>
        <w:t>Stage2-B每个旧类仅提供K个target-old support，因此属于</w:t>
      </w:r>
      <w:r>
        <w:rPr>
          <w:rFonts w:ascii="Times New Roman" w:hAnsi="Times New Roman" w:eastAsia="宋体" w:cs="Times New Roman"/>
          <w:b/>
          <w:bCs/>
          <w:sz w:val="22"/>
        </w:rPr>
        <w:t>少样本监督域适应</w:t>
      </w:r>
      <w:r>
        <w:rPr>
          <w:rFonts w:ascii="Times New Roman" w:hAnsi="Times New Roman" w:eastAsia="宋体" w:cs="Times New Roman"/>
          <w:sz w:val="22"/>
        </w:rPr>
        <w:t xml:space="preserve"> ：少样本描述target标签预算，域适应才是任务本质。Phase1域泛化训练不能读取未来target receiver；Phase2域适应发生在部署以后，可以读取协议允许的target support。是否接触target数据，是DG与DA的关键边界。</w:t>
      </w:r>
    </w:p>
    <w:p w14:paraId="5CB6D9C4">
      <w:pPr>
        <w:pStyle w:val="4"/>
        <w:keepNext/>
      </w:pPr>
      <w:r>
        <w:rPr>
          <w:rFonts w:ascii="Times New Roman" w:hAnsi="Times New Roman" w:eastAsia="宋体" w:cs="Times New Roman"/>
        </w:rPr>
        <w:t>1.4类增量、FSCIL与新类注册</w:t>
      </w:r>
    </w:p>
    <w:p w14:paraId="6FF3AD3F">
      <w:r>
        <w:rPr>
          <w:rFonts w:ascii="Times New Roman" w:hAnsi="Times New Roman" w:eastAsia="宋体" w:cs="Times New Roman"/>
          <w:sz w:val="22"/>
        </w:rPr>
        <w:t>类增量学习要求新类按阶段到达，并把更新后的状态持续保存：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p>
          <m:e>
            <m:r>
              <m:rPr>
                <m:sty m:val="p"/>
                <m:scr m:val="script"/>
              </m:rPr>
              <m:t>C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≤</m:t>
                </m:r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</m:oMath>
      <w:r>
        <w:rPr>
          <w:rFonts w:ascii="Times New Roman" w:hAnsi="Times New Roman" w:eastAsia="宋体" w:cs="Times New Roman"/>
          <w:b w:val="0"/>
        </w:rPr>
        <w:t>是进入第</w:t>
      </w:r>
      <m:oMath xmlns:a="http://schemas.openxmlformats.org/drawingml/2006/main" xmlns:pic="http://schemas.openxmlformats.org/drawingml/2006/picture">
        <m:r>
          <m:t>t</m:t>
        </m:r>
      </m:oMath>
      <w:r>
        <w:rPr>
          <w:rFonts w:ascii="Times New Roman" w:hAnsi="Times New Roman" w:eastAsia="宋体" w:cs="Times New Roman"/>
          <w:b w:val="0"/>
        </w:rPr>
        <w:t>次增量前已经注册的类别，</w:t>
      </w:r>
      <m:oMath xmlns:a="http://schemas.openxmlformats.org/drawingml/2006/main" xmlns:pic="http://schemas.openxmlformats.org/drawingml/2006/picture"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t>t</m:t>
            </m:r>
          </m:sub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是本次到达并获得合法support的新发射机，二者并集构成</w:t>
      </w:r>
      <m:oMath xmlns:a="http://schemas.openxmlformats.org/drawingml/2006/main" xmlns:pic="http://schemas.openxmlformats.org/drawingml/2006/picture">
        <m:sSup>
          <m:e>
            <m:r>
              <m:rPr>
                <m:sty m:val="p"/>
                <m:scr m:val="script"/>
              </m:rPr>
              <m:t>C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≤</m:t>
                </m:r>
                <m:r>
                  <m:t>t</m:t>
                </m:r>
              </m:e>
            </m:d>
          </m:sup>
        </m:sSup>
      </m:oMath>
      <w:r>
        <w:rPr>
          <w:rFonts w:ascii="Times New Roman" w:hAnsi="Times New Roman" w:eastAsia="宋体" w:cs="Times New Roman"/>
          <w:b w:val="0"/>
        </w:rPr>
        <w:t>。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是完成第</w:t>
      </w:r>
      <m:oMath xmlns:a="http://schemas.openxmlformats.org/drawingml/2006/main" xmlns:pic="http://schemas.openxmlformats.org/drawingml/2006/picture">
        <m:r>
          <m:t>t</m:t>
        </m:r>
      </m:oMath>
      <w:r>
        <w:rPr>
          <w:rFonts w:ascii="Times New Roman" w:hAnsi="Times New Roman" w:eastAsia="宋体" w:cs="Times New Roman"/>
          <w:b w:val="0"/>
        </w:rPr>
        <w:t>次更新后持续保存的预测器，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t</m:t>
            </m:r>
          </m:sub>
        </m:sSub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是观测</w:t>
      </w:r>
      <m:oMath xmlns:a="http://schemas.openxmlformats.org/drawingml/2006/main" xmlns:pic="http://schemas.openxmlformats.org/drawingml/2006/picture">
        <m:r>
          <m:t>x</m:t>
        </m:r>
      </m:oMath>
      <w:r>
        <w:rPr>
          <w:rFonts w:ascii="Times New Roman" w:hAnsi="Times New Roman" w:eastAsia="宋体" w:cs="Times New Roman"/>
          <w:b w:val="0"/>
        </w:rPr>
        <w:t>对类别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的分类分数。统一</w:t>
      </w:r>
      <m:oMath xmlns:a="http://schemas.openxmlformats.org/drawingml/2006/main" xmlns:pic="http://schemas.openxmlformats.org/drawingml/2006/picture">
        <m:r>
          <m:rPr>
            <m:sty m:val="p"/>
          </m:rPr>
          <m:t>arg</m:t>
        </m:r>
        <m:r>
          <m:rPr>
            <m:sty m:val="p"/>
          </m:rPr>
          <m:t>max</m:t>
        </m:r>
      </m:oMath>
      <w:r>
        <w:rPr>
          <w:rFonts w:ascii="Times New Roman" w:hAnsi="Times New Roman" w:eastAsia="宋体" w:cs="Times New Roman"/>
          <w:b w:val="0"/>
        </w:rPr>
        <w:t>意味着旧类和已注册新类在同一候选空间竞争</w:t>
      </w:r>
      <w:r>
        <w:rPr>
          <w:rFonts w:ascii="Times New Roman" w:hAnsi="Times New Roman" w:cs="Times New Roman" w:eastAsia="宋体"/>
        </w:rPr>
        <w:t>）</w:t>
      </w:r>
    </w:p>
    <w:p w14:paraId="251A770F">
      <w:pPr>
        <w:pStyle w:val="19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  <m:scr m:val="script"/>
                </m:rPr>
                <m:t>C</m:t>
              </m:r>
            </m:e>
            <m:sup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≤</m:t>
                  </m:r>
                  <m:r>
                    <m:rPr/>
                    <m:t>t</m:t>
                  </m:r>
                </m:e>
              </m:d>
            </m:sup>
          </m:sSup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  <m:scr m:val="script"/>
                </m:rPr>
                <m:t>C</m:t>
              </m:r>
            </m:e>
            <m:sup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≤</m:t>
                  </m:r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</m:sup>
          </m:sSup>
          <m:r>
            <m:rPr>
              <m:sty m:val="p"/>
            </m:rPr>
            <m:t>∪</m:t>
          </m:r>
          <m:sSubSup>
            <m:sSubSup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/>
                <m:t>t</m:t>
              </m:r>
            </m:sub>
            <m:sup>
              <m:r>
                <m:rPr>
                  <m:sty m:val="p"/>
                </m:rPr>
                <m:t>new</m:t>
              </m:r>
            </m:sup>
          </m:sSubSup>
          <m:r>
            <m:rPr>
              <m:sty m:val="p"/>
            </m:rPr>
            <m:t>,</m:t>
          </m:r>
          <m:r>
            <m:rPr/>
            <m:t>  </m:t>
          </m:r>
          <m:acc>
            <m:accPr/>
            <m:e>
              <m:r>
                <m:rPr/>
                <m:t>y</m:t>
              </m:r>
            </m:e>
          </m:acc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p>
                <m:sSup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p>
                  <m:d>
                    <m:dPr>
                      <m:sepChr m:val=""/>
                    </m:dPr>
                    <m:e>
                      <m:r>
                        <m:rPr>
                          <m:sty m:val="p"/>
                        </m:rPr>
                        <m:t>≤</m:t>
                      </m:r>
                      <m:r>
                        <m:rPr/>
                        <m:t>t</m:t>
                      </m:r>
                    </m:e>
                  </m:d>
                </m:sup>
              </m:sSup>
            </m:lim>
          </m:limLow>
          <m:sSub>
            <m:sSubPr/>
            <m:e>
              <m:r>
                <m:rPr/>
                <m:t>h</m:t>
              </m:r>
            </m:e>
            <m:sub>
              <m:r>
                <m:rPr/>
                <m:t>t</m:t>
              </m:r>
            </m:sub>
          </m:sSub>
          <m:sSub>
            <m:sSubPr/>
            <m:e>
              <m:d>
                <m:dPr>
                  <m:sepChr m:val=""/>
                </m:dPr>
                <m:e>
                  <m:r>
                    <m:rPr/>
                    <m:t>x</m:t>
                  </m:r>
                </m:e>
              </m:d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 w14:paraId="2A5D1612">
      <w:r>
        <w:rPr>
          <w:rFonts w:ascii="Times New Roman" w:hAnsi="Times New Roman" w:eastAsia="宋体" w:cs="Times New Roman"/>
          <w:sz w:val="22"/>
        </w:rPr>
        <w:t>推理时不提供task ID，模型必须让旧类与新类在同一标签空间竞争。当每个增量新类只有K个support时，任务成为FSCIL。一次新类集合注册只能评价single-session/one-step类扩展；若要声明持续FSCIL，还需连续执行多个增量session，并在每个session后评价累计类别和遗忘。</w:t>
      </w:r>
    </w:p>
    <w:p w14:paraId="6038CE23">
      <w:pPr>
        <w:pStyle w:val="19"/>
      </w:pPr>
      <w:r>
        <w:rPr>
          <w:rFonts w:ascii="Times New Roman" w:hAnsi="Times New Roman" w:eastAsia="宋体" w:cs="Times New Roman"/>
          <w:sz w:val="22"/>
        </w:rPr>
        <w:t>CVS中的“新类注册”是部署操作：利用带标签新类support建立prototype、分类权重、adapter或其他持久状态，使该身份从未注册unknown转为seen-new class。应严格区分</w:t>
      </w:r>
    </w:p>
    <w:p w14:paraId="2C107466">
      <w:pPr>
        <w:pStyle w:val="19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unknown rejection</m:t>
          </m:r>
          <m:r>
            <m:rPr>
              <m:sty m:val="p"/>
            </m:rPr>
            <m:t>≠</m:t>
          </m:r>
          <m:r>
            <m:rPr>
              <m:nor/>
              <m:sty m:val="p"/>
            </m:rPr>
            <m:t>new-class registration</m:t>
          </m:r>
          <m:r>
            <m:rPr>
              <m:sty m:val="p"/>
            </m:rPr>
            <m:t>.</m:t>
          </m:r>
        </m:oMath>
      </m:oMathPara>
    </w:p>
    <w:p w14:paraId="365ED83F">
      <w:r>
        <w:rPr>
          <w:rFonts w:ascii="Times New Roman" w:hAnsi="Times New Roman" w:eastAsia="宋体" w:cs="Times New Roman"/>
          <w:sz w:val="22"/>
        </w:rPr>
        <w:t>unknown尚未获得可信标签，不能直接进入注册集合；只有获得合法标签和support后，才能成为已注册新类。</w:t>
      </w:r>
    </w:p>
    <w:p w14:paraId="1A9932D9">
      <w:pPr>
        <w:pStyle w:val="4"/>
        <w:keepNext/>
      </w:pPr>
      <w:r>
        <w:rPr>
          <w:rFonts w:ascii="Times New Roman" w:hAnsi="Times New Roman" w:eastAsia="宋体" w:cs="Times New Roman"/>
        </w:rPr>
        <w:t>1.5与CVS-RFFI Phase2阶段的对应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720"/>
        <w:gridCol w:w="810"/>
        <w:gridCol w:w="1860"/>
        <w:gridCol w:w="3810"/>
        <w:gridCol w:w="1526"/>
      </w:tblGrid>
      <w:tr w14:paraId="29A24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A917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阶段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429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域是否变化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FAE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类别是否增加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3C36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可用target标签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78CF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准确任务定位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3F4C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冻结后query范围</w:t>
            </w:r>
          </w:p>
        </w:tc>
      </w:tr>
      <w:tr w14:paraId="6FAFB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616B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4C5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B794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41B3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无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CEB2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zero-label transfer/reference；仅在实际使用无标签target更新时才属于UDA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468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旧类target query</w:t>
            </w:r>
          </w:p>
        </w:tc>
      </w:tr>
      <w:tr w14:paraId="1540F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AED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Stage2-B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1025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024B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FB85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旧类K-shot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330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少样本监督域适应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B83A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旧类target query</w:t>
            </w:r>
          </w:p>
        </w:tc>
      </w:tr>
      <w:tr w14:paraId="6E4BA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92FF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Stage2-C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7D5E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FC3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2640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旧类与新类均为K-shot target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BBC5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跨域单步FSCIL/新类注册；连续多session时为完整FSCIL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913A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旧类＋已注册新类统一query</w:t>
            </w:r>
          </w:p>
        </w:tc>
      </w:tr>
    </w:tbl>
    <w:p w14:paraId="2D7736A1">
      <w:pPr>
        <w:pStyle w:val="4"/>
        <w:keepNext/>
      </w:pPr>
      <w:r>
        <w:rPr>
          <w:rFonts w:ascii="Times New Roman" w:hAnsi="Times New Roman" w:eastAsia="宋体" w:cs="Times New Roman"/>
        </w:rPr>
        <w:t>1.6样本角色与成功条件</w:t>
      </w:r>
    </w:p>
    <w:p w14:paraId="7347AAD2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旧类</w:t>
      </w:r>
      <m:oMath>
        <m:sSub>
          <m:sSubPr/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old</m:t>
            </m:r>
          </m:sub>
        </m:sSub>
      </m:oMath>
      <w:r>
        <w:rPr>
          <w:rFonts w:ascii="Times New Roman" w:hAnsi="Times New Roman" w:eastAsia="宋体" w:cs="Times New Roman"/>
          <w:b/>
          <w:bCs/>
          <w:sz w:val="22"/>
        </w:rPr>
        <w:t>：</w:t>
      </w:r>
      <w:r>
        <w:rPr>
          <w:rFonts w:ascii="Times New Roman" w:hAnsi="Times New Roman" w:eastAsia="宋体" w:cs="Times New Roman"/>
          <w:sz w:val="22"/>
        </w:rPr>
        <w:t xml:space="preserve"> Phase1已经见过的发射机；更换receiver不改变其身份。</w:t>
      </w:r>
    </w:p>
    <w:p w14:paraId="428553DC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新类</w:t>
      </w:r>
      <m:oMath>
        <m:sSubSup>
          <m:sSubSupPr/>
          <m:e>
            <m:r>
              <m:rPr>
                <m:sty m:val="p"/>
                <m:scr m:val="script"/>
              </m:rPr>
              <m:t>C</m:t>
            </m:r>
          </m:e>
          <m:sub>
            <m:r>
              <m:rPr/>
              <m:t>t</m:t>
            </m:r>
          </m:sub>
          <m:sup>
            <m:r>
              <m:rPr>
                <m:sty m:val="p"/>
              </m:rPr>
              <m:t>new</m:t>
            </m:r>
          </m:sup>
        </m:sSubSup>
      </m:oMath>
      <w:r>
        <w:rPr>
          <w:rFonts w:ascii="Times New Roman" w:hAnsi="Times New Roman" w:eastAsia="宋体" w:cs="Times New Roman"/>
          <w:b/>
          <w:bCs/>
          <w:sz w:val="22"/>
        </w:rPr>
        <w:t>：</w:t>
      </w:r>
      <w:r>
        <w:rPr>
          <w:rFonts w:ascii="Times New Roman" w:hAnsi="Times New Roman" w:eastAsia="宋体" w:cs="Times New Roman"/>
          <w:sz w:val="22"/>
        </w:rPr>
        <w:t xml:space="preserve"> Phase1未见、在Stage2-C通过合法support注册的发射机。</w:t>
      </w:r>
    </w:p>
    <w:p w14:paraId="2F81B49B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未注册unknown：</w:t>
      </w:r>
      <w:r>
        <w:rPr>
          <w:rFonts w:ascii="Times New Roman" w:hAnsi="Times New Roman" w:eastAsia="宋体" w:cs="Times New Roman"/>
          <w:sz w:val="22"/>
        </w:rPr>
        <w:t xml:space="preserve"> 尚未获得可信标签或尚未加入已注册类别集合的发射机。</w:t>
      </w:r>
    </w:p>
    <w:p w14:paraId="4C7D04B6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support：</w:t>
      </w:r>
      <w:r>
        <w:rPr>
          <w:rFonts w:ascii="Times New Roman" w:hAnsi="Times New Roman" w:eastAsia="宋体" w:cs="Times New Roman"/>
          <w:sz w:val="22"/>
        </w:rPr>
        <w:t xml:space="preserve"> 唯一允许参与适应、注册和状态更新的带标签样本。</w:t>
      </w:r>
    </w:p>
    <w:p w14:paraId="11DA6263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query：</w:t>
      </w:r>
      <w:r>
        <w:rPr>
          <w:rFonts w:ascii="Times New Roman" w:hAnsi="Times New Roman" w:eastAsia="宋体" w:cs="Times New Roman"/>
          <w:sz w:val="22"/>
        </w:rPr>
        <w:t xml:space="preserve"> 模型冻结后用于评价的独立样本，不得影响predictor。</w:t>
      </w:r>
    </w:p>
    <w:p w14:paraId="56663E75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K-shot：</w:t>
      </w:r>
      <w:r>
        <w:rPr>
          <w:rFonts w:ascii="Times New Roman" w:hAnsi="Times New Roman" w:eastAsia="宋体" w:cs="Times New Roman"/>
          <w:sz w:val="22"/>
        </w:rPr>
        <w:t xml:space="preserve"> 每类K个互不重复的物理接收观测。</w:t>
      </w:r>
    </w:p>
    <w:p w14:paraId="7735C441">
      <w:pPr>
        <w:pStyle w:val="3"/>
        <w:keepNext/>
        <w:pageBreakBefore w:val="0"/>
      </w:pPr>
      <w:bookmarkStart w:id="0" w:name="Xa4b16eab3645cd06e297e8c59920ba7f89a3828"/>
      <w:r>
        <w:rPr>
          <w:rFonts w:ascii="Times New Roman" w:hAnsi="Times New Roman" w:eastAsia="宋体" w:cs="Times New Roman"/>
          <w:sz w:val="32"/>
        </w:rPr>
        <w:t>2.数据、权限与评价框架</w:t>
      </w:r>
    </w:p>
    <w:p w14:paraId="4972DEE3">
      <w:pPr>
        <w:pStyle w:val="4"/>
        <w:keepNext/>
      </w:pPr>
      <w:bookmarkStart w:id="1" w:name="X8fa98ef5c1a5d93584cb015cb15574040e70ae8"/>
      <w:r>
        <w:rPr>
          <w:rFonts w:ascii="Times New Roman" w:hAnsi="Times New Roman" w:eastAsia="宋体" w:cs="Times New Roman"/>
          <w:sz w:val="26"/>
        </w:rPr>
        <w:t>2.1从Phase1训练到Phase2部署</w:t>
      </w:r>
    </w:p>
    <w:p w14:paraId="15429BFD">
      <w:r>
        <w:rPr>
          <w:rFonts w:ascii="Times New Roman" w:hAnsi="Times New Roman" w:eastAsia="宋体" w:cs="Times New Roman"/>
          <w:sz w:val="22"/>
        </w:rPr>
        <w:t>两轮实验统一使用ADV3B02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ADV3B02是本项目Phase1地面域泛化基座的实验版本标识，不是通用算法缩写；checkpoint是训练后冻结的模型参数快照，deployment bundle是与checkpoint共同封存、可供Phase2只读使用的部署状态。backbone指把接收IQ映射为身份特征的主干网络，adapter是附加的小型可训练适配模块，prototype是某一发射机类别的特征中心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  <w:sz w:val="22"/>
        </w:rPr>
        <w:t>地面域泛化checkpoint，避免backbone差异干扰方法比较。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3232"/>
        <w:gridCol w:w="3290"/>
        <w:gridCol w:w="1784"/>
      </w:tblGrid>
      <w:tr w14:paraId="29FDF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878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环节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A953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可用数据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BD4C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允许更新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8CA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02D61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2AF8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Phase1地面训练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B75E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source数据及物理启发的LEO增强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F759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身份backbone与训练状态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7FD6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不可变deployment bundle</w:t>
            </w:r>
          </w:p>
        </w:tc>
      </w:tr>
      <w:tr w14:paraId="3FF08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D66D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Phase2适应/注册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A5FF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bundle、固定LEO target IQ、当前row的support标签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AB36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由方法声明的prototype、分类头、adapter或backbone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BED2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冻结后的目标域预测器</w:t>
            </w:r>
          </w:p>
        </w:tc>
      </w:tr>
      <w:tr w14:paraId="5123D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2EA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独立评分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16A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prediction artifact与query真值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6E4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不得回流到predictor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BC6B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同一row评价指标</w:t>
            </w:r>
          </w:p>
        </w:tc>
      </w:tr>
      <w:bookmarkEnd w:id="1"/>
    </w:tbl>
    <w:p w14:paraId="560F91F1">
      <w:pPr>
        <w:pStyle w:val="4"/>
        <w:keepNext/>
      </w:pPr>
      <w:r>
        <w:rPr>
          <w:rFonts w:ascii="Times New Roman" w:hAnsi="Times New Roman" w:eastAsia="宋体" w:cs="Times New Roman"/>
        </w:rPr>
        <w:t>2.2实验矩阵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3014"/>
        <w:gridCol w:w="2503"/>
        <w:gridCol w:w="1671"/>
        <w:gridCol w:w="1729"/>
      </w:tblGrid>
      <w:tr w14:paraId="24E6F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6238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工作包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3DA8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基座与数据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089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target设置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383F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实验规模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A96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31D5A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647A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C9A8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ADV3B02＋target-old support/query；MRIOR/DADDA另读source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7C56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5个target receiver；</w:t>
            </w:r>
            <m:oMath>
              <m:r>
                <m:rPr/>
                <m:t>K</m:t>
              </m:r>
              <m:r>
                <m:rPr>
                  <m:sty m:val="p"/>
                </m:rPr>
                <m:t>∈{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2</m:t>
              </m:r>
              <m:r>
                <m:rPr>
                  <m:sty m:val="p"/>
                </m:rPr>
                <m:t>,</m:t>
              </m:r>
              <m:r>
                <m:rPr/>
                <m:t>5</m:t>
              </m:r>
              <m:r>
                <m:rPr>
                  <m:sty m:val="p"/>
                </m:rPr>
                <m:t>,</m:t>
              </m:r>
              <m:r>
                <m:rPr/>
                <m:t>10</m:t>
              </m:r>
              <m:r>
                <m:rPr>
                  <m:sty m:val="p"/>
                </m:rPr>
                <m:t>,</m:t>
              </m:r>
              <m:r>
                <m:rPr/>
                <m:t>20</m:t>
              </m:r>
              <m:r>
                <m:rPr>
                  <m:sty m:val="p"/>
                </m:rPr>
                <m:t>}</m:t>
              </m:r>
            </m:oMath>
            <w:r>
              <w:rPr>
                <w:rFonts w:ascii="Times New Roman" w:hAnsi="Times New Roman" w:eastAsia="宋体" w:cs="Times New Roman"/>
                <w:sz w:val="18"/>
              </w:rPr>
              <w:t>；5个seed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0AA9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5×5×5×3=375个方法任务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BEBFD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pre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post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、正/负迁移、时延</w:t>
            </w:r>
          </w:p>
        </w:tc>
      </w:tr>
      <w:tr w14:paraId="5AADF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24D0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新类注册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F96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ADV3B02接口＋Phase2前base状态＋target-new support；old/new query只评分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82401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K∈{5,10,20}；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080F2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24个正式LEO逐配置结果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02DA8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pre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post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old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min,</m:t>
                  </m:r>
                  <m:r>
                    <m:rPr/>
                    <m:t>old</m:t>
                  </m:r>
                </m:sub>
              </m:sSub>
            </m:oMath>
          </w:p>
        </w:tc>
      </w:tr>
      <w:tr w14:paraId="65464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7097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信道归因诊断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DA87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保持方法、物理ID、split、K、seed和旧类条件一致，仅替换新类IQ为无LEO版本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A03BE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K∈{5,10,20}；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AC95D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18个matched无LEO逐配置结果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27D4F">
            <w:pPr>
              <w:spacing w:before="0" w:after="0" w:line="240" w:lineRule="auto"/>
              <w:jc w:val="left"/>
            </w:pP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ΔH</m:t>
              </m:r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min,</m:t>
                  </m:r>
                  <m:r>
                    <m:rPr/>
                    <m:t>old</m:t>
                  </m:r>
                </m:sub>
              </m:sSub>
            </m:oMath>
          </w:p>
        </w:tc>
      </w:tr>
    </w:tbl>
    <w:p w14:paraId="3340DDFA">
      <w:pPr>
        <w:pStyle w:val="4"/>
        <w:keepNext/>
      </w:pPr>
      <w:r>
        <w:rPr>
          <w:rFonts w:ascii="Times New Roman" w:hAnsi="Times New Roman" w:eastAsia="宋体" w:cs="Times New Roman"/>
        </w:rPr>
        <w:t>2.3评价指标</w:t>
      </w:r>
    </w:p>
    <w:p w14:paraId="69A70F37"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Q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Q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分别为旧类、新类query集合，</w:t>
      </w:r>
      <m:oMath>
        <m:sSub>
          <m:sSubPr/>
          <m:e>
            <m:r>
              <m:rPr/>
              <m:t>Q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为旧类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的query集合；</w:t>
      </w:r>
      <m:oMath>
        <m:sSub>
          <m:sSubPr/>
          <m:e>
            <m:r>
              <m:rPr/>
              <m:t>y</m:t>
            </m:r>
          </m:e>
          <m:sub>
            <m:r>
              <m:rPr/>
              <m:t>i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是真值，</w:t>
      </w:r>
      <m:oMath>
        <m:sSubSup>
          <m:sSubSup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i</m:t>
            </m:r>
          </m:sub>
          <m:sup>
            <m:d>
              <m:dPr>
                <m:sepChr m:val=""/>
              </m:dPr>
              <m:e>
                <m:r>
                  <m:rPr/>
                  <m:t>0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sz w:val="22"/>
        </w:rPr>
        <w:t>和</w:t>
      </w:r>
      <m:oMath>
        <m:sSubSup>
          <m:sSubSup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i</m:t>
            </m:r>
          </m:sub>
          <m:sup>
            <m:d>
              <m:dPr>
                <m:sepChr m:val=""/>
              </m:dPr>
              <m:e>
                <m:r>
                  <m:rPr/>
                  <m:t>1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sz w:val="22"/>
        </w:rPr>
        <w:t>分别表示适应/注册前后的预测，</w:t>
      </w:r>
      <m:oMath>
        <m:r>
          <m:rPr>
            <m:sty m:val="p"/>
            <m:scr m:val="double-struck"/>
          </m:rPr>
          <m:t>I</m:t>
        </m:r>
        <m:r>
          <m:rPr>
            <m:sty m:val="p"/>
          </m:rPr>
          <m:t>[⋅]</m:t>
        </m:r>
      </m:oMath>
      <w:r>
        <w:rPr>
          <w:rFonts w:ascii="Times New Roman" w:hAnsi="Times New Roman" w:eastAsia="宋体" w:cs="Times New Roman"/>
          <w:sz w:val="22"/>
        </w:rPr>
        <w:t>为指示函数。为同时保证数学表达和实验字段可追溯，本文采用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pre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、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post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A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H</m:t>
            </m:r>
          </m:e>
          <m:sub>
            <m:r>
              <m:rPr/>
              <m:t>old</m:t>
            </m:r>
            <m:r>
              <m:rPr>
                <m:sty m:val="p"/>
              </m:rPr>
              <m:t>,</m:t>
            </m:r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F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min,</m:t>
            </m:r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，分别对应结果字段old_acc_before、old_acc_after、seen_new_acc、H_old_new、forgetting和min_old。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Sup>
          <m:e>
            <m:r>
              <m:t>A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  <m:sup>
            <m:r>
              <m:t>p</m:t>
            </m:r>
            <m:r>
              <m:t>r</m:t>
            </m:r>
            <m:r>
              <m:t>e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Sup>
          <m:e>
            <m:r>
              <m:t>A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  <m:sup>
            <m:r>
              <m:t>p</m:t>
            </m:r>
            <m:r>
              <m:t>o</m:t>
            </m:r>
            <m:r>
              <m:t>s</m:t>
            </m:r>
            <m:r>
              <m:t>t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分别是适配/注册前、后的旧类准确率；</w:t>
      </w:r>
      <m:oMath xmlns:a="http://schemas.openxmlformats.org/drawingml/2006/main" xmlns:pic="http://schemas.openxmlformats.org/drawingml/2006/picture">
        <m:sSub>
          <m:e>
            <m:r>
              <m:t>G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是旧类适配收益；</w:t>
      </w:r>
      <m:oMath xmlns:a="http://schemas.openxmlformats.org/drawingml/2006/main" xmlns:pic="http://schemas.openxmlformats.org/drawingml/2006/picture">
        <m:sSub>
          <m:e>
            <m:r>
              <m:t>A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是已注册新类准确率；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o</m:t>
            </m:r>
            <m:r>
              <m:t>l</m:t>
            </m:r>
            <m:r>
              <m:t>d</m:t>
            </m:r>
            <m:r>
              <m:rPr>
                <m:sty m:val="p"/>
              </m:rPr>
              <m:t>,</m:t>
            </m:r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是旧类与新类准确率的调和均值；</w:t>
      </w:r>
      <m:oMath xmlns:a="http://schemas.openxmlformats.org/drawingml/2006/main" xmlns:pic="http://schemas.openxmlformats.org/drawingml/2006/picture">
        <m:sSub>
          <m:e>
            <m:r>
              <m:t>F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是旧类遗忘量；</w:t>
      </w:r>
      <m:oMath xmlns:a="http://schemas.openxmlformats.org/drawingml/2006/main" xmlns:pic="http://schemas.openxmlformats.org/drawingml/2006/picture">
        <m:sSub>
          <m:e>
            <m:r>
              <m:t>A</m:t>
            </m:r>
          </m:e>
          <m:sub>
            <m:r>
              <m:t>m</m:t>
            </m:r>
            <m:r>
              <m:t>i</m:t>
            </m:r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是所有旧发射机中最低的单类准确率。</w:t>
      </w:r>
      <m:oMath xmlns:a="http://schemas.openxmlformats.org/drawingml/2006/main" xmlns:pic="http://schemas.openxmlformats.org/drawingml/2006/picture">
        <m:r>
          <m:t>Δ</m:t>
        </m:r>
      </m:oMath>
      <w:r>
        <w:rPr>
          <w:rFonts w:ascii="Times New Roman" w:hAnsi="Times New Roman" w:eastAsia="宋体" w:cs="Times New Roman"/>
          <w:b w:val="0"/>
        </w:rPr>
        <w:t>表示相对正式LEO结果的变化量；pp是percentage points，即百分点；s是second，即秒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分别是旧类query集、新类query集和旧类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的query子集；</w:t>
      </w:r>
      <m:oMath xmlns:a="http://schemas.openxmlformats.org/drawingml/2006/main" xmlns:pic="http://schemas.openxmlformats.org/drawingml/2006/picture">
        <m:r>
          <m:t>i</m:t>
        </m:r>
      </m:oMath>
      <w:r>
        <w:rPr>
          <w:rFonts w:ascii="Times New Roman" w:hAnsi="Times New Roman" w:eastAsia="宋体" w:cs="Times New Roman"/>
          <w:b w:val="0"/>
        </w:rPr>
        <w:t>是query样本索引。</w:t>
      </w:r>
      <m:oMath xmlns:a="http://schemas.openxmlformats.org/drawingml/2006/main" xmlns:pic="http://schemas.openxmlformats.org/drawingml/2006/picture"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是真值，</w:t>
      </w:r>
      <m:oMath xmlns:a="http://schemas.openxmlformats.org/drawingml/2006/main" xmlns:pic="http://schemas.openxmlformats.org/drawingml/2006/picture">
        <m:sSub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b w:val="0"/>
        </w:rPr>
        <w:t>与</w:t>
      </w:r>
      <m:oMath xmlns:a="http://schemas.openxmlformats.org/drawingml/2006/main" xmlns:pic="http://schemas.openxmlformats.org/drawingml/2006/picture">
        <m:sSub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b w:val="0"/>
        </w:rPr>
        <w:t>分别是状态更新前后的预测。</w:t>
      </w:r>
      <m:oMath xmlns:a="http://schemas.openxmlformats.org/drawingml/2006/main" xmlns:pic="http://schemas.openxmlformats.org/drawingml/2006/picture">
        <m:r>
          <m:rPr>
            <m:sty m:val="p"/>
            <m:scr m:val="double-struck"/>
          </m:rPr>
          <m:t>I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是指示函数：条件成立取1，否则取0；求和后除以query数即得到准确率。</w:t>
      </w:r>
      <m:oMath xmlns:a="http://schemas.openxmlformats.org/drawingml/2006/main" xmlns:pic="http://schemas.openxmlformats.org/drawingml/2006/picture">
        <m:r>
          <m:rPr>
            <m:sty m:val="p"/>
          </m:rPr>
          <m:t>min</m:t>
        </m:r>
      </m:oMath>
      <w:r>
        <w:rPr>
          <w:rFonts w:ascii="Times New Roman" w:hAnsi="Times New Roman" w:eastAsia="宋体" w:cs="Times New Roman"/>
          <w:b w:val="0"/>
        </w:rPr>
        <w:t>表示在旧类集合</w:t>
      </w:r>
      <m:oMath xmlns:a="http://schemas.openxmlformats.org/drawingml/2006/main" xmlns:pic="http://schemas.openxmlformats.org/drawingml/2006/picture">
        <m:sSub>
          <m:e>
            <m:r>
              <m:t>Y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中取最低单类准确率</w:t>
      </w:r>
      <w:r>
        <w:rPr>
          <w:rFonts w:ascii="Times New Roman" w:hAnsi="Times New Roman" w:cs="Times New Roman" w:eastAsia="宋体"/>
        </w:rPr>
        <w:t>）</w:t>
      </w:r>
    </w:p>
    <w:p w14:paraId="0C7737E3">
      <w:pPr>
        <w:pStyle w:val="5"/>
        <w:keepNext/>
      </w:pPr>
      <w:r>
        <w:rPr>
          <w:rFonts w:ascii="Times New Roman" w:hAnsi="Times New Roman" w:eastAsia="宋体" w:cs="Times New Roman"/>
        </w:rPr>
        <w:t>2.3.1旧类适应</w:t>
      </w:r>
    </w:p>
    <w:p w14:paraId="11805FA0">
      <w:r>
        <w:rPr>
          <w:rFonts w:ascii="Times New Roman" w:hAnsi="Times New Roman" w:eastAsia="宋体" w:cs="Times New Roman"/>
          <w:b/>
          <w:bCs/>
          <w:sz w:val="22"/>
        </w:rPr>
        <w:t>适应前旧类准确率：</w:t>
      </w:r>
    </w:p>
    <w:p w14:paraId="1D0ED348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pre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old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old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0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04CB3C88">
      <w:r>
        <w:rPr>
          <w:rFonts w:ascii="Times New Roman" w:hAnsi="Times New Roman" w:eastAsia="宋体" w:cs="Times New Roman"/>
          <w:b/>
          <w:bCs/>
          <w:sz w:val="22"/>
        </w:rPr>
        <w:t>适应后旧类准确率：</w:t>
      </w:r>
    </w:p>
    <w:p w14:paraId="594E8899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post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old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old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10FF1DD">
      <w:r>
        <w:rPr>
          <w:rFonts w:ascii="Times New Roman" w:hAnsi="Times New Roman" w:eastAsia="宋体" w:cs="Times New Roman"/>
          <w:b/>
          <w:bCs/>
          <w:sz w:val="22"/>
        </w:rPr>
        <w:t>适应收益：</w:t>
      </w:r>
    </w:p>
    <w:p w14:paraId="1C85C32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post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pre</m:t>
              </m:r>
            </m:sup>
          </m:sSubSup>
        </m:oMath>
      </m:oMathPara>
    </w:p>
    <w:p w14:paraId="18F3AE68">
      <m:oMath>
        <m:sSub>
          <m:sSubPr/>
          <m:e>
            <m:r>
              <m:rPr/>
              <m:t>G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为正表示正迁移，为负表示适应损伤了原有能力。</w:t>
      </w:r>
    </w:p>
    <w:p w14:paraId="2B192C9A">
      <w:pPr>
        <w:pStyle w:val="5"/>
        <w:keepNext/>
      </w:pPr>
      <w:r>
        <w:rPr>
          <w:rFonts w:ascii="Times New Roman" w:hAnsi="Times New Roman" w:eastAsia="宋体" w:cs="Times New Roman"/>
        </w:rPr>
        <w:t>2.3.2新类注册</w:t>
      </w:r>
    </w:p>
    <w:p w14:paraId="5DAC5347">
      <w:r>
        <w:rPr>
          <w:rFonts w:ascii="Times New Roman" w:hAnsi="Times New Roman" w:eastAsia="宋体" w:cs="Times New Roman"/>
          <w:b/>
          <w:bCs/>
          <w:sz w:val="22"/>
        </w:rPr>
        <w:t>已注册新类准确率：</w:t>
      </w:r>
    </w:p>
    <w:p w14:paraId="1C3D1CE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new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344D592">
      <w:r>
        <w:rPr>
          <w:rFonts w:ascii="Times New Roman" w:hAnsi="Times New Roman" w:eastAsia="宋体" w:cs="Times New Roman"/>
          <w:sz w:val="22"/>
        </w:rPr>
        <w:t>该指标为0意味着新类support没有形成可用的分类身份，或者增量训练根本没有产生有效更新。</w:t>
      </w:r>
    </w:p>
    <w:p w14:paraId="6D693737">
      <w:pPr>
        <w:pStyle w:val="5"/>
        <w:keepNext/>
      </w:pPr>
      <w:r>
        <w:rPr>
          <w:rFonts w:ascii="Times New Roman" w:hAnsi="Times New Roman" w:eastAsia="宋体" w:cs="Times New Roman"/>
        </w:rPr>
        <w:t>2.3.3旧新联合评价</w:t>
      </w:r>
    </w:p>
    <w:p w14:paraId="48E132C2">
      <w:r>
        <w:rPr>
          <w:rFonts w:ascii="Times New Roman" w:hAnsi="Times New Roman" w:eastAsia="宋体" w:cs="Times New Roman"/>
          <w:b/>
          <w:bCs/>
          <w:sz w:val="22"/>
        </w:rPr>
        <w:t>旧新调和均值：</w:t>
      </w:r>
    </w:p>
    <w:p w14:paraId="3319559B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old,new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post</m:t>
                  </m:r>
                </m:sup>
              </m:sSubSup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num>
            <m:den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post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den>
          </m:f>
        </m:oMath>
      </m:oMathPara>
    </w:p>
    <w:p w14:paraId="43DF5DF6">
      <w:r>
        <w:rPr>
          <w:rFonts w:ascii="Times New Roman" w:hAnsi="Times New Roman" w:eastAsia="宋体" w:cs="Times New Roman"/>
          <w:sz w:val="22"/>
        </w:rPr>
        <w:t>调和均值会惩罚“只保旧类、不学新类”和“只学新类、忘掉旧类”。任意一侧接近0，</w:t>
      </w:r>
      <m:oMath>
        <m:sSub>
          <m:sSubPr/>
          <m:e>
            <m:r>
              <m:rPr/>
              <m:t>H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old,new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都会接近0。</w:t>
      </w:r>
    </w:p>
    <w:p w14:paraId="4FECECB5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遗忘：</w:t>
      </w:r>
    </w:p>
    <w:p w14:paraId="6E8A2F1F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pre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post</m:t>
              </m:r>
            </m:sup>
          </m:sSubSup>
        </m:oMath>
      </m:oMathPara>
    </w:p>
    <w:p w14:paraId="5EA943B9">
      <w:r>
        <w:rPr>
          <w:rFonts w:ascii="Times New Roman" w:hAnsi="Times New Roman" w:eastAsia="宋体" w:cs="Times New Roman"/>
          <w:sz w:val="22"/>
        </w:rPr>
        <w:t>遗忘越大，说明增量学习对旧知识破坏越严重。</w:t>
      </w:r>
    </w:p>
    <w:p w14:paraId="4B53DCA6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最低旧类准确率：</w:t>
      </w:r>
    </w:p>
    <w:p w14:paraId="4A0063AD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D5CC5CB"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min,</m:t>
              </m:r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old</m:t>
                  </m:r>
                </m:sub>
              </m:sSub>
            </m:lim>
          </m:limLow>
          <m:sSub>
            <m:sSubPr/>
            <m:e>
              <m:r>
                <m:rPr/>
                <m:t>A</m:t>
              </m:r>
            </m:e>
            <m:sub>
              <m:r>
                <m:rPr/>
                <m:t>c</m:t>
              </m:r>
            </m:sub>
          </m:sSub>
        </m:oMath>
      </m:oMathPara>
    </w:p>
    <w:p w14:paraId="17BD0803"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min,</m:t>
            </m:r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直接检查最差旧发射机是否接近失效，避免平均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post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掩盖局部崩塌。</w:t>
      </w:r>
    </w:p>
    <w:p w14:paraId="22804EA8">
      <w:pPr>
        <w:pStyle w:val="4"/>
        <w:keepNext/>
      </w:pPr>
      <w:r>
        <w:rPr>
          <w:rFonts w:ascii="Times New Roman" w:hAnsi="Times New Roman" w:eastAsia="宋体" w:cs="Times New Roman"/>
        </w:rPr>
        <w:t>2.4统一输入、状态更新与输出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3068"/>
        <w:gridCol w:w="2928"/>
        <w:gridCol w:w="2482"/>
      </w:tblGrid>
      <w:tr w14:paraId="16925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C2D7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阶段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9DC1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输入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8E02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允许更新的状态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92E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234A9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27B0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直接基线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1A40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 bundle＋target query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80BC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无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C464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旧类预测</w:t>
            </w:r>
          </w:p>
        </w:tc>
      </w:tr>
      <w:tr w14:paraId="214D4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7267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Stage2-B适应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7F9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 bundle＋target-old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F54B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prototype、adapter或backbone，取决于方法权限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FCD7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冻结后的旧类预测器</w:t>
            </w:r>
          </w:p>
        </w:tc>
      </w:tr>
      <w:tr w14:paraId="30667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8270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Stage2-C注册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6DA9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冻结/Stage2-B适应后状态＋target-new K-shot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6E05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旧类统计、新类prototype、分类头或受控参数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24EE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面向旧类∪已注册新类的统一预测器</w:t>
            </w:r>
          </w:p>
        </w:tc>
      </w:tr>
      <w:tr w14:paraId="17B63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494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独立评分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3372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不可变prediction artifact＋query真值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334C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不得回流到predictor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47D81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post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old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等指标</w:t>
            </w:r>
          </w:p>
        </w:tc>
      </w:tr>
      <w:bookmarkEnd w:id="0"/>
    </w:tbl>
    <w:p w14:paraId="1268748D">
      <w:pPr>
        <w:pStyle w:val="3"/>
        <w:keepNext/>
        <w:pageBreakBefore w:val="0"/>
      </w:pPr>
      <w:bookmarkStart w:id="2" w:name="Xacb617a5819318ce172e1d7a810126ba83372bc"/>
      <w:r>
        <w:rPr>
          <w:rFonts w:ascii="Times New Roman" w:hAnsi="Times New Roman" w:eastAsia="宋体" w:cs="Times New Roman"/>
          <w:sz w:val="32"/>
        </w:rPr>
        <w:t>3.Stage2-B：跨接收机旧类域适应仿真实验</w:t>
      </w:r>
    </w:p>
    <w:p w14:paraId="5C4ACA78">
      <w:pPr>
        <w:pStyle w:val="4"/>
        <w:keepNext/>
      </w:pPr>
      <w:bookmarkStart w:id="3" w:name="X60a1c4ac91aed9a1a4fc1cbc6b86ab576c3e5cf"/>
      <w:r>
        <w:rPr>
          <w:rFonts w:ascii="Times New Roman" w:hAnsi="Times New Roman" w:eastAsia="宋体" w:cs="Times New Roman"/>
          <w:sz w:val="26"/>
        </w:rPr>
        <w:t>3.1仿真问题与统一实验设置</w:t>
      </w:r>
    </w:p>
    <w:p w14:paraId="5DB5260D">
      <w:r>
        <w:rPr>
          <w:rFonts w:ascii="Times New Roman" w:hAnsi="Times New Roman" w:eastAsia="宋体" w:cs="Times New Roman"/>
          <w:sz w:val="22"/>
        </w:rPr>
        <w:t>Stage2-B要回答的问题是：Phase1已经识别过的发射机换到未见target receiver后，少量target-old support能否恢复旧类识别能力？</w:t>
      </w:r>
    </w:p>
    <w:p w14:paraId="4B0E4BE6">
      <w:pPr>
        <w:pStyle w:val="19"/>
      </w:pPr>
      <w:r>
        <w:rPr>
          <w:rFonts w:ascii="Times New Roman" w:hAnsi="Times New Roman" w:eastAsia="宋体" w:cs="Times New Roman"/>
          <w:sz w:val="22"/>
        </w:rPr>
        <w:t>统一实验设置如下：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3713"/>
      </w:tblGrid>
      <w:tr w14:paraId="1EEDF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8A8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维度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F4A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设置</w:t>
            </w:r>
          </w:p>
        </w:tc>
      </w:tr>
      <w:tr w14:paraId="3EBB9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5BAA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基座模型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D3F0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同一ADV3B02地面域泛化checkpoint</w:t>
            </w:r>
          </w:p>
        </w:tc>
      </w:tr>
      <w:tr w14:paraId="3BD28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13A1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 receiver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359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20-1、3-19、7-14、7-7、8-8</w:t>
            </w:r>
          </w:p>
        </w:tc>
      </w:tr>
      <w:tr w14:paraId="638A2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3E12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K-shot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E89F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1、2、5、10、20</w:t>
            </w:r>
          </w:p>
        </w:tc>
      </w:tr>
      <w:tr w14:paraId="075B9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62A7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随机性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D7E4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5个独立seed</w:t>
            </w:r>
          </w:p>
        </w:tc>
      </w:tr>
      <w:tr w14:paraId="3FD7A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12EB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target观测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D459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support和query均为固定LEO弱信道接收IQ</w:t>
            </w:r>
          </w:p>
        </w:tc>
      </w:tr>
      <w:tr w14:paraId="5F123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54E7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query权限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0B4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只测试，不训练、不调参、不回滚</w:t>
            </w:r>
          </w:p>
        </w:tc>
      </w:tr>
      <w:tr w14:paraId="4F315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579C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方法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B3A3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ProtoNet CDA、MRIOR-SDA、DADDA-SDA</w:t>
            </w:r>
          </w:p>
        </w:tc>
      </w:tr>
      <w:bookmarkEnd w:id="3"/>
    </w:tbl>
    <w:p w14:paraId="46104BF3">
      <w:pPr>
        <w:pStyle w:val="4"/>
        <w:keepNext/>
      </w:pPr>
      <w:r>
        <w:rPr>
          <w:rFonts w:ascii="Times New Roman" w:hAnsi="Times New Roman" w:eastAsia="宋体" w:cs="Times New Roman"/>
        </w:rPr>
        <w:t>3.2ProtoNet CDA：原型式K-shot目标域校准基线</w:t>
      </w:r>
    </w:p>
    <w:p w14:paraId="6E9F7A6E">
      <w:r>
        <w:rPr>
          <w:rFonts w:ascii="Times New Roman" w:hAnsi="Times New Roman" w:eastAsia="宋体" w:cs="Times New Roman"/>
          <w:sz w:val="22"/>
        </w:rPr>
        <w:t>Snell等人提出的Prototypical Networks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ProtoNet，即原型网络；CDA在本文中指Cross-Domain Adaptation，即跨域适配。该基线不更新backbone，只用目标接收机旧类support重新估计类别中心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  <w:sz w:val="22"/>
        </w:rPr>
        <w:t>原本面向训练阶段未见的新类别少样本分类[1]。本轮实验的support与query均属于Phase1已见旧类，类别不增加，只是receiver域发生变化。其特点是固定特征空间，只用target-old support闭式计算类别中心；不访问source、不反向传播。</w:t>
      </w:r>
    </w:p>
    <w:p w14:paraId="3ACD12D0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加载ADV3B02的160维身份特征</w:t>
      </w:r>
      <m:oMath>
        <m:r>
          <m:rPr/>
          <m:t>z</m:t>
        </m:r>
        <m:r>
          <m:rPr>
            <m:sty m:val="p"/>
          </m:rPr>
          <m:t>=</m:t>
        </m:r>
        <m:sSub>
          <m:sSubPr/>
          <m:e>
            <m:r>
              <m:rPr/>
              <m:t>f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，每个场景只读取6个旧类的K-shot target-old support。对类别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的support集合</w:t>
      </w:r>
      <m:oMath>
        <m:sSub>
          <m:sSubPr/>
          <m:e>
            <m:r>
              <m:rPr/>
              <m:t>S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，prototype是类内平方距离最小化问题的闭式解：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t>x</m:t>
        </m:r>
      </m:oMath>
      <w:r>
        <w:rPr>
          <w:rFonts w:ascii="Times New Roman" w:hAnsi="Times New Roman" w:eastAsia="宋体" w:cs="Times New Roman"/>
          <w:b w:val="0"/>
        </w:rPr>
        <w:t>是固定LEO接收IQ，</w:t>
      </w:r>
      <m:oMath xmlns:a="http://schemas.openxmlformats.org/drawingml/2006/main" xmlns:pic="http://schemas.openxmlformats.org/drawingml/2006/picture">
        <m:sSub>
          <m:e>
            <m:r>
              <m:t>f</m:t>
            </m:r>
          </m:e>
          <m:sub>
            <m:r>
              <m:t>θ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是参数为</w:t>
      </w:r>
      <m:oMath xmlns:a="http://schemas.openxmlformats.org/drawingml/2006/main" xmlns:pic="http://schemas.openxmlformats.org/drawingml/2006/picture">
        <m:r>
          <m:t>θ</m:t>
        </m:r>
      </m:oMath>
      <w:r>
        <w:rPr>
          <w:rFonts w:ascii="Times New Roman" w:hAnsi="Times New Roman" w:eastAsia="宋体" w:cs="Times New Roman"/>
          <w:b w:val="0"/>
        </w:rPr>
        <w:t>的冻结身份编码器，</w:t>
      </w:r>
      <m:oMath xmlns:a="http://schemas.openxmlformats.org/drawingml/2006/main" xmlns:pic="http://schemas.openxmlformats.org/drawingml/2006/picture"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b w:val="0"/>
        </w:rPr>
        <w:t>是第</w:t>
      </w:r>
      <m:oMath xmlns:a="http://schemas.openxmlformats.org/drawingml/2006/main" xmlns:pic="http://schemas.openxmlformats.org/drawingml/2006/picture">
        <m:r>
          <m:t>i</m:t>
        </m:r>
      </m:oMath>
      <w:r>
        <w:rPr>
          <w:rFonts w:ascii="Times New Roman" w:hAnsi="Times New Roman" w:eastAsia="宋体" w:cs="Times New Roman"/>
          <w:b w:val="0"/>
        </w:rPr>
        <w:t>个support的160维身份特征。</w:t>
      </w:r>
      <m:oMath xmlns:a="http://schemas.openxmlformats.org/drawingml/2006/main" xmlns:pic="http://schemas.openxmlformats.org/drawingml/2006/picture">
        <m:sSub>
          <m:e>
            <m:r>
              <m:t>S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的support集合，</w:t>
      </w:r>
      <m:oMath xmlns:a="http://schemas.openxmlformats.org/drawingml/2006/main" xmlns:pic="http://schemas.openxmlformats.org/drawingml/2006/picture">
        <m:r>
          <m:t>p</m:t>
        </m:r>
      </m:oMath>
      <w:r>
        <w:rPr>
          <w:rFonts w:ascii="Times New Roman" w:hAnsi="Times New Roman" w:eastAsia="宋体" w:cs="Times New Roman"/>
          <w:b w:val="0"/>
        </w:rPr>
        <w:t>是待求中心，</w:t>
      </w:r>
      <m:oMath xmlns:a="http://schemas.openxmlformats.org/drawingml/2006/main" xmlns:pic="http://schemas.openxmlformats.org/drawingml/2006/picture">
        <m:sSubSup>
          <m:e>
            <m:r>
              <m:t>p</m:t>
            </m:r>
          </m:e>
          <m:sub>
            <m:r>
              <m:t>c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是使类内平方欧氏距离最小的类别原型；</w:t>
      </w:r>
      <m:oMath xmlns:a="http://schemas.openxmlformats.org/drawingml/2006/main" xmlns:pic="http://schemas.openxmlformats.org/drawingml/2006/picture">
        <m:r>
          <m:rPr>
            <m:sty m:val="p"/>
          </m:rPr>
          <m:t>∥</m:t>
        </m:r>
        <m:r>
          <m:rPr>
            <m:sty m:val="p"/>
          </m:rPr>
          <m:t>⋅</m:t>
        </m:r>
        <m:sSubSup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表示平方L2范数。</w:t>
      </w:r>
      <m:oMath xmlns:a="http://schemas.openxmlformats.org/drawingml/2006/main" xmlns:pic="http://schemas.openxmlformats.org/drawingml/2006/picture"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rPr>
          <w:rFonts w:ascii="Times New Roman" w:hAnsi="Times New Roman" w:eastAsia="宋体" w:cs="Times New Roman"/>
          <w:b w:val="0"/>
        </w:rPr>
        <w:t>表示选择距离最小的中心或类别</w:t>
      </w:r>
      <w:r>
        <w:rPr>
          <w:rFonts w:ascii="Times New Roman" w:hAnsi="Times New Roman" w:cs="Times New Roman" w:eastAsia="宋体"/>
        </w:rPr>
        <w:t>）</w:t>
      </w:r>
    </w:p>
    <w:p w14:paraId="225BD3FE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p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p</m:t>
              </m:r>
            </m:lim>
          </m:limLow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sSubPr/>
            <m:e>
              <m:r>
                <m:rPr/>
                <m:t>z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r>
            <m:rPr/>
            <m:t>p</m:t>
          </m:r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</m:oMath>
      </m:oMathPara>
    </w:p>
    <w:p w14:paraId="4D19077D">
      <w:r>
        <w:rPr>
          <w:rFonts w:ascii="Times New Roman" w:hAnsi="Times New Roman" w:eastAsia="宋体" w:cs="Times New Roman"/>
          <w:sz w:val="22"/>
        </w:rPr>
        <w:t>模型锁定后，query按欧氏距离最近的prototype分类：</w:t>
      </w:r>
    </w:p>
    <w:p w14:paraId="409C531B">
      <w:pPr>
        <w:pStyle w:val="19"/>
      </w:pPr>
      <m:oMathPara>
        <m:oMathParaPr>
          <m:jc m:val="center"/>
        </m:oMathParaPr>
        <m:oMath>
          <m:acc>
            <m:accPr/>
            <m:e>
              <m:r>
                <m:rPr/>
                <m:t>y</m:t>
              </m:r>
            </m:e>
          </m:acc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old</m:t>
                  </m:r>
                </m:sub>
              </m:sSub>
            </m:lim>
          </m:limLow>
          <m:r>
            <m:rPr>
              <m:sty m:val="p"/>
            </m:rPr>
            <m:t>∥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−</m:t>
          </m:r>
          <m:sSubSup>
            <m:sSubSupPr/>
            <m:e>
              <m:r>
                <m:rPr/>
                <m:t>p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3A6B2F2E">
      <w:pPr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sz w:val="22"/>
        </w:rPr>
        <w:t>核心局限：</w:t>
      </w:r>
      <w:r>
        <w:rPr>
          <w:rFonts w:ascii="Times New Roman" w:hAnsi="Times New Roman" w:eastAsia="宋体" w:cs="Times New Roman"/>
          <w:sz w:val="22"/>
        </w:rPr>
        <w:t xml:space="preserve"> 它只能移动类别参考点，不能修正接收机造成的特征旋转、拉伸或类内多峰，因此</w:t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>效果较差。</w:t>
      </w:r>
    </w:p>
    <w:p w14:paraId="161AE093">
      <w:pPr>
        <w:pStyle w:val="4"/>
        <w:keepNext/>
      </w:pPr>
      <w:bookmarkStart w:id="4" w:name="X079109effcc8a347f48bb306a110cf73124dc5d"/>
      <w:r>
        <w:rPr>
          <w:rFonts w:ascii="Times New Roman" w:hAnsi="Times New Roman" w:eastAsia="宋体" w:cs="Times New Roman"/>
          <w:sz w:val="26"/>
        </w:rPr>
        <w:t>3.3MRIOR-SDA：域对齐与target监督</w:t>
      </w:r>
    </w:p>
    <w:p w14:paraId="0B112AF1">
      <w:r>
        <w:rPr>
          <w:rFonts w:ascii="Times New Roman" w:hAnsi="Times New Roman" w:eastAsia="宋体" w:cs="Times New Roman"/>
          <w:sz w:val="22"/>
        </w:rPr>
        <w:t>Yang等人的MRIOR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Mitigating Receiver Impact on Radio Frequency Fingerprint Identification via Domain Adaptation；SDA是Supervised Domain Adaptation，即监督域适应。CE是Cross-Entropy，即交叉熵；DV-KL是Donsker-Varadhan形式的Kullback-Leibler域差异估计，其中KL表示相对熵；Adam是Adaptive Moment Estimation优化器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  <w:sz w:val="22"/>
        </w:rPr>
        <w:t>原本属于单源无监督域适应[2]。CVS版本用真实target-old support标签替代伪标签，形成监督式域适应。其特点是用可学习的DV-KL估计网络对齐source与target，同时更新完整ADV3B02身份backbone。</w:t>
      </w:r>
    </w:p>
    <w:p w14:paraId="168C5EDA">
      <w:pPr>
        <w:pStyle w:val="19"/>
      </w:pPr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B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B</m:t>
            </m:r>
          </m:e>
          <m:sub>
            <m:r>
              <m:rPr/>
              <m:t>t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为source和target-support batch，</w:t>
      </w:r>
      <m:oMath>
        <m:sSub>
          <m:sSubPr/>
          <m:e>
            <m:r>
              <m:rPr/>
              <m:t>p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c</m:t>
            </m:r>
            <m:r>
              <m:rPr>
                <m:sty m:val="p"/>
              </m:rPr>
              <m:t>|</m:t>
            </m:r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为旧类预测概率，</w:t>
      </w:r>
      <m:oMath>
        <m:sSub>
          <m:sSubPr/>
          <m:e>
            <m:r>
              <m:rPr/>
              <m:t>w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为根据target-support类别频数得到并归一化到均值1的类别权重：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分别是源域batch与目标域support batch，</w:t>
      </w:r>
      <m:oMath xmlns:a="http://schemas.openxmlformats.org/drawingml/2006/main" xmlns:pic="http://schemas.openxmlformats.org/drawingml/2006/picture">
        <m:d>
          <m:dPr>
            <m:begChr m:val="|"/>
            <m:endChr m:val="|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D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b w:val="0"/>
        </w:rPr>
        <w:t>是域</w:t>
      </w:r>
      <m:oMath xmlns:a="http://schemas.openxmlformats.org/drawingml/2006/main" xmlns:pic="http://schemas.openxmlformats.org/drawingml/2006/picture">
        <m:r>
          <m:t>D</m:t>
        </m:r>
      </m:oMath>
      <w:r>
        <w:rPr>
          <w:rFonts w:ascii="Times New Roman" w:hAnsi="Times New Roman" w:eastAsia="宋体" w:cs="Times New Roman"/>
          <w:b w:val="0"/>
        </w:rPr>
        <w:t>的batch样本数；</w:t>
      </w:r>
      <m:oMath xmlns:a="http://schemas.openxmlformats.org/drawingml/2006/main" xmlns:pic="http://schemas.openxmlformats.org/drawingml/2006/picture"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}</m:t>
        </m:r>
      </m:oMath>
      <w:r>
        <w:rPr>
          <w:rFonts w:ascii="Times New Roman" w:hAnsi="Times New Roman" w:eastAsia="宋体" w:cs="Times New Roman"/>
          <w:b w:val="0"/>
        </w:rPr>
        <w:t>表示公式同时用于source与target。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是模型把观测</w:t>
      </w:r>
      <m:oMath xmlns:a="http://schemas.openxmlformats.org/drawingml/2006/main" xmlns:pic="http://schemas.openxmlformats.org/drawingml/2006/picture">
        <m:r>
          <m:t>x</m:t>
        </m:r>
      </m:oMath>
      <w:r>
        <w:rPr>
          <w:rFonts w:ascii="Times New Roman" w:hAnsi="Times New Roman" w:eastAsia="宋体" w:cs="Times New Roman"/>
          <w:b w:val="0"/>
        </w:rPr>
        <w:t>判为旧类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的概率；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是目标support中类别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的样本数，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是旧类总数，</w:t>
      </w:r>
      <m:oMath xmlns:a="http://schemas.openxmlformats.org/drawingml/2006/main" xmlns:pic="http://schemas.openxmlformats.org/drawingml/2006/picture">
        <m:sSub>
          <m:e>
            <m:r>
              <m:t>w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是逆频率类别权重，</w:t>
      </w:r>
      <m:oMath xmlns:a="http://schemas.openxmlformats.org/drawingml/2006/main" xmlns:pic="http://schemas.openxmlformats.org/drawingml/2006/picture">
        <m:r>
          <m:t>ϵ</m:t>
        </m:r>
      </m:oMath>
      <w:r>
        <w:rPr>
          <w:rFonts w:ascii="Times New Roman" w:hAnsi="Times New Roman" w:eastAsia="宋体" w:cs="Times New Roman"/>
          <w:b w:val="0"/>
        </w:rPr>
        <w:t>防止样本数为0时除零；</w:t>
      </w:r>
      <m:oMath xmlns:a="http://schemas.openxmlformats.org/drawingml/2006/main" xmlns:pic="http://schemas.openxmlformats.org/drawingml/2006/picture">
        <m:r>
          <m:rPr>
            <m:sty m:val="p"/>
          </m:rPr>
          <m:t>log</m:t>
        </m:r>
      </m:oMath>
      <w:r>
        <w:rPr>
          <w:rFonts w:ascii="Times New Roman" w:hAnsi="Times New Roman" w:eastAsia="宋体" w:cs="Times New Roman"/>
          <w:b w:val="0"/>
        </w:rPr>
        <w:t>是自然对数</w:t>
      </w:r>
      <w:r>
        <w:rPr>
          <w:rFonts w:ascii="Times New Roman" w:hAnsi="Times New Roman" w:cs="Times New Roman" w:eastAsia="宋体"/>
        </w:rPr>
        <w:t>）</w:t>
      </w:r>
    </w:p>
    <w:p w14:paraId="014D8A56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w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ϵ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num>
            <m:den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C</m:t>
                  </m:r>
                </m:den>
              </m:f>
              <m:nary>
                <m:naryPr>
                  <m:chr m:val="∑"/>
                  <m:limLoc m:val="undOvr"/>
                </m:naryPr>
                <m:sub>
                  <m:r>
                    <m:rPr/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C</m:t>
                  </m:r>
                </m:sup>
                <m:e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r>
                                <m:rPr/>
                                <m:t>n</m:t>
                              </m:r>
                            </m:e>
                            <m:sub>
                              <m:r>
                                <m:rPr/>
                                <m:t>r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/>
                            <m:t>ϵ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sup>
                  </m:sSup>
                </m:e>
              </m:nary>
            </m:den>
          </m:f>
        </m:oMath>
      </m:oMathPara>
    </w:p>
    <w:p w14:paraId="5F36193D">
      <w:r>
        <w:rPr>
          <w:rFonts w:ascii="Times New Roman" w:hAnsi="Times New Roman" w:eastAsia="宋体" w:cs="Times New Roman"/>
          <w:sz w:val="22"/>
        </w:rPr>
        <w:t>source和target的加权交叉熵为：</w:t>
      </w:r>
    </w:p>
    <w:p w14:paraId="32FB5309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wCE</m:t>
              </m:r>
            </m:sub>
            <m:sup>
              <m:r>
                <m:rPr/>
                <m:t>D</m:t>
              </m:r>
            </m:sup>
          </m:sSubSup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D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w</m:t>
                  </m:r>
                </m:e>
                <m:sub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m:t>log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  D</m:t>
          </m:r>
          <m:r>
            <m:rPr>
              <m:sty m:val="p"/>
            </m:rPr>
            <m:t>∈{</m:t>
          </m:r>
          <m:r>
            <m:rPr/>
            <m:t>s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}</m:t>
          </m:r>
        </m:oMath>
      </m:oMathPara>
    </w:p>
    <w:p w14:paraId="26EDADE8">
      <w:r>
        <w:rPr>
          <w:rFonts w:ascii="Times New Roman" w:hAnsi="Times New Roman" w:eastAsia="宋体" w:cs="Times New Roman"/>
          <w:sz w:val="22"/>
        </w:rPr>
        <w:t>令</w:t>
      </w:r>
      <m:oMath>
        <m:sSub>
          <m:sSubPr/>
          <m:e>
            <m:r>
              <m:rPr/>
              <m:t>T</m:t>
            </m:r>
          </m:e>
          <m:sub>
            <m:r>
              <m:rPr/>
              <m:t>ϕ</m:t>
            </m:r>
          </m:sub>
        </m:sSub>
        <m:d>
          <m:dPr>
            <m:sepChr m:val=""/>
          </m:dPr>
          <m:e>
            <m:r>
              <m:rPr/>
              <m:t>z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为DV估计网络，域差异项为：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Sup>
          <m:e>
            <m:r>
              <m:t>z</m:t>
            </m:r>
          </m:e>
          <m:sub>
            <m:r>
              <m:t>i</m:t>
            </m:r>
          </m:sub>
          <m:sup>
            <m:r>
              <m:t>s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Sup>
          <m:e>
            <m:r>
              <m:t>z</m:t>
            </m:r>
          </m:e>
          <m:sub>
            <m:r>
              <m:t>j</m:t>
            </m:r>
          </m:sub>
          <m:sup>
            <m:r>
              <m:t>t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是source样本</w:t>
      </w:r>
      <m:oMath xmlns:a="http://schemas.openxmlformats.org/drawingml/2006/main" xmlns:pic="http://schemas.openxmlformats.org/drawingml/2006/picture">
        <m:r>
          <m:t>i</m:t>
        </m:r>
      </m:oMath>
      <w:r>
        <w:rPr>
          <w:rFonts w:ascii="Times New Roman" w:hAnsi="Times New Roman" w:eastAsia="宋体" w:cs="Times New Roman"/>
          <w:b w:val="0"/>
        </w:rPr>
        <w:t>与target-support样本</w:t>
      </w:r>
      <m:oMath xmlns:a="http://schemas.openxmlformats.org/drawingml/2006/main" xmlns:pic="http://schemas.openxmlformats.org/drawingml/2006/picture">
        <m:r>
          <m:t>j</m:t>
        </m:r>
      </m:oMath>
      <w:r>
        <w:rPr>
          <w:rFonts w:ascii="Times New Roman" w:hAnsi="Times New Roman" w:eastAsia="宋体" w:cs="Times New Roman"/>
          <w:b w:val="0"/>
        </w:rPr>
        <w:t>的特征；</w:t>
      </w:r>
      <m:oMath xmlns:a="http://schemas.openxmlformats.org/drawingml/2006/main" xmlns:pic="http://schemas.openxmlformats.org/drawingml/2006/picture">
        <m:sSub>
          <m:e>
            <m:r>
              <m:t>T</m:t>
            </m:r>
          </m:e>
          <m:sub>
            <m:r>
              <m:t>ϕ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是参数为</w:t>
      </w:r>
      <m:oMath xmlns:a="http://schemas.openxmlformats.org/drawingml/2006/main" xmlns:pic="http://schemas.openxmlformats.org/drawingml/2006/picture">
        <m:r>
          <m:t>ϕ</m:t>
        </m:r>
      </m:oMath>
      <w:r>
        <w:rPr>
          <w:rFonts w:ascii="Times New Roman" w:hAnsi="Times New Roman" w:eastAsia="宋体" w:cs="Times New Roman"/>
          <w:b w:val="0"/>
        </w:rPr>
        <w:t>的DV域统计网络。</w:t>
      </w:r>
      <m:oMath xmlns:a="http://schemas.openxmlformats.org/drawingml/2006/main" xmlns:pic="http://schemas.openxmlformats.org/drawingml/2006/picture">
        <m:r>
          <m:rPr>
            <m:sty m:val="p"/>
          </m:rPr>
          <m:t>exp</m:t>
        </m:r>
      </m:oMath>
      <w:r>
        <w:rPr>
          <w:rFonts w:ascii="Times New Roman" w:hAnsi="Times New Roman" w:eastAsia="宋体" w:cs="Times New Roman"/>
          <w:b w:val="0"/>
        </w:rPr>
        <w:t>是指数函数，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D</m:t>
            </m:r>
            <m:r>
              <m:t>V</m:t>
            </m:r>
            <m:r>
              <m:rPr>
                <m:sty m:val="p"/>
              </m:rPr>
              <m:t>−</m:t>
            </m:r>
            <m:r>
              <m:t>K</m:t>
            </m:r>
            <m:r>
              <m:t>L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越大表示两个接收机域越可区分；训练采用内层最大化域差异估计、外层最小化分类与对齐目标。总损失中的0.5、0.5和0.005分别是source分类、target-support分类和域差异项的固定权重</w:t>
      </w:r>
      <w:r>
        <w:rPr>
          <w:rFonts w:ascii="Times New Roman" w:hAnsi="Times New Roman" w:cs="Times New Roman" w:eastAsia="宋体"/>
        </w:rPr>
        <w:t>）</w:t>
      </w:r>
    </w:p>
    <w:p w14:paraId="455511E8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DV</m:t>
              </m:r>
              <m:r>
                <m:rPr>
                  <m:sty m:val="p"/>
                </m:rPr>
                <m:t>−</m:t>
              </m:r>
              <m:r>
                <m:rPr/>
                <m:t>KL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s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ϕ</m:t>
                  </m:r>
                </m:sub>
              </m:sSub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</m:t>
                  </m:r>
                </m:sup>
              </m:sSubSup>
            </m:e>
          </m:d>
          <m:r>
            <m:rPr>
              <m:sty m:val="p"/>
            </m:rPr>
            <m:t>−log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d>
                    <m:dPr>
                      <m:begChr m:val="|"/>
                      <m:sepChr m:val=""/>
                      <m:endChr m:val="|"/>
                    </m:dPr>
                    <m:e>
                      <m:sSub>
                        <m:sSubPr/>
                        <m:e>
                          <m:r>
                            <m:rPr/>
                            <m:t>B</m:t>
                          </m:r>
                        </m:e>
                        <m:sub>
                          <m:r>
                            <m:rPr/>
                            <m:t>t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t</m:t>
                      </m:r>
                    </m:sub>
                  </m:sSub>
                </m:sub>
                <m:sup>
                  <m:r>
                    <m:rPr/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ϕ</m:t>
                  </m:r>
                </m:sub>
              </m:sSub>
              <m:d>
                <m:dPr>
                  <m:sepChr m:val=""/>
                </m:dPr>
                <m:e>
                  <m:sSubSup>
                    <m:sSubSupPr/>
                    <m:e>
                      <m:r>
                        <m:rPr/>
                        <m:t>z</m:t>
                      </m:r>
                    </m:e>
                    <m:sub>
                      <m:r>
                        <m:rPr/>
                        <m:t>j</m:t>
                      </m:r>
                    </m:sub>
                    <m:sup>
                      <m:r>
                        <m:rPr/>
                        <m:t>t</m:t>
                      </m:r>
                    </m:sup>
                  </m:sSubSup>
                </m:e>
              </m:d>
            </m:e>
          </m:d>
        </m:oMath>
      </m:oMathPara>
    </w:p>
    <w:p w14:paraId="4C36DD99">
      <w:r>
        <w:rPr>
          <w:rFonts w:ascii="Times New Roman" w:hAnsi="Times New Roman" w:eastAsia="宋体" w:cs="Times New Roman"/>
          <w:sz w:val="22"/>
        </w:rPr>
        <w:t>ADV3B02的外层优化目标为：</w:t>
      </w:r>
    </w:p>
    <w:p w14:paraId="388EA6B0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MRIOR-SDA</m:t>
              </m:r>
            </m:sub>
          </m:sSub>
          <m:r>
            <m:rPr>
              <m:sty m:val="p"/>
            </m:rPr>
            <m:t>=</m:t>
          </m:r>
          <m:r>
            <m:rPr/>
            <m:t>0.5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wCE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source</m:t>
              </m:r>
            </m:sup>
          </m:sSubSup>
          <m:r>
            <m:rPr>
              <m:sty m:val="p"/>
            </m:rPr>
            <m:t>+</m:t>
          </m:r>
          <m:r>
            <m:rPr/>
            <m:t>0.5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wCE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target-support</m:t>
              </m:r>
            </m:sup>
          </m:sSubSup>
          <m:r>
            <m:rPr>
              <m:sty m:val="p"/>
            </m:rPr>
            <m:t>+</m:t>
          </m:r>
          <m:r>
            <m:rPr/>
            <m:t>0.005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DV-KL</m:t>
              </m:r>
            </m:sub>
          </m:sSub>
        </m:oMath>
      </m:oMathPara>
    </w:p>
    <w:p w14:paraId="3A3B3582">
      <w:r>
        <w:rPr>
          <w:rFonts w:ascii="Times New Roman" w:hAnsi="Times New Roman" w:eastAsia="宋体" w:cs="Times New Roman"/>
          <w:sz w:val="22"/>
        </w:rPr>
        <w:t>每个场景使用封存source LEO弱信道标签缓存和6类K-shot target-old LEO support。先用7个内层step最大化DV估计，再更新backbone；两个Adam学习率均为</w:t>
      </w:r>
      <m:oMath>
        <m:r>
          <m:rPr/>
          <m:t>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，每场景200个外层step。query只在训练结束后测试。该方法的代价是source replay和完整backbone更新，因此只作为宽权限机制对照。</w:t>
      </w:r>
    </w:p>
    <w:bookmarkEnd w:id="4"/>
    <w:p w14:paraId="7D54DB0A">
      <w:pPr>
        <w:pStyle w:val="4"/>
        <w:keepNext/>
      </w:pPr>
      <w:bookmarkStart w:id="5" w:name="X717cebba3d9acef3bce53d9629af69d7e648448"/>
      <w:r>
        <w:rPr>
          <w:rFonts w:ascii="Times New Roman" w:hAnsi="Times New Roman" w:eastAsia="宋体" w:cs="Times New Roman"/>
          <w:sz w:val="26"/>
        </w:rPr>
        <w:t>3.4DADDA-SDA：全局与类条件动态分布对齐</w:t>
      </w:r>
    </w:p>
    <w:p w14:paraId="4F4AD56F">
      <w:r>
        <w:rPr>
          <w:rFonts w:ascii="Times New Roman" w:hAnsi="Times New Roman" w:eastAsia="宋体" w:cs="Times New Roman"/>
          <w:sz w:val="22"/>
        </w:rPr>
        <w:t>Feng等人的DADDA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Domain Adaptation with Dynamic Distribution Alignment，即动态分布对齐域适应；SDA仍表示监督域适应。MMD是Maximum Mean Discrepancy，即最大均值差异；LMMD是Local Maximum Mean Discrepancy，即按类别局部计算的最大均值差异；RBF是Radial Basis Function，即径向基函数核；SGD是Stochastic Gradient Descent，即随机梯度下降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  <w:sz w:val="22"/>
        </w:rPr>
        <w:t>属于基于统计距离的跨接收机域适应[3]。其特点是同时计算全局MMD和类条件LMMD，再用数据驱动的动态分配二者权重。</w:t>
      </w:r>
    </w:p>
    <w:p w14:paraId="04163993">
      <w:pPr>
        <w:pStyle w:val="19"/>
      </w:pPr>
      <w:r>
        <w:rPr>
          <w:rFonts w:ascii="Times New Roman" w:hAnsi="Times New Roman" w:eastAsia="宋体" w:cs="Times New Roman"/>
          <w:sz w:val="22"/>
        </w:rPr>
        <w:t>source与target-support的监督分类项均采用标准交叉熵：</w:t>
      </w:r>
    </w:p>
    <w:p w14:paraId="4A40557A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</m:sub>
            <m:sup>
              <m:r>
                <m:rPr/>
                <m:t>D</m:t>
              </m:r>
            </m:sup>
          </m:sSubSup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p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  D</m:t>
          </m:r>
          <m:r>
            <m:rPr>
              <m:sty m:val="p"/>
            </m:rPr>
            <m:t>∈{</m:t>
          </m:r>
          <m:r>
            <m:rPr/>
            <m:t>s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}</m:t>
          </m:r>
        </m:oMath>
      </m:oMathPara>
    </w:p>
    <w:p w14:paraId="5D41278B">
      <w:r>
        <w:rPr>
          <w:rFonts w:ascii="Times New Roman" w:hAnsi="Times New Roman" w:eastAsia="宋体" w:cs="Times New Roman"/>
          <w:sz w:val="22"/>
        </w:rPr>
        <w:t>采用RBF核：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是衡量两个特征向量</w:t>
      </w:r>
      <m:oMath xmlns:a="http://schemas.openxmlformats.org/drawingml/2006/main" xmlns:pic="http://schemas.openxmlformats.org/drawingml/2006/picture">
        <m:r>
          <m:t>u</m:t>
        </m:r>
      </m:oMath>
      <w:r>
        <w:rPr>
          <w:rFonts w:ascii="Times New Roman" w:hAnsi="Times New Roman" w:eastAsia="宋体" w:cs="Times New Roman"/>
          <w:b w:val="0"/>
        </w:rPr>
        <w:t>与</w:t>
      </w:r>
      <m:oMath xmlns:a="http://schemas.openxmlformats.org/drawingml/2006/main" xmlns:pic="http://schemas.openxmlformats.org/drawingml/2006/picture">
        <m:r>
          <m:t>v</m:t>
        </m:r>
      </m:oMath>
      <w:r>
        <w:rPr>
          <w:rFonts w:ascii="Times New Roman" w:hAnsi="Times New Roman" w:eastAsia="宋体" w:cs="Times New Roman"/>
          <w:b w:val="0"/>
        </w:rPr>
        <w:t>相似度的RBF核，距离越近核值越大；</w:t>
      </w:r>
      <m:oMath xmlns:a="http://schemas.openxmlformats.org/drawingml/2006/main" xmlns:pic="http://schemas.openxmlformats.org/drawingml/2006/picture">
        <m:r>
          <m:t>σ</m:t>
        </m:r>
      </m:oMath>
      <w:r>
        <w:rPr>
          <w:rFonts w:ascii="Times New Roman" w:hAnsi="Times New Roman" w:eastAsia="宋体" w:cs="Times New Roman"/>
          <w:b w:val="0"/>
        </w:rPr>
        <w:t>是核带宽，控制多大特征距离仍被视为相似。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分别是source与target-support样本数；</w:t>
      </w:r>
      <m:oMath xmlns:a="http://schemas.openxmlformats.org/drawingml/2006/main" xmlns:pic="http://schemas.openxmlformats.org/drawingml/2006/picture"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′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′</m:t>
        </m:r>
      </m:oMath>
      <w:r>
        <w:rPr>
          <w:rFonts w:ascii="Times New Roman" w:hAnsi="Times New Roman" w:eastAsia="宋体" w:cs="Times New Roman"/>
          <w:b w:val="0"/>
        </w:rPr>
        <w:t>是两域中的样本索引。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M</m:t>
            </m:r>
            <m:r>
              <m:t>M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比较两域整体特征分布，数值越小表示全局域差异越小</w:t>
      </w:r>
      <w:r>
        <w:rPr>
          <w:rFonts w:ascii="Times New Roman" w:hAnsi="Times New Roman" w:cs="Times New Roman" w:eastAsia="宋体"/>
        </w:rPr>
        <w:t>）</w:t>
      </w:r>
    </w:p>
    <w:p w14:paraId="52ACFEBC">
      <w:pPr>
        <w:pStyle w:val="19"/>
      </w:pPr>
      <m:oMathPara>
        <m:oMathParaPr>
          <m:jc m:val="center"/>
        </m:oMathParaPr>
        <m:oMath>
          <m:r>
            <m:rPr/>
            <m:t>k</m:t>
          </m:r>
          <m:d>
            <m:dPr>
              <m:sepChr m:val=""/>
            </m:dPr>
            <m:e>
              <m:r>
                <m:rPr/>
                <m:t>u</m:t>
              </m:r>
              <m:r>
                <m:rPr>
                  <m:sty m:val="p"/>
                </m:rPr>
                <m:t>,</m:t>
              </m:r>
              <m:r>
                <m:rPr/>
                <m:t>v</m:t>
              </m:r>
            </m:e>
          </m:d>
          <m:r>
            <m:rPr>
              <m:sty m:val="p"/>
            </m:rPr>
            <m:t>=exp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>
                      <m:sty m:val="p"/>
                    </m:rPr>
                    <m:t>∥</m:t>
                  </m:r>
                  <m:r>
                    <m:rPr/>
                    <m:t>u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v</m:t>
                  </m:r>
                  <m:sSubSup>
                    <m:sSubSupPr/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rPr/>
                        <m:t>2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2</m:t>
                  </m:r>
                  <m:sSup>
                    <m:sSupPr/>
                    <m:e>
                      <m:r>
                        <m:rPr/>
                        <m:t>σ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2197877B">
      <w:r>
        <w:rPr>
          <w:rFonts w:ascii="Times New Roman" w:hAnsi="Times New Roman" w:eastAsia="宋体" w:cs="Times New Roman"/>
          <w:sz w:val="22"/>
        </w:rPr>
        <w:t>全局MMD为：</w:t>
      </w:r>
    </w:p>
    <w:p w14:paraId="26CA8938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MMD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  <m:r>
                <m:rPr>
                  <m:sty m:val="p"/>
                </m:rPr>
                <m:t>′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rPr/>
                    <m:t>s</m:t>
                  </m:r>
                </m:sup>
              </m:sSubSup>
            </m:e>
          </m:d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t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  <m:r>
                <m:rPr>
                  <m:sty m:val="p"/>
                </m:rPr>
                <m:t>′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rPr/>
                    <m:t>t</m:t>
                  </m:r>
                </m:sup>
              </m:sSubSup>
            </m:e>
          </m:d>
          <m:r>
            <m:rPr>
              <m:sty m:val="p"/>
            </m:rPr>
            <m:t>−</m:t>
          </m:r>
          <m:f>
            <m:fPr/>
            <m:num>
              <m:r>
                <m:rPr/>
                <m:t>2</m:t>
              </m:r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s</m:t>
                  </m:r>
                </m:sub>
              </m:sSub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t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t</m:t>
                  </m:r>
                </m:sup>
              </m:sSubSup>
            </m:e>
          </m:d>
        </m:oMath>
      </m:oMathPara>
    </w:p>
    <w:p w14:paraId="4A36A440">
      <w:r>
        <w:rPr>
          <w:rFonts w:ascii="Times New Roman" w:hAnsi="Times New Roman" w:eastAsia="宋体" w:cs="Times New Roman"/>
          <w:sz w:val="22"/>
        </w:rPr>
        <w:t>对类别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，令</w:t>
      </w:r>
      <m:oMath>
        <m:sSubSup>
          <m:sSubSupPr/>
          <m:e>
            <m:r>
              <m:rPr/>
              <m:t>w</m:t>
            </m:r>
          </m:e>
          <m:sub>
            <m:r>
              <m:rPr/>
              <m:t>s</m:t>
            </m:r>
          </m:sub>
          <m:sup>
            <m:r>
              <m:rPr/>
              <m:t>c</m:t>
            </m:r>
          </m:sup>
        </m:sSubSup>
        <m:r>
          <m:rPr>
            <m:sty m:val="p"/>
          </m:rPr>
          <m:t>,</m:t>
        </m:r>
        <m:sSubSup>
          <m:sSubSupPr/>
          <m:e>
            <m:r>
              <m:rPr/>
              <m:t>w</m:t>
            </m:r>
          </m:e>
          <m:sub>
            <m:r>
              <m:rPr/>
              <m:t>t</m:t>
            </m:r>
          </m:sub>
          <m:sup>
            <m:r>
              <m:rPr/>
              <m:t>c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为按该类样本数归一化的source/target-support权重，类条件LMMD为：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Sup>
          <m:e>
            <m:r>
              <m:t>w</m:t>
            </m:r>
          </m:e>
          <m:sub>
            <m:r>
              <m:t>s</m:t>
            </m:r>
          </m:sub>
          <m:sup>
            <m:r>
              <m:t>c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Sup>
          <m:e>
            <m:r>
              <m:t>w</m:t>
            </m:r>
          </m:e>
          <m:sub>
            <m:r>
              <m:t>t</m:t>
            </m:r>
          </m:sub>
          <m:sup>
            <m:r>
              <m:t>c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在source/target-support中的归一化样本权重向量；</w:t>
      </w:r>
      <m:oMath xmlns:a="http://schemas.openxmlformats.org/drawingml/2006/main" xmlns:pic="http://schemas.openxmlformats.org/drawingml/2006/picture">
        <m:sSub>
          <m:e>
            <m:r>
              <m:t>K</m:t>
            </m:r>
          </m:e>
          <m:sub>
            <m:r>
              <m:t>s</m:t>
            </m:r>
            <m:r>
              <m:t>s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sSub>
          <m:e>
            <m:r>
              <m:t>K</m:t>
            </m:r>
          </m:e>
          <m:sub>
            <m:r>
              <m:t>t</m:t>
            </m:r>
            <m:r>
              <m:t>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K</m:t>
            </m:r>
          </m:e>
          <m:sub>
            <m:r>
              <m:t>s</m:t>
            </m:r>
            <m:r>
              <m:t>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分别是source内部、target内部以及source-target之间的核矩阵；上标</w:t>
      </w:r>
      <m:oMath xmlns:a="http://schemas.openxmlformats.org/drawingml/2006/main" xmlns:pic="http://schemas.openxmlformats.org/drawingml/2006/picture">
        <m:r>
          <m:rPr>
            <m:sty m:val="p"/>
          </m:rPr>
          <m:t>⊤</m:t>
        </m:r>
      </m:oMath>
      <w:r>
        <w:rPr>
          <w:rFonts w:ascii="Times New Roman" w:hAnsi="Times New Roman" w:eastAsia="宋体" w:cs="Times New Roman"/>
          <w:b w:val="0"/>
        </w:rPr>
        <w:t>表示转置。</w:t>
      </w:r>
      <m:oMath xmlns:a="http://schemas.openxmlformats.org/drawingml/2006/main" xmlns:pic="http://schemas.openxmlformats.org/drawingml/2006/picture"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C</m:t>
            </m:r>
          </m:sup>
          <m:e>
            <m:r>
              <m:t>​</m:t>
            </m:r>
          </m:e>
        </m:nary>
      </m:oMath>
      <w:r>
        <w:rPr>
          <w:rFonts w:ascii="Times New Roman" w:hAnsi="Times New Roman" w:eastAsia="宋体" w:cs="Times New Roman"/>
          <w:b w:val="0"/>
        </w:rPr>
        <w:t>把所有旧发射机的类条件差异汇总为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L</m:t>
            </m:r>
            <m:r>
              <m:t>M</m:t>
            </m:r>
            <m:r>
              <m:t>M</m:t>
            </m:r>
            <m:r>
              <m:t>D</m:t>
            </m:r>
          </m:sub>
        </m:sSub>
      </m:oMath>
      <w:r>
        <w:rPr>
          <w:rFonts w:ascii="Times New Roman" w:hAnsi="Times New Roman" w:cs="Times New Roman" w:eastAsia="宋体"/>
        </w:rPr>
        <w:t>）</w:t>
      </w:r>
    </w:p>
    <w:p w14:paraId="3859D01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LMMD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c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C</m:t>
              </m:r>
            </m:sup>
            <m:e>
              <m:d>
                <m:dPr>
                  <m:begChr m:val="["/>
                  <m:sepChr m:val=""/>
                  <m:endChr m:val="]"/>
                </m:dPr>
                <m:e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s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ss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s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t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tt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t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s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st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t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</m:e>
              </m:d>
            </m:e>
          </m:nary>
        </m:oMath>
      </m:oMathPara>
    </w:p>
    <w:p w14:paraId="0C119764">
      <w:r>
        <w:rPr>
          <w:rFonts w:ascii="Times New Roman" w:hAnsi="Times New Roman" w:eastAsia="宋体" w:cs="Times New Roman"/>
          <w:sz w:val="22"/>
        </w:rPr>
        <w:t>动态系数和总损失分别为：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t>α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是由当前batch自动计算的动态权重：全局MMD较大时更强调LMMD，反之更强调MMD；分母中的</w:t>
      </w:r>
      <m:oMath xmlns:a="http://schemas.openxmlformats.org/drawingml/2006/main" xmlns:pic="http://schemas.openxmlformats.org/drawingml/2006/picture">
        <m:r>
          <m:t>ϵ</m:t>
        </m:r>
      </m:oMath>
      <w:r>
        <w:rPr>
          <w:rFonts w:ascii="Times New Roman" w:hAnsi="Times New Roman" w:eastAsia="宋体" w:cs="Times New Roman"/>
          <w:b w:val="0"/>
        </w:rPr>
        <w:t>保证数值稳定。</w:t>
      </w:r>
      <m:oMath xmlns:a="http://schemas.openxmlformats.org/drawingml/2006/main" xmlns:pic="http://schemas.openxmlformats.org/drawingml/2006/picture">
        <m:sSubSup>
          <m:e>
            <m:r>
              <m:rPr>
                <m:sty m:val="p"/>
                <m:scr m:val="script"/>
              </m:rPr>
              <m:t>L</m:t>
            </m:r>
          </m:e>
          <m:sub>
            <m:r>
              <m:t>C</m:t>
            </m:r>
            <m:r>
              <m:t>E</m:t>
            </m:r>
          </m:sub>
          <m:sup>
            <m:r>
              <m:t>s</m:t>
            </m:r>
            <m:r>
              <m:t>o</m:t>
            </m:r>
            <m:r>
              <m:t>u</m:t>
            </m:r>
            <m:r>
              <m:t>r</m:t>
            </m:r>
            <m:r>
              <m:t>c</m:t>
            </m:r>
            <m:r>
              <m:t>e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Sup>
          <m:e>
            <m:r>
              <m:rPr>
                <m:sty m:val="p"/>
                <m:scr m:val="script"/>
              </m:rPr>
              <m:t>L</m:t>
            </m:r>
          </m:e>
          <m:sub>
            <m:r>
              <m:t>C</m:t>
            </m:r>
            <m:r>
              <m:t>E</m:t>
            </m:r>
          </m:sub>
          <m:sup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  <m:r>
              <m:rPr>
                <m:sty m:val="p"/>
              </m:rPr>
              <m:t>−</m:t>
            </m:r>
            <m:r>
              <m:t>s</m:t>
            </m:r>
            <m:r>
              <m:t>u</m:t>
            </m:r>
            <m:r>
              <m:t>p</m:t>
            </m:r>
            <m:r>
              <m:t>p</m:t>
            </m:r>
            <m:r>
              <m:t>o</m:t>
            </m:r>
            <m:r>
              <m:t>r</m:t>
            </m:r>
            <m:r>
              <m:t>t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分别监督源样本与目标support的发射机分类；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L</m:t>
            </m:r>
            <m:r>
              <m:t>M</m:t>
            </m:r>
            <m:r>
              <m:t>M</m:t>
            </m:r>
            <m:r>
              <m:t>D</m:t>
            </m:r>
            <m:r>
              <m:rPr>
                <m:sty m:val="p"/>
              </m:rPr>
              <m:t>−</m:t>
            </m:r>
            <m:r>
              <m:t>s</m:t>
            </m:r>
            <m:r>
              <m:t>u</m:t>
            </m:r>
            <m:r>
              <m:t>m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是各类LMMD项的求和；momentum是动量系数，weight decay是权重衰减</w:t>
      </w:r>
      <w:r>
        <w:rPr>
          <w:rFonts w:ascii="Times New Roman" w:hAnsi="Times New Roman" w:cs="Times New Roman" w:eastAsia="宋体"/>
        </w:rPr>
        <w:t>）</w:t>
      </w:r>
    </w:p>
    <w:p w14:paraId="461D712C">
      <w:pPr>
        <w:pStyle w:val="19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MMD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MMD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LMMD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ϵ</m:t>
              </m:r>
            </m:den>
          </m:f>
        </m:oMath>
      </m:oMathPara>
    </w:p>
    <w:p w14:paraId="6DA171BE"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DADDA-SDA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source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target-support</m:t>
              </m:r>
            </m:sup>
          </m:sSubSup>
          <m:r>
            <m:rPr>
              <m:sty m:val="p"/>
            </m:rPr>
            <m:t>+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α</m:t>
              </m:r>
            </m:e>
          </m:d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MMD</m:t>
              </m:r>
            </m:sub>
          </m:sSub>
          <m:r>
            <m:rPr>
              <m:sty m:val="p"/>
            </m:rPr>
            <m:t>+</m:t>
          </m:r>
          <m:r>
            <m:rPr/>
            <m:t>α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LMMD-sum</m:t>
              </m:r>
            </m:sub>
          </m:sSub>
        </m:oMath>
      </m:oMathPara>
    </w:p>
    <w:p w14:paraId="3A9A0AA3">
      <w:r>
        <w:rPr>
          <w:rFonts w:ascii="Times New Roman" w:hAnsi="Times New Roman" w:eastAsia="宋体" w:cs="Times New Roman"/>
          <w:b/>
          <w:bCs/>
          <w:sz w:val="22"/>
        </w:rPr>
        <w:t>CVS执行：</w:t>
      </w:r>
      <w:r>
        <w:rPr>
          <w:rFonts w:ascii="Times New Roman" w:hAnsi="Times New Roman" w:eastAsia="宋体" w:cs="Times New Roman"/>
          <w:sz w:val="22"/>
        </w:rPr>
        <w:t xml:space="preserve"> 数据与MRIOR-SDA相同；更新完整ADV3B02身份backbone和旧类分类输出。SGD初始学习率为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、momentum为0.9、weight decay为</w:t>
      </w:r>
      <m:oMath>
        <m:r>
          <m:rPr/>
          <m:t>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，每场景200步。query不参与CE、MMD、LMMD或</w:t>
      </w:r>
      <m:oMath>
        <m:r>
          <m:rPr/>
          <m:t>α</m:t>
        </m:r>
      </m:oMath>
      <w:r>
        <w:rPr>
          <w:rFonts w:ascii="Times New Roman" w:hAnsi="Times New Roman" w:eastAsia="宋体" w:cs="Times New Roman"/>
          <w:sz w:val="22"/>
        </w:rPr>
        <w:t>估计。DADDA比MRIOR更直接地约束类条件分布，但K很小时</w:t>
      </w:r>
      <m:oMath>
        <m:sSubSup>
          <m:sSubSupPr/>
          <m:e>
            <m:r>
              <m:rPr/>
              <m:t>w</m:t>
            </m:r>
          </m:e>
          <m:sub>
            <m:r>
              <m:rPr/>
              <m:t>t</m:t>
            </m:r>
          </m:sub>
          <m:sup>
            <m:r>
              <m:rPr/>
              <m:t>c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估计噪声较大，可能产生负迁移。</w:t>
      </w:r>
    </w:p>
    <w:bookmarkEnd w:id="5"/>
    <w:p w14:paraId="7513F33E">
      <w:pPr>
        <w:pStyle w:val="4"/>
        <w:keepNext/>
      </w:pPr>
      <w:r>
        <w:rPr>
          <w:rFonts w:ascii="Times New Roman" w:hAnsi="Times New Roman" w:eastAsia="宋体" w:cs="Times New Roman"/>
        </w:rPr>
        <w:t>3.5对比方法机制与权限对比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1167"/>
        <w:gridCol w:w="1751"/>
        <w:gridCol w:w="1937"/>
        <w:gridCol w:w="869"/>
        <w:gridCol w:w="1702"/>
        <w:gridCol w:w="1052"/>
      </w:tblGrid>
      <w:tr w14:paraId="75AAF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3EA9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方法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40FC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方法分类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FB1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部署输入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406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更新对象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5BF2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source访问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D8D2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计算特点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CBB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本轮能否注册新类</w:t>
            </w:r>
          </w:p>
        </w:tc>
      </w:tr>
      <w:tr w14:paraId="15EAE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34EF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ProtoNet CDA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7530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少样本监督DA基线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85FF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49EE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9627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D607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0次backbone更新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BD35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未评估</w:t>
            </w:r>
          </w:p>
        </w:tc>
      </w:tr>
      <w:tr w14:paraId="2DDAD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694C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MRIOR-SDA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0D4F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模型更新型监督域适应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753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 LEO缓存＋target-old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7AF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完整身份backbone＋DV-KL估计网络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0BD9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064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200步/场景，3场景合计600步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D15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否，闭集旧类</w:t>
            </w:r>
          </w:p>
        </w:tc>
      </w:tr>
      <w:tr w14:paraId="07DAB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D86B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DADDA-SDA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4A28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统计距离型监督域适应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A048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 LEO缓存＋target-old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A8A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完整身份backbone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8DA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13A20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200步/场景，3场景合计600步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D9B2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否，闭集旧类</w:t>
            </w:r>
          </w:p>
        </w:tc>
      </w:tr>
      <w:bookmarkEnd w:id="2"/>
    </w:tbl>
    <w:p w14:paraId="025EFCD4">
      <w:pPr>
        <w:pStyle w:val="4"/>
        <w:keepNext/>
      </w:pPr>
      <w:r>
        <w:rPr>
          <w:rFonts w:ascii="Times New Roman" w:hAnsi="Times New Roman" w:eastAsia="宋体" w:cs="Times New Roman"/>
        </w:rPr>
        <w:t>3.6对比方法复现实验结果</w:t>
      </w:r>
    </w:p>
    <w:p w14:paraId="07EB6167">
      <w:pPr>
        <w:pStyle w:val="19"/>
        <w:keepNext w:val="0"/>
      </w:pPr>
      <w:r>
        <w:rPr>
          <w:rFonts w:ascii="Times New Roman" w:hAnsi="Times New Roman" w:eastAsia="宋体" w:cs="Times New Roman"/>
        </w:rPr>
        <w:t>以下三张表直接采用《学习进展情况+7.16》中的原始结果表，依次给出总体表现、不同K-shot和不同target receiver的结果。三种方法各运行125个任务，共375个任务；表内数值不再压缩为单一结论。</w:t>
      </w:r>
    </w:p>
    <w:p w14:paraId="3978B4E3">
      <w:pPr>
        <w:pStyle w:val="5"/>
        <w:keepNext/>
      </w:pPr>
      <w:r>
        <w:rPr>
          <w:rFonts w:ascii="Times New Roman" w:hAnsi="Times New Roman" w:eastAsia="宋体" w:cs="Times New Roman"/>
        </w:rPr>
        <w:t>3.6.1总体性能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216"/>
        <w:gridCol w:w="1216"/>
        <w:gridCol w:w="1123"/>
        <w:gridCol w:w="1684"/>
        <w:gridCol w:w="1123"/>
        <w:gridCol w:w="1314"/>
      </w:tblGrid>
      <w:tr w14:paraId="671A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CA1FAF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21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适应前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w="121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C6F120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适应后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w="112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D83F9E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平均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EF8B7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正/负迁移任务</w:t>
            </w:r>
          </w:p>
        </w:tc>
        <w:tc>
          <w:tcPr>
            <w:tcW w:w="112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C6180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平均时延</w:t>
            </w:r>
          </w:p>
        </w:tc>
        <w:tc>
          <w:tcPr>
            <w:tcW w:w="13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0BFEC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backbone更新</w:t>
            </w:r>
          </w:p>
        </w:tc>
      </w:tr>
      <w:tr w14:paraId="243DC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8EBC2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MRIOR-SDA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80A3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10E33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82.58%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AA591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+8.98pp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480E3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105/20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569D4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17.90s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B8FFD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600</w:t>
            </w:r>
          </w:p>
        </w:tc>
      </w:tr>
      <w:tr w14:paraId="47ED5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78E089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DADDA-SDA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8EEAE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B380A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78.35%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F1EE0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+4.75pp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33961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99/26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6EB1C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14.62s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8FEEB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600</w:t>
            </w:r>
          </w:p>
        </w:tc>
      </w:tr>
      <w:tr w14:paraId="05A30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B67AF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ProtoNet CDA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4000B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78157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66.85%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EA8D9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−6.75pp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1959C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10/115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60633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0.046s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BFF9F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</w:t>
            </w:r>
          </w:p>
        </w:tc>
      </w:tr>
    </w:tbl>
    <w:p w14:paraId="0CA1A6DF">
      <w:pPr>
        <w:pStyle w:val="19"/>
        <w:keepNext w:val="0"/>
      </w:pPr>
      <w:r>
        <w:rPr>
          <w:rFonts w:ascii="Times New Roman" w:hAnsi="Times New Roman" w:eastAsia="宋体" w:cs="Times New Roman"/>
        </w:rPr>
        <w:t>MRIOR-SDA的适应后old_acc最高，平均收益为+8.98个百分点；DADDA-SDA平均收益为+4.75个百分点；ProtoNet CDA平均下降6.75个百分点。这说明target-old support含有可利用的域校准信息，但固定embedding上的单prototype不足以修正系统性跨接收机偏移。</w:t>
      </w:r>
    </w:p>
    <w:p w14:paraId="5FBB1334">
      <w:pPr>
        <w:pStyle w:val="5"/>
        <w:keepNext/>
      </w:pPr>
      <w:r>
        <w:rPr>
          <w:rFonts w:ascii="Times New Roman" w:hAnsi="Times New Roman" w:eastAsia="宋体" w:cs="Times New Roman"/>
        </w:rPr>
        <w:t>3.6.2不同K-shot下的结果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106"/>
        <w:gridCol w:w="2106"/>
        <w:gridCol w:w="2059"/>
        <w:gridCol w:w="2153"/>
      </w:tblGrid>
      <w:tr w14:paraId="243D3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7EB15C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K</w:t>
            </w:r>
          </w:p>
        </w:tc>
        <w:tc>
          <w:tcPr>
            <w:tcW w:w="21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87578D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直接ADV3B02</w:t>
            </w:r>
          </w:p>
        </w:tc>
        <w:tc>
          <w:tcPr>
            <w:tcW w:w="21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E0938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MRIOR-SDA</w:t>
            </w:r>
          </w:p>
        </w:tc>
        <w:tc>
          <w:tcPr>
            <w:tcW w:w="2059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49BF7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DADDA-SDA</w:t>
            </w:r>
          </w:p>
        </w:tc>
        <w:tc>
          <w:tcPr>
            <w:tcW w:w="215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F78E3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ProtoNet CDA</w:t>
            </w:r>
          </w:p>
        </w:tc>
      </w:tr>
      <w:tr w14:paraId="7FB3B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08BC7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40B73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464A4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77.22%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B4BC7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74.94%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1C0FA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58.67%</w:t>
            </w:r>
          </w:p>
        </w:tc>
      </w:tr>
      <w:tr w14:paraId="65253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FC693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5A81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DED70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79.51%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E64F7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76.14%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761BA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64.70%</w:t>
            </w:r>
          </w:p>
        </w:tc>
      </w:tr>
      <w:tr w14:paraId="76945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1D42D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80296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0ED04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82.59%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E14AC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78.19%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6A376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68.98%</w:t>
            </w:r>
          </w:p>
        </w:tc>
      </w:tr>
      <w:tr w14:paraId="3F691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9DD61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EC52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3802E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85.82%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AACA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80.31%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414D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70.42%</w:t>
            </w:r>
          </w:p>
        </w:tc>
      </w:tr>
      <w:tr w14:paraId="4CC91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12293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C8233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B9A6E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87.74%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84094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82.16%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77307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71.48%</w:t>
            </w:r>
          </w:p>
        </w:tc>
      </w:tr>
    </w:tbl>
    <w:p w14:paraId="7BCE328B">
      <w:pPr>
        <w:pStyle w:val="19"/>
        <w:keepNext w:val="0"/>
      </w:pPr>
      <w:r>
        <w:rPr>
          <w:rFonts w:ascii="Times New Roman" w:hAnsi="Times New Roman" w:eastAsia="宋体" w:cs="Times New Roman"/>
        </w:rPr>
        <w:t>K从1增加到20时，MRIOR-SDA与DADDA-SDA持续受益，说明更多target support提高了梯度估计和类条件分布估计的稳定性。ProtoNet CDA也随K增加而改善，但K=20时仍低于直接ADV3B02。</w:t>
      </w:r>
    </w:p>
    <w:p w14:paraId="7930FEE2">
      <w:pPr>
        <w:pStyle w:val="5"/>
        <w:keepNext/>
      </w:pPr>
      <w:r>
        <w:rPr>
          <w:rFonts w:ascii="Times New Roman" w:hAnsi="Times New Roman" w:eastAsia="宋体" w:cs="Times New Roman"/>
        </w:rPr>
        <w:t>3.6.3不同target receiver下的结果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918"/>
        <w:gridCol w:w="1918"/>
        <w:gridCol w:w="1918"/>
        <w:gridCol w:w="1922"/>
      </w:tblGrid>
      <w:tr w14:paraId="2E790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90B893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target receiver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8A849D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直接ADV3B02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6CEB71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MRIOR-SDA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43F77C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DADDA-SDA</w:t>
            </w:r>
          </w:p>
        </w:tc>
        <w:tc>
          <w:tcPr>
            <w:tcW w:w="192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0095D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ProtoNet CDA</w:t>
            </w:r>
          </w:p>
        </w:tc>
      </w:tr>
      <w:tr w14:paraId="2F4C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FFA67E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20-1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14E5A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64.61%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8ECB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83.43%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A9EAD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75.91%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B274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60.98%</w:t>
            </w:r>
          </w:p>
        </w:tc>
      </w:tr>
      <w:tr w14:paraId="594D1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196B1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3-19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9C32C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60.33%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B109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69.06%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7D1BF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65.31%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B1876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48.50%</w:t>
            </w:r>
          </w:p>
        </w:tc>
      </w:tr>
      <w:tr w14:paraId="2E9DE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F9E122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7-14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B2349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90.06%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7C5F5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89.93%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4E03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89.93%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5D62C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83.53%</w:t>
            </w:r>
          </w:p>
        </w:tc>
      </w:tr>
      <w:tr w14:paraId="3AECD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8C6938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7-7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73629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80.22%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2BE47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86.78%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90E7B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82.49%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CAA23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74.81%</w:t>
            </w:r>
          </w:p>
        </w:tc>
      </w:tr>
      <w:tr w14:paraId="08E0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24DB0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8-8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18EF9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72.78%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E5729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83.69%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C8D4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78.10%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ADD96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66.42%</w:t>
            </w:r>
          </w:p>
        </w:tc>
      </w:tr>
    </w:tbl>
    <w:p w14:paraId="39BABBA1">
      <w:pPr>
        <w:pStyle w:val="19"/>
        <w:keepNext w:val="0"/>
      </w:pPr>
      <w:r>
        <w:rPr>
          <w:rFonts w:ascii="Times New Roman" w:hAnsi="Times New Roman" w:eastAsia="宋体" w:cs="Times New Roman"/>
        </w:rPr>
        <w:t>不同receiver的direct基线差异明显：3-19最困难，7-14的direct基线最高。MRIOR-SDA在20-1、7-7和8-8上获得明显正收益，但在7-14上略低于direct，说明高基线receiver继续更新时存在负迁移风险。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3.6.4qKNN Stage2-B域适应实验结果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qKNN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quantized K-nearest neighbors，即量化K近邻；其中q表示quantized，KNN表示K-nearest neighbors。本文按照项目命名约定，用qKNN统称Phase2轻量适配/注册路线。所列实验版本在量化近邻/原型记忆基础上加入support稳健状态和共享判别头，因此不能理解为最原始的裸KNN多数投票；S2B-old表示完成旧类target support域适配后、注册新类前的Stage2-B旧类准确率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cs="Times New Roman" w:eastAsia="宋体"/>
        </w:rPr>
        <w:t>的Stage2-B状态读取6个旧类的K-shot target support，在注册任何新类之前完成旧类目标域适配。原始artifact将该指标记为B-old；为避免把“注册前”误解成“尚未域适应”，本节统一记为S2B-old。下表按K、target receiver和LEO弱信道场景列出S2B-old，每个单元格为5个seed（713102–713106）的均值。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"/>
        <w:gridCol w:w="1872"/>
        <w:gridCol w:w="1591"/>
        <w:gridCol w:w="1778"/>
        <w:gridCol w:w="1591"/>
        <w:gridCol w:w="1873"/>
      </w:tblGrid>
      <w:tr>
        <w:trPr>
          <w:tblHeader w:val="true"/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K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target receiver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clear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low-elev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rain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三场景均值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20-1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67.000%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67.000%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66.500%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3-19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52.833%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43.333%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52.667%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49.611%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7-14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80.833%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76.667%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79.167%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7-7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74.167%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71.000%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75.611%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8-8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75.167%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70.500%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63.833%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69.833%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5接收机总体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71.333%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67.167%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65.933%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68.144%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20-1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88.667%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83.667%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79.333%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83.889%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3-19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69.833%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65.667%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65.167%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66.889%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7-14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87.667%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77.667%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81.944%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7-7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93.500%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89.667%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90.333%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91.167%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8-8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85.500%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82.500%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79.333%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82.444%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5接收机总体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85.033%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80.400%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78.367%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81.267%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20-1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93.000%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88.000%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89.167%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3-19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76.000%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72.500%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71.500%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73.333%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7-14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91.333%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83.000%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84.500%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86.278%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7-7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96.833%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96.333%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94.167%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95.778%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8-8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91.167%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83.833%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83.000%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86.000%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5接收机总体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89.667%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84.733%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83.933%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86.111%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qKNN的Stage2-B域适应准确率随support由K=1增加到K=5、K=10而提升：5个接收机三场景总体均值依次为68.144%、81.267%和86.111%。同一K下，clear场景总体最高，low-elev与rain场景更低；接收机3-19始终最弱，K=10时三场景均值仍仅73.333%，说明接收机域偏移和弱信道扰动尚未被完全消除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3.6.5qKNN与域适应方法的共同LEO场景对照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下表将qKNN的S2B-old与相同三类LEO弱信道场景下的域适应对比方法并列。域适应矩阵使用5个receiver、seed 713101–713105，qKNN使用5个receiver和seed 713102–713106；两套矩阵的seed集合及artifact没有严格一一配对，因此只作描述性比较，不计算paired显著性。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"/>
        <w:gridCol w:w="1591"/>
        <w:gridCol w:w="1591"/>
        <w:gridCol w:w="1591"/>
        <w:gridCol w:w="1591"/>
        <w:gridCol w:w="2341"/>
      </w:tblGrid>
      <w:tr>
        <w:trPr>
          <w:tblHeader w:val="true"/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K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直接ADV3B02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MRIOR-SDA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DADDA-SDA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ProtoNet CDA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qKNN Stage2-B旧类准确率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75.21%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69.88%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72.58%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59.47%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68.144%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75.21%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79.17%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76.74%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70.28%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81.267%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75.21%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84.50%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79.36%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70.86%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86.111%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在这一描述性口径下，qKNN的Stage2-B旧类准确率在K=5和K=10时分别为81.267%和86.111%，高于同表中的三个论文适配头；K=1时MRIOR-SDA为69.88%，高于qKNN的68.144%。这里比较的是完成旧类support域适应后的S2B-old，而不是Phase1模型直接推理结果。此时尚未加入新类，qKNN的旧/新任务均衡协方差也尚未启用；数值反映qKNN的旧类support稳健状态构造，不能归因于Stage2-C均衡模块。</w:t>
      </w:r>
    </w:p>
    <w:p w14:paraId="6E624E4E">
      <w:pPr>
        <w:pStyle w:val="5"/>
        <w:keepNext/>
      </w:pPr>
      <w:r>
        <w:rPr>
          <w:rFonts w:ascii="Times New Roman" w:hAnsi="Times New Roman" w:cs="Times New Roman" w:eastAsia="宋体"/>
        </w:rPr>
        <w:t>3.6.6结果边界</w:t>
      </w:r>
    </w:p>
    <w:p w14:paraId="591314C4">
      <w:pPr>
        <w:pStyle w:val="19"/>
        <w:keepNext w:val="0"/>
      </w:pPr>
      <w:r>
        <w:rPr>
          <w:rFonts w:ascii="Times New Roman" w:hAnsi="Times New Roman" w:cs="Times New Roman" w:eastAsia="宋体"/>
        </w:rPr>
        <w:t>ProtoNet CDA只读取target-old support并闭式更新prototype；MRIOR-SDA和DADDA-SDA还读取封存source LEO弱信道标签缓存并更新完整backbone。因此三者可以比较机制与适应趋势，但权限和计算代价并不完全相同；这些结果不能直接证明support-only的Phase2主方法已经解决旧类域适应。qKNN补充表只报告完成旧类域适配后的Stage2-B状态，不应被解释为新类注册结果。</w:t>
      </w:r>
    </w:p>
    <w:p w14:paraId="25988F7C">
      <w:pPr>
        <w:pStyle w:val="3"/>
        <w:keepNext/>
        <w:pageBreakBefore w:val="0"/>
      </w:pPr>
      <w:bookmarkStart w:id="6" w:name="X2464148e56484ad46d4959199fb3b49214b217b"/>
      <w:r>
        <w:rPr>
          <w:rFonts w:ascii="Times New Roman" w:hAnsi="Times New Roman" w:eastAsia="宋体" w:cs="Times New Roman"/>
          <w:sz w:val="32"/>
        </w:rPr>
        <w:t>4.Stage2-C：少样本类增量仿真实验</w:t>
      </w:r>
    </w:p>
    <w:p w14:paraId="5A8DC836">
      <w:pPr>
        <w:pStyle w:val="4"/>
        <w:keepNext/>
      </w:pPr>
      <w:bookmarkStart w:id="7" w:name="Xe41a15347bd3fd3b4101ce2aaa7c7c4b55233d0"/>
      <w:r>
        <w:rPr>
          <w:rFonts w:ascii="Times New Roman" w:hAnsi="Times New Roman" w:eastAsia="宋体" w:cs="Times New Roman"/>
          <w:sz w:val="26"/>
        </w:rPr>
        <w:t>4.1仿真问题、代码口径与数据</w:t>
      </w:r>
    </w:p>
    <w:p w14:paraId="0572DD72">
      <w:r>
        <w:rPr>
          <w:rFonts w:ascii="Times New Roman" w:hAnsi="Times New Roman" w:eastAsia="宋体" w:cs="Times New Roman"/>
          <w:sz w:val="22"/>
        </w:rPr>
        <w:t>Stage2-C在同一target receiver中注册新类，并要求旧类与新类在同一输出空间统一竞争，因此它是跨域FSCIL。本轮每个cell只执行一次新类集合注册，编码器接口替换为ADV3B02的160维，其余训练器、损失和更新范围按官方实现保留。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CSIL是Channel Separation Enabled Incremental Learning，即通道隔离型增量学习；MoPC-HR是Momentum-based Prototype Correction and Hierarchical Regularization，即基于动量的原型校正与分层正则；HR表示Hierarchical Regularization；IoT是Internet of Things，即物联网。exemplar是保存供后续回放的历史原始样本；无exemplar表示不保存旧类原始IQ，但仍可保留旧模型、Fisher信息或类别prototype等聚合历史状态</w:t>
      </w:r>
      <w:r>
        <w:rPr>
          <w:rFonts w:ascii="Times New Roman" w:hAnsi="Times New Roman" w:cs="Times New Roman" w:eastAsia="宋体"/>
        </w:rPr>
        <w:t>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3788"/>
        <w:gridCol w:w="4282"/>
      </w:tblGrid>
      <w:tr w14:paraId="264D0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48C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环节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850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CSIL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43C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MoPC-HR</w:t>
            </w:r>
          </w:p>
        </w:tc>
      </w:tr>
      <w:tr w14:paraId="68A85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5329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Phase2前基座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7135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5879条source base train＋2521条Fisher validation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97AF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8400条source base训练并保存6个旧类prototype</w:t>
            </w:r>
          </w:p>
        </w:tc>
      </w:tr>
      <w:tr w14:paraId="13341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D5C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Phase2真实训练数据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AEEC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当前cell的target-new K-shot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6861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当前cell的target-new K-shot support</w:t>
            </w:r>
          </w:p>
        </w:tc>
      </w:tr>
      <w:tr w14:paraId="0263E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500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query作用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11E3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旧类测遗忘、新类测注册；均不参与训练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0E7D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旧类测遗忘、新类测注册；均不参与训练</w:t>
            </w:r>
          </w:p>
        </w:tc>
      </w:tr>
      <w:tr w14:paraId="03229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1C40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冻结矩阵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BBDBF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K=5、10、20；新类规模1、3、20（周报列出9个正式配置）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4D1A9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K=5、10、20；新类规模1、3、5、10、25（周报列出15个正式配置）</w:t>
            </w:r>
          </w:p>
        </w:tc>
      </w:tr>
    </w:tbl>
    <w:p w14:paraId="02838563">
      <w:pPr>
        <w:pStyle w:val="19"/>
      </w:pPr>
      <w:r>
        <w:rPr>
          <w:rFonts w:ascii="Times New Roman" w:hAnsi="Times New Roman" w:eastAsia="宋体" w:cs="Times New Roman"/>
          <w:sz w:val="22"/>
        </w:rPr>
        <w:t>这里的source数据只用于构造进入Phase2前的旧类状态，不是每个增量cell中的source replay。每个cell的唯一真实增量训练数据是target-new K-shot support；old query与new query均只用于模型冻结后的统一评价，不能参与训练、调参、回滚或阈值选择。实验属于“官方方法语义＋CVS基座/数据接口适配”，不是原论文数据集数值复现。</w:t>
      </w:r>
    </w:p>
    <w:bookmarkEnd w:id="7"/>
    <w:p w14:paraId="2965CDD7">
      <w:pPr>
        <w:pStyle w:val="4"/>
        <w:keepNext/>
      </w:pPr>
      <w:bookmarkStart w:id="8" w:name="Xa5c3c5dc97a1f787a3a9294b6bba64696e83dab"/>
      <w:r>
        <w:rPr>
          <w:rFonts w:ascii="Times New Roman" w:hAnsi="Times New Roman" w:eastAsia="宋体" w:cs="Times New Roman"/>
          <w:sz w:val="26"/>
        </w:rPr>
        <w:t>4.2CSIL：通道隔离型无exemplar类增量学习</w:t>
      </w:r>
    </w:p>
    <w:p w14:paraId="174DC5CA">
      <w:r>
        <w:rPr>
          <w:rFonts w:ascii="Times New Roman" w:hAnsi="Times New Roman" w:eastAsia="宋体" w:cs="Times New Roman"/>
          <w:sz w:val="22"/>
        </w:rPr>
        <w:t>Liu等人提出的CSIL属于无exemplar、结构扩展型类增量方法[4]。其特点是冻结ADV3B02 backbone，以通道扩展和mask限制新类更新，再用EWC与KD保护旧类响应。</w:t>
      </w:r>
    </w:p>
    <w:p w14:paraId="6490F907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进入Phase2前，5879条source样本训练fc_bf_fp→zero-bias Fingerprints基座，2521条互斥source样本估计Fisher。Phase2只用target-new support训练；ADV3B02冻结，fc只更新新增行和bias，fingerprint只允许old-old与new-new块更新，两个交叉块保持为0。</w:t>
      </w:r>
    </w:p>
    <w:p w14:paraId="257B406D">
      <w:pPr>
        <w:pStyle w:val="19"/>
      </w:pPr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B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为新类support训练batch，</w:t>
      </w:r>
      <m:oMath>
        <m:sSub>
          <m:sSubPr/>
          <m:e>
            <m:r>
              <m:rPr/>
              <m:t>q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c</m:t>
            </m:r>
            <m:r>
              <m:rPr>
                <m:sty m:val="p"/>
              </m:rPr>
              <m:t>|</m:t>
            </m:r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为全部注册类概率。新类交叉熵为：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是当前新类support训练batch，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是当前模型对全部已注册类别的概率。</w:t>
      </w:r>
      <m:oMath xmlns:a="http://schemas.openxmlformats.org/drawingml/2006/main" xmlns:pic="http://schemas.openxmlformats.org/drawingml/2006/picture"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 w:cs="Times New Roman"/>
          <w:b w:val="0"/>
        </w:rPr>
        <w:t>是增量前冻结参数，</w:t>
      </w:r>
      <m:oMath xmlns:a="http://schemas.openxmlformats.org/drawingml/2006/main" xmlns:pic="http://schemas.openxmlformats.org/drawingml/2006/picture">
        <m:sSub>
          <m:e>
            <m:r>
              <m:t>θ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是当前第</w:t>
      </w:r>
      <m:oMath xmlns:a="http://schemas.openxmlformats.org/drawingml/2006/main" xmlns:pic="http://schemas.openxmlformats.org/drawingml/2006/picture">
        <m:r>
          <m:t>j</m:t>
        </m:r>
      </m:oMath>
      <w:r>
        <w:rPr>
          <w:rFonts w:ascii="Times New Roman" w:hAnsi="Times New Roman" w:eastAsia="宋体" w:cs="Times New Roman"/>
          <w:b w:val="0"/>
        </w:rPr>
        <w:t>个参数，</w:t>
      </w:r>
      <m:oMath xmlns:a="http://schemas.openxmlformats.org/drawingml/2006/main" xmlns:pic="http://schemas.openxmlformats.org/drawingml/2006/picture">
        <m:sSub>
          <m:e>
            <m:r>
              <m:t>F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是该参数对旧任务的重要性。EWC是Elastic Weight Consolidation（弹性权重固化），通过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E</m:t>
            </m:r>
            <m:r>
              <m:t>W</m:t>
            </m:r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限制重要参数漂移；KD是Knowledge Distillation（知识蒸馏），</w:t>
      </w:r>
      <m:oMath xmlns:a="http://schemas.openxmlformats.org/drawingml/2006/main" xmlns:pic="http://schemas.openxmlformats.org/drawingml/2006/picture">
        <m:sSubSup>
          <m:e>
            <m:r>
              <m:t>r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  <m:sup>
            <m:r>
              <m:rPr>
                <m:sty m:val="p"/>
              </m:rPr>
              <m:t>*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r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Times New Roman" w:hAnsi="Times New Roman" w:eastAsia="宋体" w:cs="Times New Roman"/>
          <w:b w:val="0"/>
        </w:rPr>
        <w:t>分别是旧模型与当前模型对旧类的fingerprint响应，系数</w:t>
      </w:r>
      <m:oMath xmlns:a="http://schemas.openxmlformats.org/drawingml/2006/main" xmlns:pic="http://schemas.openxmlformats.org/drawingml/2006/picture">
        <m:r>
          <m:t>1</m:t>
        </m:r>
        <m:r>
          <m:rPr>
            <m:sty m:val="p"/>
          </m:rPr>
          <m:t>/</m:t>
        </m:r>
        <m:r>
          <m:t>32</m:t>
        </m:r>
      </m:oMath>
      <w:r>
        <w:rPr>
          <w:rFonts w:ascii="Times New Roman" w:hAnsi="Times New Roman" w:eastAsia="宋体" w:cs="Times New Roman"/>
          <w:b w:val="0"/>
        </w:rPr>
        <w:t>按32维响应取均值。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C</m:t>
            </m:r>
            <m:r>
              <m:t>S</m:t>
            </m:r>
            <m:r>
              <m:t>I</m:t>
            </m:r>
            <m:r>
              <m:t>L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是新类CE、EWC和KD的加权和；SGDM是带动量的SGD；epoch是完整遍历训练集一次，batch size是一次参数更新读取的样本数</w:t>
      </w:r>
      <w:r>
        <w:rPr>
          <w:rFonts w:ascii="Times New Roman" w:hAnsi="Times New Roman" w:cs="Times New Roman" w:eastAsia="宋体"/>
        </w:rPr>
        <w:t>）</w:t>
      </w:r>
    </w:p>
    <w:p w14:paraId="0CBDE716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  <m:r>
                <m:rPr>
                  <m:sty m:val="p"/>
                </m:rPr>
                <m:t>,</m:t>
              </m:r>
              <m:r>
                <m:rPr/>
                <m:t>new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q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16D3D3A7">
      <w:r>
        <w:rPr>
          <w:rFonts w:ascii="Times New Roman" w:hAnsi="Times New Roman" w:eastAsia="宋体" w:cs="Times New Roman"/>
          <w:sz w:val="22"/>
        </w:rPr>
        <w:t>EWC使用Phase2前参数</w:t>
      </w:r>
      <m:oMath>
        <m:sSup>
          <m:sSupPr/>
          <m:e>
            <m:r>
              <m:rPr/>
              <m:t>θ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和Fisher重要性</w:t>
      </w:r>
      <m:oMath>
        <m:sSub>
          <m:sSubPr/>
          <m:e>
            <m:r>
              <m:rPr/>
              <m:t>F</m:t>
            </m:r>
          </m:e>
          <m:sub>
            <m:r>
              <m:rPr/>
              <m:t>j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：</w:t>
      </w:r>
    </w:p>
    <w:p w14:paraId="7A6C1914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EWC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j</m:t>
                  </m:r>
                </m:sub>
              </m:sSub>
            </m:e>
          </m:nary>
          <m:sSup>
            <m:sSup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∗</m:t>
                      </m:r>
                    </m:sup>
                  </m:sSubSup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4BCEC476">
      <w:r>
        <w:rPr>
          <w:rFonts w:ascii="Times New Roman" w:hAnsi="Times New Roman" w:eastAsia="宋体" w:cs="Times New Roman"/>
          <w:sz w:val="22"/>
        </w:rPr>
        <w:t>令</w:t>
      </w:r>
      <m:oMath>
        <m:sSubSup>
          <m:sSubSupPr/>
          <m:e>
            <m:r>
              <m:rPr/>
              <m:t>r</m:t>
            </m:r>
          </m:e>
          <m:sub>
            <m:r>
              <m:rPr/>
              <m:t>old</m:t>
            </m:r>
          </m:sub>
          <m:sup>
            <m:r>
              <m:rPr>
                <m:sty m:val="p"/>
              </m:rPr>
              <m:t>∗</m:t>
            </m:r>
          </m:sup>
        </m:sSubSup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r</m:t>
            </m:r>
          </m:e>
          <m:sub>
            <m:r>
              <m:rPr/>
              <m:t>old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为旧模型与当前模型的旧类fingerprint响应，官方KD为：</w:t>
      </w:r>
    </w:p>
    <w:p w14:paraId="190F531C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KD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32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x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Sup>
            <m:sSubSupPr/>
            <m:e>
              <m:r>
                <m:rPr/>
                <m:t>r</m:t>
              </m:r>
            </m:e>
            <m:sub>
              <m:r>
                <m:rPr/>
                <m:t>old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−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old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</m:e>
          </m:d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60A18EC2">
      <w:r>
        <w:rPr>
          <w:rFonts w:ascii="Times New Roman" w:hAnsi="Times New Roman" w:eastAsia="宋体" w:cs="Times New Roman"/>
          <w:sz w:val="22"/>
        </w:rPr>
        <w:t>实际执行总损失为：</w:t>
      </w:r>
    </w:p>
    <w:p w14:paraId="239F4AAA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CSIL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CE,new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EWC</m:t>
              </m:r>
            </m:sub>
          </m:sSub>
          <m:r>
            <m:rPr>
              <m:sty m:val="p"/>
            </m:rPr>
            <m:t>+</m:t>
          </m:r>
          <m:r>
            <m:rPr/>
            <m:t>0.2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KD</m:t>
              </m:r>
            </m:sub>
          </m:sSub>
        </m:oMath>
      </m:oMathPara>
    </w:p>
    <w:p w14:paraId="03C8F3F9">
      <w:r>
        <w:rPr>
          <w:rFonts w:ascii="Times New Roman" w:hAnsi="Times New Roman" w:eastAsia="宋体" w:cs="Times New Roman"/>
          <w:b/>
          <w:bCs/>
          <w:sz w:val="22"/>
        </w:rPr>
        <w:t>执行特点：</w:t>
      </w:r>
      <w:r>
        <w:rPr>
          <w:rFonts w:ascii="Times New Roman" w:hAnsi="Times New Roman" w:eastAsia="宋体" w:cs="Times New Roman"/>
          <w:sz w:val="22"/>
        </w:rPr>
        <w:t xml:space="preserve"> 3个epoch、batch size 20、drop_last=True，手工SGDM学习率为</w:t>
      </w:r>
      <m:oMath>
        <m:r>
          <m:rPr/>
          <m:t>0.01</m:t>
        </m:r>
        <m:r>
          <m:rPr>
            <m:sty m:val="p"/>
          </m:rPr>
          <m:t>/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+</m:t>
            </m:r>
            <m:r>
              <m:rPr/>
              <m:t>0.01t</m:t>
            </m:r>
          </m:e>
        </m:d>
      </m:oMath>
      <w:r>
        <w:rPr>
          <w:rFonts w:ascii="Times New Roman" w:hAnsi="Times New Roman" w:eastAsia="宋体" w:cs="Times New Roman"/>
          <w:sz w:val="22"/>
        </w:rPr>
        <w:t>。query用zero-bias全注册类argmax，训练步数为0。该方法旧类约束最强，但低K时可能没有完整batch，或者新类更新被旧类约束压制。</w:t>
      </w:r>
    </w:p>
    <w:bookmarkEnd w:id="8"/>
    <w:p w14:paraId="20EDCCBB">
      <w:pPr>
        <w:pStyle w:val="4"/>
        <w:keepNext/>
      </w:pPr>
      <w:bookmarkStart w:id="9" w:name="X71f2e484c158983947a2c66dcb2ce360d6afc56"/>
      <w:r>
        <w:rPr>
          <w:rFonts w:ascii="Times New Roman" w:hAnsi="Times New Roman" w:eastAsia="宋体" w:cs="Times New Roman"/>
          <w:sz w:val="26"/>
        </w:rPr>
        <w:t>4.3MoPC-HR：prototype校正与分层正则化</w:t>
      </w:r>
    </w:p>
    <w:p w14:paraId="31C19E8D">
      <w:r>
        <w:rPr>
          <w:rFonts w:ascii="Times New Roman" w:hAnsi="Times New Roman" w:eastAsia="宋体" w:cs="Times New Roman"/>
          <w:sz w:val="22"/>
        </w:rPr>
        <w:t>Li等人提出的MoPC-HR属于无exemplar、prototype校正型类增量方法[5]。其特点是允许完整ADV3B02随新类support更新，同时用旧prototype伪特征和分层参数正则限制遗忘。</w:t>
      </w:r>
    </w:p>
    <w:p w14:paraId="2725693E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进入Phase2前用全部8400条source旧类样本训练基座并保存6个old prototype。Phase2真实样本只来自target-new support；每个step另采样16个old prototype并加入</w:t>
      </w:r>
      <m:oMath>
        <m:r>
          <m:rPr/>
          <m:t>ϵ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sepChr m:val=""/>
          </m:dPr>
          <m:e>
            <m:r>
              <m:rPr/>
              <m:t>0</m:t>
            </m:r>
            <m:r>
              <m:rPr>
                <m:sty m:val="p"/>
              </m:rPr>
              <m:t>,</m:t>
            </m:r>
            <m:sSup>
              <m:sSupPr/>
              <m:e>
                <m:r>
                  <m:rPr/>
                  <m:t>0.05</m:t>
                </m:r>
              </m:e>
              <m:sup>
                <m:r>
                  <m:rPr/>
                  <m:t>2</m:t>
                </m:r>
              </m:sup>
            </m:sSup>
            <m:r>
              <m:rPr/>
              <m:t>I</m:t>
            </m:r>
          </m:e>
        </m:d>
      </m:oMath>
      <w:r>
        <w:rPr>
          <w:rFonts w:ascii="Times New Roman" w:hAnsi="Times New Roman" w:eastAsia="宋体" w:cs="Times New Roman"/>
          <w:sz w:val="22"/>
        </w:rPr>
        <w:t>。ADV3B02 backbone和Linear classifier均更新。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sub>
        </m:sSub>
      </m:oMath>
      <w:r>
        <w:rPr>
          <w:rFonts w:ascii="Times New Roman" w:hAnsi="Times New Roman" w:eastAsia="宋体" w:cs="Times New Roman"/>
          <w:b w:val="0"/>
        </w:rPr>
        <w:t>是被采样旧类</w:t>
      </w:r>
      <m:oMath xmlns:a="http://schemas.openxmlformats.org/drawingml/2006/main" xmlns:pic="http://schemas.openxmlformats.org/drawingml/2006/picture">
        <m:sSub>
          <m:e>
            <m:r>
              <m:t>c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的prototype，</w:t>
      </w:r>
      <m:oMath xmlns:a="http://schemas.openxmlformats.org/drawingml/2006/main" xmlns:pic="http://schemas.openxmlformats.org/drawingml/2006/picture">
        <m:sSub>
          <m:e>
            <m:r>
              <m:t>ϵ</m:t>
            </m:r>
          </m:e>
          <m:sub>
            <m:r>
              <m:t>r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  <m:r>
              <m:t>I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是零均值各向同性高斯扰动，</w:t>
      </w:r>
      <m:oMath xmlns:a="http://schemas.openxmlformats.org/drawingml/2006/main" xmlns:pic="http://schemas.openxmlformats.org/drawingml/2006/picture">
        <m:r>
          <m:t>I</m:t>
        </m:r>
      </m:oMath>
      <w:r>
        <w:rPr>
          <w:rFonts w:ascii="Times New Roman" w:hAnsi="Times New Roman" w:eastAsia="宋体" w:cs="Times New Roman"/>
          <w:b w:val="0"/>
        </w:rPr>
        <w:t>为单位矩阵，</w:t>
      </w:r>
      <m:oMath xmlns:a="http://schemas.openxmlformats.org/drawingml/2006/main" xmlns:pic="http://schemas.openxmlformats.org/drawingml/2006/picture"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r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是增强后的伪旧类特征。</w:t>
      </w: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是每次采样的旧prototype数，</w:t>
      </w:r>
      <m:oMath xmlns:a="http://schemas.openxmlformats.org/drawingml/2006/main" xmlns:pic="http://schemas.openxmlformats.org/drawingml/2006/picture">
        <m:sSub>
          <m:e>
            <m:r>
              <m:t>g</m:t>
            </m:r>
          </m:e>
          <m:sub>
            <m:r>
              <m:t>θ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是当前分类器，</w:t>
      </w:r>
      <m:oMath xmlns:a="http://schemas.openxmlformats.org/drawingml/2006/main" xmlns:pic="http://schemas.openxmlformats.org/drawingml/2006/picture">
        <m:r>
          <m:t>τ</m:t>
        </m:r>
      </m:oMath>
      <w:r>
        <w:rPr>
          <w:rFonts w:ascii="Times New Roman" w:hAnsi="Times New Roman" w:eastAsia="宋体" w:cs="Times New Roman"/>
          <w:b w:val="0"/>
        </w:rPr>
        <w:t>是softmax温度；softmax把logit转换为类别概率。</w:t>
      </w:r>
      <m:oMath xmlns:a="http://schemas.openxmlformats.org/drawingml/2006/main" xmlns:pic="http://schemas.openxmlformats.org/drawingml/2006/picture">
        <m:r>
          <m:rPr>
            <m:sty m:val="p"/>
          </m:rPr>
          <m:t>ℓ</m:t>
        </m:r>
      </m:oMath>
      <w:r>
        <w:rPr>
          <w:rFonts w:ascii="Times New Roman" w:hAnsi="Times New Roman" w:eastAsia="宋体" w:cs="Times New Roman"/>
          <w:b w:val="0"/>
        </w:rPr>
        <w:t>是参数组索引，</w:t>
      </w:r>
      <m:oMath xmlns:a="http://schemas.openxmlformats.org/drawingml/2006/main" xmlns:pic="http://schemas.openxmlformats.org/drawingml/2006/picture">
        <m:r>
          <m:t>L</m:t>
        </m:r>
      </m:oMath>
      <w:r>
        <w:rPr>
          <w:rFonts w:ascii="Times New Roman" w:hAnsi="Times New Roman" w:eastAsia="宋体" w:cs="Times New Roman"/>
          <w:b w:val="0"/>
        </w:rPr>
        <w:t>是参数组总数，</w:t>
      </w:r>
      <m:oMath xmlns:a="http://schemas.openxmlformats.org/drawingml/2006/main" xmlns:pic="http://schemas.openxmlformats.org/drawingml/2006/picture">
        <m:sSub>
          <m:e>
            <m:r>
              <m:t>a</m:t>
            </m:r>
          </m:e>
          <m:sub>
            <m:r>
              <m:rPr>
                <m:sty m:val="p"/>
              </m:rPr>
              <m:t>ℓ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是逐层正则权重，</w:t>
      </w:r>
      <m:oMath xmlns:a="http://schemas.openxmlformats.org/drawingml/2006/main" xmlns:pic="http://schemas.openxmlformats.org/drawingml/2006/picture">
        <m:sSubSup>
          <m:e>
            <m:r>
              <m:t>θ</m:t>
            </m:r>
          </m:e>
          <m:sub>
            <m:r>
              <m:rPr>
                <m:sty m:val="p"/>
              </m:rPr>
              <m:t>ℓ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与</w:t>
      </w:r>
      <m:oMath xmlns:a="http://schemas.openxmlformats.org/drawingml/2006/main" xmlns:pic="http://schemas.openxmlformats.org/drawingml/2006/picture">
        <m:sSub>
          <m:e>
            <m:r>
              <m:t>θ</m:t>
            </m:r>
          </m:e>
          <m:sub>
            <m:r>
              <m:rPr>
                <m:sty m:val="p"/>
              </m:rPr>
              <m:t>ℓ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分别是旧/当前参数组。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是旧类与新类prototype矩阵，</w:t>
      </w:r>
      <m:oMath xmlns:a="http://schemas.openxmlformats.org/drawingml/2006/main" xmlns:pic="http://schemas.openxmlformats.org/drawingml/2006/picture">
        <m:sSubSup>
          <m:e>
            <m:r>
              <m:t>P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是更新前的新类prototype；0.97/0.03是保留旧prototype与吸收校正量的固定动量系数</w:t>
      </w:r>
      <w:r>
        <w:rPr>
          <w:rFonts w:ascii="Times New Roman" w:hAnsi="Times New Roman" w:cs="Times New Roman" w:eastAsia="宋体"/>
        </w:rPr>
        <w:t>）</w:t>
      </w:r>
    </w:p>
    <w:p w14:paraId="56141708">
      <w:pPr>
        <w:pStyle w:val="19"/>
      </w:pPr>
      <w:r>
        <w:rPr>
          <w:rFonts w:ascii="Times New Roman" w:hAnsi="Times New Roman" w:eastAsia="宋体" w:cs="Times New Roman"/>
          <w:sz w:val="22"/>
        </w:rPr>
        <w:t>新类真实样本交叉熵为：</w:t>
      </w:r>
    </w:p>
    <w:p w14:paraId="16F325B7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  <m:r>
                <m:rPr>
                  <m:sty m:val="p"/>
                </m:rPr>
                <m:t>,</m:t>
              </m:r>
              <m:r>
                <m:rPr/>
                <m:t>new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q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4AEE8C1B">
      <w:r>
        <w:rPr>
          <w:rFonts w:ascii="Times New Roman" w:hAnsi="Times New Roman" w:eastAsia="宋体" w:cs="Times New Roman"/>
          <w:sz w:val="22"/>
        </w:rPr>
        <w:t>令</w:t>
      </w:r>
      <m:oMath>
        <m:sSub>
          <m:sSubPr/>
          <m:e>
            <m:acc>
              <m:accPr>
                <m:chr m:val="̃"/>
              </m:accPr>
              <m:e>
                <m:r>
                  <m:rPr/>
                  <m:t>z</m:t>
                </m:r>
              </m:e>
            </m:acc>
          </m:e>
          <m:sub>
            <m:r>
              <m:rPr/>
              <m:t>r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p</m:t>
            </m:r>
          </m:e>
          <m:sub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r</m:t>
                </m:r>
              </m:sub>
            </m:sSub>
          </m:sub>
        </m:sSub>
        <m:r>
          <m:rPr>
            <m:sty m:val="p"/>
          </m:rPr>
          <m:t>+</m:t>
        </m:r>
        <m:sSub>
          <m:sSubPr/>
          <m:e>
            <m:r>
              <m:rPr/>
              <m:t>ϵ</m:t>
            </m:r>
          </m:e>
          <m:sub>
            <m:r>
              <m:rPr/>
              <m:t>r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为增强后的旧类prototype，温度</w:t>
      </w:r>
      <m:oMath>
        <m:r>
          <m:rPr/>
          <m:t>τ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ascii="Times New Roman" w:hAnsi="Times New Roman" w:eastAsia="宋体" w:cs="Times New Roman"/>
          <w:sz w:val="22"/>
        </w:rPr>
        <w:t>，prototype augmentation损失为：</w:t>
      </w:r>
    </w:p>
    <w:p w14:paraId="789521B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protoAug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p</m:t>
                  </m:r>
                </m:sub>
              </m:sSub>
            </m:den>
          </m:f>
          <m:nary>
            <m:naryPr>
              <m:chr m:val="∑"/>
              <m:limLoc m:val="undOvr"/>
            </m:naryPr>
            <m:sub>
              <m:r>
                <m:rPr/>
                <m:t>r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p</m:t>
                  </m:r>
                </m:sub>
              </m:sSub>
            </m:sup>
            <m:e>
              <m:r>
                <m:rPr>
                  <m:sty m:val="p"/>
                </m:rPr>
                <m:t>log</m:t>
              </m:r>
            </m:e>
          </m:nary>
          <m:r>
            <m:rPr/>
            <m:t>softmax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g</m:t>
                          </m:r>
                        </m:e>
                        <m:sub>
                          <m:r>
                            <m:rPr/>
                            <m:t>θ</m:t>
                          </m:r>
                        </m:sub>
                      </m:sSub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rPr/>
                                    <m:t>z</m:t>
                                  </m:r>
                                </m:e>
                              </m:acc>
                            </m:e>
                            <m:sub>
                              <m:r>
                                <m:rPr/>
                                <m:t>r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m:rPr/>
                        <m:t>τ</m:t>
                      </m:r>
                    </m:den>
                  </m:f>
                </m:e>
              </m:d>
            </m:e>
            <m: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r</m:t>
                  </m:r>
                </m:sub>
              </m:sSub>
            </m:sub>
          </m:sSub>
        </m:oMath>
      </m:oMathPara>
    </w:p>
    <w:p w14:paraId="4E86CB15">
      <w:r>
        <w:rPr>
          <w:rFonts w:ascii="Times New Roman" w:hAnsi="Times New Roman" w:eastAsia="宋体" w:cs="Times New Roman"/>
          <w:sz w:val="22"/>
        </w:rPr>
        <w:t>公开trainer对第</w:t>
      </w:r>
      <m:oMath>
        <m:r>
          <m:rPr>
            <m:sty m:val="p"/>
          </m:rPr>
          <m:t>ℓ</m:t>
        </m:r>
      </m:oMath>
      <w:r>
        <w:rPr>
          <w:rFonts w:ascii="Times New Roman" w:hAnsi="Times New Roman" w:eastAsia="宋体" w:cs="Times New Roman"/>
          <w:sz w:val="22"/>
        </w:rPr>
        <w:t>组参数使用递减系数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−</m:t>
        </m:r>
        <m:d>
          <m:dPr>
            <m:sepChr m:val=""/>
          </m:dPr>
          <m:e>
            <m:r>
              <m:rPr>
                <m:sty m:val="p"/>
              </m:rPr>
              <m:t>ℓ−</m:t>
            </m:r>
            <m:r>
              <m:rPr/>
              <m:t>1</m:t>
            </m:r>
          </m:e>
        </m:d>
        <m:r>
          <m:rPr>
            <m:sty m:val="p"/>
          </m:rPr>
          <m:t>/</m:t>
        </m:r>
        <m:r>
          <m:rPr/>
          <m:t>L</m:t>
        </m:r>
      </m:oMath>
      <w:r>
        <w:rPr>
          <w:rFonts w:ascii="Times New Roman" w:hAnsi="Times New Roman" w:eastAsia="宋体" w:cs="Times New Roman"/>
          <w:sz w:val="22"/>
        </w:rPr>
        <w:t>，分层正则为：</w:t>
      </w:r>
    </w:p>
    <w:p w14:paraId="54942E6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HR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>
                  <m:sty m:val="p"/>
                </m:rPr>
                <m:t>ℓ=</m:t>
              </m:r>
              <m:r>
                <m:rPr/>
                <m:t>1</m:t>
              </m:r>
            </m:sub>
            <m:sup>
              <m:r>
                <m:rPr/>
                <m:t>L</m:t>
              </m:r>
            </m:sup>
            <m:e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</m:sSub>
            </m:e>
          </m:nary>
          <m:r>
            <m:rPr>
              <m:sty m:val="p"/>
            </m:rPr>
            <m:t>∥</m:t>
          </m:r>
          <m:sSub>
            <m:sSubPr/>
            <m:e>
              <m:r>
                <m:rPr/>
                <m:t>θ</m:t>
              </m:r>
            </m:e>
            <m:sub>
              <m:r>
                <m:rPr>
                  <m:sty m:val="p"/>
                </m:rPr>
                <m:t>ℓ</m:t>
              </m:r>
            </m:sub>
          </m:sSub>
          <m:r>
            <m:rPr>
              <m:sty m:val="p"/>
            </m:rPr>
            <m:t>−</m:t>
          </m:r>
          <m:sSubSup>
            <m:sSubSupPr/>
            <m:e>
              <m:r>
                <m:rPr/>
                <m:t>θ</m:t>
              </m:r>
            </m:e>
            <m:sub>
              <m:r>
                <m:rPr>
                  <m:sty m:val="p"/>
                </m:rPr>
                <m:t>ℓ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>
            <m:sSub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</m:sSub>
        </m:oMath>
      </m:oMathPara>
    </w:p>
    <w:p w14:paraId="7CD82318">
      <w:r>
        <w:rPr>
          <w:rFonts w:ascii="Times New Roman" w:hAnsi="Times New Roman" w:eastAsia="宋体" w:cs="Times New Roman"/>
          <w:sz w:val="22"/>
        </w:rPr>
        <w:t>实际执行总损失为：</w:t>
      </w:r>
    </w:p>
    <w:p w14:paraId="0058A284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MoPC-HR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CE,new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protoAug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HR</m:t>
              </m:r>
            </m:sub>
          </m:sSub>
        </m:oMath>
      </m:oMathPara>
    </w:p>
    <w:p w14:paraId="3E698ECB">
      <w:r>
        <w:rPr>
          <w:rFonts w:ascii="Times New Roman" w:hAnsi="Times New Roman" w:eastAsia="宋体" w:cs="Times New Roman"/>
          <w:sz w:val="22"/>
        </w:rPr>
        <w:t>公开代码还计算KD用于日志，但KD不进入总loss。训练后prototype校正为：</w:t>
      </w:r>
    </w:p>
    <w:p w14:paraId="46DA55D6">
      <w:pPr>
        <w:pStyle w:val="19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̃"/>
                </m:accPr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r>
            <m:rPr/>
            <m:t>0.97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+</m:t>
          </m:r>
          <m:r>
            <m:rPr/>
            <m:t>0.03softmax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old</m:t>
                  </m:r>
                </m:sub>
              </m:sSub>
              <m:sSup>
                <m:sSupPr/>
                <m:e>
                  <m:d>
                    <m:dPr>
                      <m:sepChr m:val=""/>
                    </m:dPr>
                    <m:e>
                      <m:sSubSup>
                        <m:sSubSupPr/>
                        <m:e>
                          <m:r>
                            <m:rPr/>
                            <m:t>P</m:t>
                          </m:r>
                        </m:e>
                        <m:sub>
                          <m:r>
                            <m:rPr/>
                            <m:t>new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∗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d>
            <m:dPr>
              <m:sepChr m:val=""/>
            </m:dPr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new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P</m:t>
                  </m:r>
                </m:e>
                <m:sub>
                  <m:r>
                    <m:rPr/>
                    <m:t>new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</m:e>
          </m:d>
        </m:oMath>
      </m:oMathPara>
    </w:p>
    <w:p w14:paraId="1BDC43F1">
      <w:r>
        <w:rPr>
          <w:rFonts w:ascii="Times New Roman" w:hAnsi="Times New Roman" w:eastAsia="宋体" w:cs="Times New Roman"/>
          <w:b/>
          <w:bCs/>
          <w:sz w:val="22"/>
        </w:rPr>
        <w:t>执行特点：</w:t>
      </w:r>
      <w:r>
        <w:rPr>
          <w:rFonts w:ascii="Times New Roman" w:hAnsi="Times New Roman" w:eastAsia="宋体" w:cs="Times New Roman"/>
          <w:sz w:val="22"/>
        </w:rPr>
        <w:t xml:space="preserve"> 20个epoch、batch size 16、SGD学习率0.01。正式CVS query仍使用当前模型的全注册类classifier logits，而不是校正prototype。该方法新类可塑性强于CSIL，但完整backbone更新会放大旧类遗忘。</w:t>
      </w:r>
    </w:p>
    <w:bookmarkEnd w:id="9"/>
    <w:p w14:paraId="48787FDB">
      <w:pPr>
        <w:pStyle w:val="4"/>
        <w:keepNext/>
      </w:pPr>
      <w:bookmarkStart w:id="10" w:name="X5001bd00c1e45a019c9ebc60a72c3cd7b05aeed"/>
      <w:r>
        <w:rPr>
          <w:rFonts w:ascii="Times New Roman" w:hAnsi="Times New Roman" w:eastAsia="宋体" w:cs="Times New Roman"/>
          <w:sz w:val="26"/>
        </w:rPr>
        <w:t>4.4CSIL与MoPC-HR机制对比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3597"/>
        <w:gridCol w:w="4200"/>
      </w:tblGrid>
      <w:tr w14:paraId="27DCF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BD7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比较维度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C44E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CSIL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083B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MoPC-HR</w:t>
            </w:r>
          </w:p>
        </w:tc>
      </w:tr>
      <w:tr w14:paraId="30498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116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主要方法类别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8BEA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结构扩展与通道隔离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A711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prototype校正与分层正则</w:t>
            </w:r>
          </w:p>
        </w:tc>
      </w:tr>
      <w:tr w14:paraId="51D08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AB51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历史原始样本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7DF3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不保存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2B56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不保存</w:t>
            </w:r>
          </w:p>
        </w:tc>
      </w:tr>
      <w:tr w14:paraId="03AF9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7AE2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Phase2真实训练样本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00F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target-new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AC7C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target-new support＋旧prototype伪特征</w:t>
            </w:r>
          </w:p>
        </w:tc>
      </w:tr>
      <w:tr w14:paraId="76960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6D8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保留的历史状态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CFB9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旧模型、fingerprint结构、Fisher重要参数统计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8C9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旧类prototype、旧模型参数</w:t>
            </w:r>
          </w:p>
        </w:tc>
      </w:tr>
      <w:tr w14:paraId="1CB4F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4A1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ADV3B02增量更新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843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7AF2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不冻结</w:t>
            </w:r>
          </w:p>
        </w:tc>
      </w:tr>
      <w:tr w14:paraId="61B1C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9CE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实际损失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09A5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CE-new＋EWC＋0.2KD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34F0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CE-new＋protoAug＋逐参数非平方L2 HR；KD仅记录</w:t>
            </w:r>
          </w:p>
        </w:tc>
      </w:tr>
      <w:tr w14:paraId="45DA1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D085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旧类保护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C54C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mask、冻结、KD、EWC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ED9B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prototype增强、HR、旧参数参考</w:t>
            </w:r>
          </w:p>
        </w:tc>
      </w:tr>
      <w:tr w14:paraId="6D284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19AB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最终query规则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5B7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zero-bias全注册类argmax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636D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当前模型全注册类classifier logits argmax</w:t>
            </w:r>
          </w:p>
        </w:tc>
      </w:tr>
      <w:tr w14:paraId="0F2F2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8E9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主要风险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6D39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过度保护旧类，新类不注册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CDEA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新类学得快，但旧类遗忘</w:t>
            </w:r>
          </w:p>
        </w:tc>
      </w:tr>
      <w:tr w14:paraId="12482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A790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部署特征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2346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结构复杂、容量增长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0B05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状态较紧凑，但仍需多轮训练</w:t>
            </w:r>
          </w:p>
        </w:tc>
      </w:tr>
      <w:bookmarkEnd w:id="10"/>
    </w:tbl>
    <w:p w14:paraId="2FA595CC">
      <w:pPr>
        <w:pStyle w:val="4"/>
        <w:keepNext/>
      </w:pPr>
      <w:r>
        <w:rPr>
          <w:rFonts w:ascii="Times New Roman" w:hAnsi="Times New Roman" w:eastAsia="宋体" w:cs="Times New Roman"/>
        </w:rPr>
        <w:t>4.5正式LEO弱信道逐配置结果</w:t>
      </w:r>
    </w:p>
    <w:p w14:paraId="54C54BCE">
      <w:pPr>
        <w:pStyle w:val="5"/>
        <w:keepNext/>
      </w:pPr>
      <w:r>
        <w:rPr>
          <w:rFonts w:ascii="Times New Roman" w:hAnsi="Times New Roman" w:eastAsia="宋体" w:cs="Times New Roman"/>
        </w:rPr>
        <w:t>4.5.1逐配置结果</w:t>
      </w:r>
    </w:p>
    <w:p w14:paraId="785E7855">
      <w:pPr>
        <w:pStyle w:val="19"/>
        <w:keepNext w:val="0"/>
      </w:pPr>
      <w:r>
        <w:rPr>
          <w:rFonts w:ascii="Times New Roman" w:hAnsi="Times New Roman" w:eastAsia="宋体" w:cs="Times New Roman"/>
        </w:rPr>
        <w:t>下表直接采用《学习进展情况+7.24》中的正式LEO结果，按K-shot、方法和新类数逐项展开。旧类与新类query只用于冻结后评价；表内数值保持周报原口径，不再汇总为跨条件总均值，也不跨行拼接“最佳指标”。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1310"/>
        <w:gridCol w:w="936"/>
        <w:gridCol w:w="1591"/>
        <w:gridCol w:w="1591"/>
        <w:gridCol w:w="1591"/>
        <w:gridCol w:w="1499"/>
      </w:tblGrid>
      <w:tr w14:paraId="45D7E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4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F28CCA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K-shot</w:t>
            </w:r>
          </w:p>
        </w:tc>
        <w:tc>
          <w:tcPr>
            <w:tcW w:w="1310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9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8DAFD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新类数</w:t>
            </w:r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post</m:t>
                    </m:r>
                  </m:sup>
                </m:sSubSup>
              </m:oMath>
            </m:oMathPara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499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 w14:paraId="2FF7B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32711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63170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75C25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DE376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43178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475F4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55CDF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5857E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0BDA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E0B81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57664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45993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E3611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B17FF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D9AE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57859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96A27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68B5A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FDED4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A4273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0.78%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7E690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5.17%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2709D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0.54%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E0CE9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82.92%</w:t>
            </w:r>
          </w:p>
        </w:tc>
      </w:tr>
      <w:tr w14:paraId="70261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9155D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CC3DB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71862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E1CDA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87.47%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FEB9B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19BDF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52A3D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2D267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E01D3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6BD538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042C0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771D8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87.47%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1C094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0.02%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77651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0.04%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CCCFB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7EC2C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CD895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E209A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0F83D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E69B0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77.44%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2C630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25.65%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2B8C7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37.97%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A7B1B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10.02%</w:t>
            </w:r>
          </w:p>
        </w:tc>
      </w:tr>
      <w:tr w14:paraId="14F3F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F9339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AA12EE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697B0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ECF8C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63.80%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19B07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22.08%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C4182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32.30%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3015E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23.67%</w:t>
            </w:r>
          </w:p>
        </w:tc>
      </w:tr>
      <w:tr w14:paraId="0EBD4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443D7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12DD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18B1D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DC573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58.73%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F5AA0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14.82%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66294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23.43%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3DE66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28.73%</w:t>
            </w:r>
          </w:p>
        </w:tc>
      </w:tr>
      <w:tr w14:paraId="1C191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D9550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AE1DB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B6548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55353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E1047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FB8F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C2486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48AA8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82709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7B2DC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6B0F1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B2FD8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AB620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EA67D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5AE36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1BA2B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410BA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66C85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4049B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6562C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8.33%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31611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5.49%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315DF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3.17%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020D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75.37%</w:t>
            </w:r>
          </w:p>
        </w:tc>
      </w:tr>
      <w:tr w14:paraId="7B193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08266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C3DAA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DC5AB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8FF4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87.47%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0F25E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41186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AF516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3F2BE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8F3EA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FFC8D8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B6B8B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3CA5A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66.78%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B4A90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50.40%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3648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56.78%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EFBE1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20.69%</w:t>
            </w:r>
          </w:p>
        </w:tc>
      </w:tr>
      <w:tr w14:paraId="212A9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577F1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67DD4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4DF07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B7250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47.38%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57B74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50.52%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D2BC9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48.05%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F7A52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40.09%</w:t>
            </w:r>
          </w:p>
        </w:tc>
      </w:tr>
      <w:tr w14:paraId="038DC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578D1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6C569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A48FC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27FB2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44.69%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E1935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33.15%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272DF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37.57%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31182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42.78%</w:t>
            </w:r>
          </w:p>
        </w:tc>
      </w:tr>
      <w:tr w14:paraId="60522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80C54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EB800E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886B2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D8C3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44.99%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67957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22.31%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673A0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29.32%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21677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42.48%</w:t>
            </w:r>
          </w:p>
        </w:tc>
      </w:tr>
      <w:tr w14:paraId="4DCED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CFB17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761F3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79077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FE177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D6910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7D247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DC70C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0B5F1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8D5AB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79EE95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4ECB2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BD97A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0.08%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583ED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34.04%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8AB5A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0.14%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4230A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83.62%</w:t>
            </w:r>
          </w:p>
        </w:tc>
      </w:tr>
      <w:tr w14:paraId="0BAB0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7A40B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B4DE5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714AD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7894E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59.84%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F8CB8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5.64%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D8DDA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9.96%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EA5F4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23.86%</w:t>
            </w:r>
          </w:p>
        </w:tc>
      </w:tr>
      <w:tr w14:paraId="4D160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68D4F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0A16F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97194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F798C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60.76%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8DC52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96.53%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F728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72.69%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60927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26.71%</w:t>
            </w:r>
          </w:p>
        </w:tc>
      </w:tr>
      <w:tr w14:paraId="70ED3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255F4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364C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F9E4D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F8765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48.96%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F9341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71.47%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4EB7B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57.23%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81C65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38.51%</w:t>
            </w:r>
          </w:p>
        </w:tc>
      </w:tr>
      <w:tr w14:paraId="764FC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6E6E3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8EB59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D4701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A038E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33.28%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CAD7C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61.31%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510E3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41.09%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A314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54.19%</w:t>
            </w:r>
          </w:p>
        </w:tc>
      </w:tr>
      <w:tr w14:paraId="3563C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94E9D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AA16F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96273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F0FD7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34.07%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DDEB5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41.36%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2347E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35.48%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8163D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53.40%</w:t>
            </w:r>
          </w:p>
        </w:tc>
      </w:tr>
      <w:tr w14:paraId="489F9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1FE4E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0EE7B9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8FB06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0AF71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36.66%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E37C6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27.86%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ECB8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30.23%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6D25B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50.81%</w:t>
            </w:r>
          </w:p>
        </w:tc>
      </w:tr>
    </w:tbl>
    <w:p w14:paraId="6AD37733">
      <w:pPr>
        <w:pStyle w:val="5"/>
        <w:keepNext/>
      </w:pPr>
      <w:r>
        <w:rPr>
          <w:rFonts w:ascii="Times New Roman" w:hAnsi="Times New Roman" w:eastAsia="宋体" w:cs="Times New Roman"/>
        </w:rPr>
        <w:t>4.5.2主要现象</w:t>
      </w:r>
    </w:p>
    <w:p w14:paraId="2F2FB097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低K、少新类时存在零注册。</w:t>
      </w:r>
      <w:r>
        <w:rPr>
          <w:rFonts w:ascii="Times New Roman" w:hAnsi="Times New Roman" w:eastAsia="宋体" w:cs="Times New Roman"/>
          <w:b w:val="0"/>
        </w:rPr>
        <w:t>CSIL在K=5/10且新类数为1或3时seen_new_acc为0；MoPC-HR在K=5或10、新类数为1时也为0。</w:t>
      </w:r>
    </w:p>
    <w:p w14:paraId="6EAE2E34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MoPC-HR的可塑性更强，但会牺牲旧类。</w:t>
      </w:r>
      <w:r>
        <w:rPr>
          <w:rFonts w:ascii="Times New Roman" w:hAnsi="Times New Roman" w:eastAsia="宋体" w:cs="Times New Roman"/>
          <w:b w:val="0"/>
        </w:rPr>
        <w:t>K=20、新类数1时seen_new_acc为96.53%，H_old_new为72.69%；与此同时，old_acc_after降至60.76%，forgetting为26.71个百分点。</w:t>
      </w:r>
    </w:p>
    <w:p w14:paraId="708924D1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新类规模扩大后联合性能下降。</w:t>
      </w:r>
      <w:r>
        <w:rPr>
          <w:rFonts w:ascii="Times New Roman" w:hAnsi="Times New Roman" w:eastAsia="宋体" w:cs="Times New Roman"/>
          <w:b w:val="0"/>
        </w:rPr>
        <w:t>MoPC-HR在K=20时，新类数从1增加到25，seen_new_acc从96.53%降至27.86%，old_acc_after也从60.76%降至36.66%。</w:t>
      </w:r>
    </w:p>
    <w:p w14:paraId="0F426BDF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CSIL呈现明显的稳定性—可塑性极端。</w:t>
      </w:r>
      <w:r>
        <w:rPr>
          <w:rFonts w:ascii="Times New Roman" w:hAnsi="Times New Roman" w:eastAsia="宋体" w:cs="Times New Roman"/>
          <w:b w:val="0"/>
        </w:rPr>
        <w:t>小规模时旧类几乎完全保留但新类不注册；部分较大规模或高K切片中，新类开始被学习，却伴随旧类显著下降。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4.5.3qKNN与类增量方法的共同LEO切片对照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qKNN完成125/125个任务和375/375个LEO场景，失败数为0。下表在K1/new20、K5/new20、K10/new5、K10/new10和K10/new20五个共同切片上，对照qKNN与CSIL、MoPC-HR官方流程的三场景平均结果。CSIL和MoPC-HR使用seed 713101–713105，qKNN使用713102–713106；三者的base训练、状态构造和训练权限也不同，因此该表是同LEO场景的描述性对照，不是严格paired显著性比较。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310"/>
        <w:gridCol w:w="2152"/>
        <w:gridCol w:w="1216"/>
        <w:gridCol w:w="1216"/>
        <w:gridCol w:w="1123"/>
        <w:gridCol w:w="1123"/>
        <w:gridCol w:w="1220"/>
      </w:tblGrid>
      <w:tr>
        <w:trPr>
          <w:tblHeader w:val="true"/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切片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方法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5"/>
              </w:rPr>
              <w:t>适应前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5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post</m:t>
                    </m:r>
                  </m:sup>
                </m:sSubSup>
              </m:oMath>
            </m:oMathPara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68.144%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44.033%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27.150%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33.410%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24.111pp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40.722%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1.363%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2.603%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4.600pp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K5/new20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81.267%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63.711%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58.883%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60.955%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17.556pp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K5/new20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0.200%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5.557%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0.316%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42.633pp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K5/new20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13.511%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17.433%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14.309%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31.811pp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K10/new5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86.111%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76.189%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74.133%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74.803%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9.922pp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K10/new5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0.689%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20.413%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1.264%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42.144pp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K10/new5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9.322%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49.547%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14.947%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36.000pp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K10/new10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86.111%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72.533%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66.353%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69.106%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13.578pp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K10/new10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10.460%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K10/new10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9.500%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32.900%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13.770%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35.822pp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86.111%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71.333%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68.150%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69.555%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14.778pp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38.222%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1.660%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2.979%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4.611pp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7.611%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25.187%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10.695%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37.711pp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qKNN在五个共同切片上的旧新调和均值均高于两种论文流程，但不能把差距全部归因于qKNN算法：qKNN的Stage2-B旧类状态明显更强，方法生命周期和允许使用的历史状态也不同。qKNN在K10/new20得到注册后旧类71.333%、新类68.150%、调和均值69.555%，遗忘14.778个百分点；相对其matched D81控制，它改善旧类和遗忘，但新类下降且全部绝对性能门仍失败。正式结论保持COMPLETED_DIAGNOSTIC_NEGATIVE_NOT_PROMOTABLE，不能表述为qKNN已完成晋级。</w:t>
      </w:r>
    </w:p>
    <w:p w14:paraId="7042E6F0">
      <w:pPr>
        <w:pStyle w:val="4"/>
        <w:keepNext/>
      </w:pPr>
      <w:r>
        <w:rPr>
          <w:rFonts w:ascii="Times New Roman" w:hAnsi="Times New Roman" w:eastAsia="宋体" w:cs="Times New Roman"/>
        </w:rPr>
        <w:t>4.6matched无LEO新类归因诊断</w:t>
      </w:r>
    </w:p>
    <w:p w14:paraId="7254FD14">
      <w:pPr>
        <w:pStyle w:val="5"/>
        <w:keepNext/>
      </w:pPr>
      <w:r>
        <w:rPr>
          <w:rFonts w:ascii="Times New Roman" w:hAnsi="Times New Roman" w:eastAsia="宋体" w:cs="Times New Roman"/>
        </w:rPr>
        <w:t>4.6.1逐配置结果</w:t>
      </w:r>
    </w:p>
    <w:p w14:paraId="308E9191">
      <w:pPr>
        <w:pStyle w:val="19"/>
        <w:keepNext w:val="0"/>
      </w:pPr>
      <w:r>
        <w:rPr>
          <w:rFonts w:ascii="Times New Roman" w:hAnsi="Times New Roman" w:eastAsia="宋体" w:cs="Times New Roman"/>
        </w:rPr>
        <w:t>该诊断保持方法、物理样本ID、support/query划分、K-shot和旧类评测条件一致，只把新类support/query替换为未叠加LEO的同一物理记录。结果永久标记为DIAGNOSTIC_NEW_CLASS_NO_LEO_NON_FORMAL。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1310"/>
        <w:gridCol w:w="936"/>
        <w:gridCol w:w="1872"/>
        <w:gridCol w:w="1497"/>
        <w:gridCol w:w="1497"/>
        <w:gridCol w:w="1406"/>
      </w:tblGrid>
      <w:tr w14:paraId="6AC61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4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E8200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K-shot</w:t>
            </w:r>
          </w:p>
        </w:tc>
        <w:tc>
          <w:tcPr>
            <w:tcW w:w="1310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9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7649D2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新类数</w:t>
            </w:r>
          </w:p>
        </w:tc>
        <w:tc>
          <w:tcPr>
            <w:tcW w:w="187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49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post</m:t>
                    </m:r>
                  </m:sup>
                </m:sSubSup>
              </m:oMath>
            </m:oMathPara>
          </w:p>
        </w:tc>
        <w:tc>
          <w:tcPr>
            <w:tcW w:w="14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 w14:paraId="32EE4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BD2AC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9211C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A2729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CF75A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4B2DF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0CA9E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12E0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</w:tr>
      <w:tr w14:paraId="060F6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08DE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2C973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2745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B0B9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8.05%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3E3AA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+2.88pp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D0D58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-0.78pp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DC2CE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-0.54pp</w:t>
            </w:r>
          </w:p>
        </w:tc>
      </w:tr>
      <w:tr w14:paraId="7BC4B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37ABA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BC8999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DC3BC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01A76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971C4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-0.02pp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24D26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3688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-0.04pp</w:t>
            </w:r>
          </w:p>
        </w:tc>
      </w:tr>
      <w:tr w14:paraId="0D100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5E9F3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75F55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DB99E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0E6B9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54.33%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B0750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+28.68pp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BA846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-33.44pp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6BABB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+6.75pp</w:t>
            </w:r>
          </w:p>
        </w:tc>
      </w:tr>
      <w:tr w14:paraId="341FF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90D2E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3C5E3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42016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9761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63.29%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8030F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+41.21pp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9F6B7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-38.09pp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C02A9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+3.56pp</w:t>
            </w:r>
          </w:p>
        </w:tc>
      </w:tr>
      <w:tr w14:paraId="79209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2C0D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23F1B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0E306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5F391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51.02%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F9C2A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+36.20pp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ED1DE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-40.32pp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0C60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+3.23pp</w:t>
            </w:r>
          </w:p>
        </w:tc>
      </w:tr>
      <w:tr w14:paraId="70356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1856D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AAE616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70C3F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60D59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34F6E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FD182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07088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</w:tr>
      <w:tr w14:paraId="34782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AFD88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81D5D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60CAA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598AD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4.98%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1EED1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-0.50pp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216A4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+48.69pp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22A9A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+3.10pp</w:t>
            </w:r>
          </w:p>
        </w:tc>
      </w:tr>
      <w:tr w14:paraId="422F0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D24EF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BDDD8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260D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EE25A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63.04%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C55FB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+12.64pp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4648A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-12.68pp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CEC9A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-0.98pp</w:t>
            </w:r>
          </w:p>
        </w:tc>
      </w:tr>
      <w:tr w14:paraId="576BE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063F7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C3439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F318F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7021C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90.91%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A5E3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+40.39pp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1184F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-19.80pp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AC70F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-6.12pp</w:t>
            </w:r>
          </w:p>
        </w:tc>
      </w:tr>
      <w:tr w14:paraId="64CAC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2DEC0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709AB5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F8291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3A978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75.63%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2EF77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+42.48pp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79E00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-29.12pp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8AE00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-12.28pp</w:t>
            </w:r>
          </w:p>
        </w:tc>
      </w:tr>
      <w:tr w14:paraId="3CBB5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4391D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DB8BF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BBCFE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779AB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64.38%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DE4F9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+42.07pp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CA2A2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-35.71pp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BA465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-13.64pp</w:t>
            </w:r>
          </w:p>
        </w:tc>
      </w:tr>
      <w:tr w14:paraId="77323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02B51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0E8B8A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EF805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897FD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45.09%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384DC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+11.04pp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3E43D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-0.08pp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C5C8E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-0.14pp</w:t>
            </w:r>
          </w:p>
        </w:tc>
      </w:tr>
      <w:tr w14:paraId="4D2AF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6F9A9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197DD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89767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17232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5.03%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91B7E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-0.61pp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A8C2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+2.00pp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98465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-0.98pp</w:t>
            </w:r>
          </w:p>
        </w:tc>
      </w:tr>
      <w:tr w14:paraId="4D49A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003CC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FFD46A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DC694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23BD1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95.64%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BEC20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+24.18pp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44065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+5.46pp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00070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+10.85pp</w:t>
            </w:r>
          </w:p>
        </w:tc>
      </w:tr>
      <w:tr w14:paraId="0E5EA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82EE9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98725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F056D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61697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94.85%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14F87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+33.55pp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AAEC3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-10.28pp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7AE0C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-4.69pp</w:t>
            </w:r>
          </w:p>
        </w:tc>
      </w:tr>
      <w:tr w14:paraId="0DA2D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8B7AC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B66EEA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5C627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4A6BF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81.81%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9F2D3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+40.45pp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380C8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-20.38pp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C16CA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-12.51pp</w:t>
            </w:r>
          </w:p>
        </w:tc>
      </w:tr>
      <w:tr w14:paraId="3CA2D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438F2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66FA0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651D6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94A2A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70.26%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0D669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+42.40pp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B0135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-29.78pp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A7BD9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-18.16pp</w:t>
            </w:r>
          </w:p>
        </w:tc>
      </w:tr>
    </w:tbl>
    <w:p w14:paraId="34988A19">
      <w:pPr>
        <w:pStyle w:val="19"/>
        <w:keepNext w:val="0"/>
      </w:pPr>
      <w:r>
        <w:rPr>
          <w:rFonts w:ascii="Times New Roman" w:hAnsi="Times New Roman" w:eastAsia="宋体" w:cs="Times New Roman"/>
        </w:rPr>
        <w:t>Δ表示无LEO诊断相对正式LEO结果的变化。</w:t>
      </w:r>
    </w:p>
    <w:p w14:paraId="10058240">
      <w:pPr>
        <w:pStyle w:val="5"/>
        <w:keepNext/>
      </w:pPr>
      <w:r>
        <w:rPr>
          <w:rFonts w:ascii="Times New Roman" w:hAnsi="Times New Roman" w:eastAsia="宋体" w:cs="Times New Roman"/>
        </w:rPr>
        <w:t>4.6.2诊断解读</w:t>
      </w:r>
    </w:p>
    <w:p w14:paraId="144AAB78">
      <w:pPr>
        <w:pStyle w:val="19"/>
        <w:keepNext w:val="0"/>
      </w:pPr>
      <w:r>
        <w:rPr>
          <w:rFonts w:ascii="Times New Roman" w:hAnsi="Times New Roman" w:eastAsia="宋体" w:cs="Times New Roman"/>
        </w:rPr>
        <w:t>移除新类LEO扰动后，MoPC-HR的新类准确率在多数切片显著提高，说明信道失真确实破坏了新类特征与旧类prototype之间的几何关系。但新类学得更好不一定提高H_old_new：新类梯度更强时，旧类准确率可能进一步下降。</w:t>
      </w:r>
    </w:p>
    <w:p w14:paraId="159F0B70">
      <w:pPr>
        <w:pStyle w:val="19"/>
        <w:keepNext w:val="0"/>
      </w:pPr>
      <w:r>
        <w:rPr>
          <w:rFonts w:ascii="Times New Roman" w:hAnsi="Times New Roman" w:eastAsia="宋体" w:cs="Times New Roman"/>
        </w:rPr>
        <w:t>例如K=10、新类数10时，无LEO使seen_new_acc提高42.48个百分点，但old_acc_after下降29.12个百分点，H_old_new反而下降12.28个百分点。该诊断只能用于信道归因，不能替代正式卫星场景结果或用于方法晋级。</w:t>
      </w:r>
    </w:p>
    <w:p w14:paraId="27A644C9">
      <w:pPr>
        <w:pStyle w:val="4"/>
        <w:keepNext/>
      </w:pPr>
      <w:bookmarkStart w:id="11" w:name="X31943cb66b4f1a5bd38bc2ce323d836de6d2278"/>
      <w:r>
        <w:rPr>
          <w:rFonts w:ascii="Times New Roman" w:hAnsi="Times New Roman" w:eastAsia="宋体" w:cs="Times New Roman"/>
          <w:sz w:val="26"/>
        </w:rPr>
        <w:t>4.7低K条件下的零注册问题</w:t>
      </w:r>
    </w:p>
    <w:p w14:paraId="14D037E3">
      <w:r>
        <w:rPr>
          <w:rFonts w:ascii="Times New Roman" w:hAnsi="Times New Roman" w:eastAsia="宋体" w:cs="Times New Roman"/>
          <w:sz w:val="22"/>
        </w:rPr>
        <w:t>若增量阶段只有</w:t>
      </w:r>
      <m:oMath>
        <m:sSub>
          <m:sSub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new</m:t>
            </m:r>
          </m:sub>
        </m:sSub>
        <m:r>
          <m:rPr>
            <m:sty m:val="p"/>
          </m:rPr>
          <m:t>×</m:t>
        </m:r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个样本，batch size为</w:t>
      </w:r>
      <m:oMath>
        <m:r>
          <m:rPr/>
          <m:t>B</m:t>
        </m:r>
      </m:oMath>
      <w:r>
        <w:rPr>
          <w:rFonts w:ascii="Times New Roman" w:hAnsi="Times New Roman" w:eastAsia="宋体" w:cs="Times New Roman"/>
          <w:sz w:val="22"/>
        </w:rPr>
        <w:t>，并且DataLoader使用drop_last=True，则：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是当前增量阶段的新类数，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是每个新类的support数，因此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  <m:r>
          <m:t>K</m:t>
        </m:r>
      </m:oMath>
      <w:r>
        <w:rPr>
          <w:rFonts w:ascii="Times New Roman" w:hAnsi="Times New Roman" w:eastAsia="宋体" w:cs="Times New Roman"/>
          <w:b w:val="0"/>
        </w:rPr>
        <w:t>是真实增量训练样本总数；</w:t>
      </w:r>
      <m:oMath xmlns:a="http://schemas.openxmlformats.org/drawingml/2006/main" xmlns:pic="http://schemas.openxmlformats.org/drawingml/2006/picture">
        <m:r>
          <m:t>B</m:t>
        </m:r>
      </m:oMath>
      <w:r>
        <w:rPr>
          <w:rFonts w:ascii="Times New Roman" w:hAnsi="Times New Roman" w:eastAsia="宋体" w:cs="Times New Roman"/>
          <w:b w:val="0"/>
        </w:rPr>
        <w:t>是batch size。</w:t>
      </w:r>
      <m:oMath xmlns:a="http://schemas.openxmlformats.org/drawingml/2006/main" xmlns:pic="http://schemas.openxmlformats.org/drawingml/2006/picture">
        <m:r>
          <m:rPr>
            <m:sty m:val="p"/>
          </m:rPr>
          <m:t>floor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n</m:t>
                </m:r>
                <m:r>
                  <m:t>e</m:t>
                </m:r>
                <m:r>
                  <m:t>w</m:t>
                </m:r>
              </m:sub>
            </m:sSub>
            <m:r>
              <m:t>K</m:t>
            </m:r>
            <m:r>
              <m:rPr>
                <m:sty m:val="p"/>
              </m:rPr>
              <m:t>/</m:t>
            </m:r>
            <m:r>
              <m:t>B</m:t>
            </m:r>
          </m:e>
        </m:d>
      </m:oMath>
      <w:r>
        <w:rPr>
          <w:rFonts w:ascii="Times New Roman" w:hAnsi="Times New Roman" w:eastAsia="宋体" w:cs="Times New Roman"/>
          <w:b w:val="0"/>
        </w:rPr>
        <w:t>表示向下取整后的完整batch数量。当其为0且DataLoader设置drop_last=True时，不足一个batch的样本被丢弃，optimizer step为0，模型没有发生任何梯度更新</w:t>
      </w:r>
      <w:r>
        <w:rPr>
          <w:rFonts w:ascii="Times New Roman" w:hAnsi="Times New Roman" w:cs="Times New Roman" w:eastAsia="宋体"/>
        </w:rPr>
        <w:t>）</w:t>
      </w:r>
    </w:p>
    <w:p w14:paraId="38D1FA85">
      <w:pPr>
        <w:pStyle w:val="19"/>
      </w:pPr>
      <m:oMathPara>
        <m:oMathParaPr>
          <m:jc m:val="center"/>
        </m:oMathParaPr>
        <m:oMath>
          <m:r>
            <m:rPr/>
            <m:t>floor</m:t>
          </m:r>
          <m:d>
            <m:dPr>
              <m:sepChr m:val=""/>
            </m:dPr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new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rPr/>
                    <m:t>K</m:t>
                  </m:r>
                </m:e>
              </m:d>
              <m:r>
                <m:rPr>
                  <m:sty m:val="p"/>
                </m:rPr>
                <m:t>/</m:t>
              </m:r>
              <m:r>
                <m:rPr/>
                <m:t>B</m:t>
              </m:r>
            </m:e>
          </m:d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56FD8364">
      <w:r>
        <w:rPr>
          <w:rFonts w:ascii="Times New Roman" w:hAnsi="Times New Roman" w:eastAsia="宋体" w:cs="Times New Roman"/>
          <w:sz w:val="22"/>
        </w:rPr>
        <w:t>当结果为0时，一个完整batch都不会产生，optimizer step也为0。新增分类权重没有学习，query自然继续被预测为旧类。</w:t>
      </w:r>
    </w:p>
    <w:p w14:paraId="40EC2048">
      <w:pPr>
        <w:pStyle w:val="19"/>
      </w:pPr>
      <w:r>
        <w:rPr>
          <w:rFonts w:ascii="Times New Roman" w:hAnsi="Times New Roman" w:eastAsia="宋体" w:cs="Times New Roman"/>
        </w:rPr>
        <w:t>结果表中，CSIL在K=5/10且新类数为1或3时seen_new_acc为0；MoPC-HR在K=5或10、新类数为1时也为0。官方流程审计表明，固定batch和drop_last=True会使样本不足一个完整batch的切片不产生optimizer step。因此这些零准确率首先反映训练是否真正发生，不能解释成“充分训练后方法仍然无效”。</w:t>
      </w:r>
    </w:p>
    <w:p w14:paraId="2480B3F5">
      <w:pPr>
        <w:pStyle w:val="19"/>
      </w:pPr>
      <w:r>
        <w:rPr>
          <w:rFonts w:ascii="Times New Roman" w:hAnsi="Times New Roman" w:eastAsia="宋体" w:cs="Times New Roman"/>
        </w:rPr>
        <w:t>即使能够产生更新，低新类数也不意味着边界更容易学习：新增权重缺少新类间对比，旧类logit已经充分训练，而新类logit接近初始化，统一单头竞争仍可能偏向旧类。LEO弱信道还会放大support估计误差。</w:t>
      </w:r>
    </w:p>
    <w:bookmarkEnd w:id="6"/>
    <w:bookmarkEnd w:id="11"/>
    <w:p w14:paraId="2B02D57B">
      <w:pPr>
        <w:pStyle w:val="3"/>
        <w:keepNext/>
        <w:pageBreakBefore w:val="0"/>
      </w:pPr>
      <w:r>
        <w:rPr>
          <w:rFonts w:ascii="Times New Roman" w:hAnsi="Times New Roman" w:eastAsia="宋体" w:cs="Times New Roman"/>
        </w:rPr>
        <w:t>5.参考文献</w:t>
      </w:r>
    </w:p>
    <w:p w14:paraId="4F8738CA">
      <w:r>
        <w:rPr>
          <w:rFonts w:ascii="Times New Roman" w:hAnsi="Times New Roman" w:eastAsia="宋体" w:cs="Times New Roman"/>
          <w:sz w:val="22"/>
        </w:rPr>
        <w:t xml:space="preserve">[1] SNELL J, SWERSKY K, ZEMEL R S. Prototypical Networks for Few-shot Learning[C]//Advances in Neural Information Processing Systems 30. 2017. </w:t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"https://papers.nips.cc/paper/6996-prototypical-networks-for-few-shot-learning"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https://papers.nips.cc/paper/6996-prototypical-networks-for-few-shot-learning</w:t>
      </w:r>
      <w:r>
        <w:rPr>
          <w:rFonts w:ascii="Times New Roman" w:hAnsi="Times New Roman" w:eastAsia="宋体" w:cs="Times New Roman"/>
        </w:rPr>
        <w:fldChar w:fldCharType="end"/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IEEE是Institute of Electrical and Electronics Engineers，即电气电子工程师学会；DOI是Digital Object Identifier，即数字对象唯一标识符；参考文献类型标识[J]表示期刊论文，[C]表示会议论文</w:t>
      </w:r>
      <w:r>
        <w:rPr>
          <w:rFonts w:ascii="Times New Roman" w:hAnsi="Times New Roman" w:cs="Times New Roman" w:eastAsia="宋体"/>
        </w:rPr>
        <w:t>）</w:t>
      </w:r>
    </w:p>
    <w:p w14:paraId="7D1270B4">
      <w:pPr>
        <w:pStyle w:val="19"/>
      </w:pPr>
      <w:r>
        <w:rPr>
          <w:rFonts w:ascii="Times New Roman" w:hAnsi="Times New Roman" w:eastAsia="宋体" w:cs="Times New Roman"/>
          <w:sz w:val="22"/>
        </w:rPr>
        <w:t>[2] YANG L, LI Q, REN X, et al. Mitigating Receiver Impact on Radio Frequency Fingerprint Identification via Domain Adaptation[J]. IEEE Internet of Things Journal, 2024, 11(13):24024-24034. DOI:10.1109/JIOT.2024.3389491.</w:t>
      </w:r>
    </w:p>
    <w:p w14:paraId="5C9DD3C2">
      <w:pPr>
        <w:pStyle w:val="19"/>
      </w:pPr>
      <w:r>
        <w:rPr>
          <w:rFonts w:ascii="Times New Roman" w:hAnsi="Times New Roman" w:eastAsia="宋体" w:cs="Times New Roman"/>
          <w:sz w:val="22"/>
        </w:rPr>
        <w:t>[3] FENG J, FANG S, FAN Y. Cross-Receiver Radio Frequency Fingerprint Identification Based on Domain Adaptation With Dynamic Distribution Alignment[J]. IEEE Internet of Things Journal, 2025, 12(16):33202-33214. DOI:10.1109/JIOT.2025.3573713.</w:t>
      </w:r>
    </w:p>
    <w:p w14:paraId="326A3C0E">
      <w:pPr>
        <w:pStyle w:val="19"/>
      </w:pPr>
      <w:r>
        <w:rPr>
          <w:rFonts w:ascii="Times New Roman" w:hAnsi="Times New Roman" w:eastAsia="宋体" w:cs="Times New Roman"/>
          <w:sz w:val="22"/>
        </w:rPr>
        <w:t>[4] LIU Y, WANG J, LI J, NIU S, SONG H. Class-Incremental Learning for Wireless Device Identification in IoT[J]. IEEE Internet of Things Journal, 2021, 8(23):17227-17235. DOI:10.1109/JIOT.2021.3078407.</w:t>
      </w:r>
    </w:p>
    <w:p w14:paraId="4382C300">
      <w:pPr>
        <w:pStyle w:val="19"/>
      </w:pPr>
      <w:r>
        <w:rPr>
          <w:rFonts w:ascii="Times New Roman" w:hAnsi="Times New Roman" w:eastAsia="宋体" w:cs="Times New Roman"/>
          <w:sz w:val="22"/>
        </w:rPr>
        <w:t>[5] LI D, CHEN Z, SHAO M, et al. Non-Exemplar Class-Incremental Learning via Prototype Correction and Hierarchical Regularization for Specific Emitter Identification[J]. IEEE Transactions on Intelligent Transportation Systems, 2025, 26(8):12632-12646. DOI:10.1109/TITS.2025.3559174.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3A90B">
    <w:pPr>
      <w:pStyle w:val="24"/>
      <w:spacing w:before="0" w:after="0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9450F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48B18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51DB0">
    <w:pPr>
      <w:pStyle w:val="25"/>
      <w:spacing w:after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53D0A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F3E39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D057FF"/>
    <w:rsid w:val="4946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264" w:lineRule="auto"/>
    </w:pPr>
    <w:rPr>
      <w:rFonts w:ascii="Times New Roman" w:hAnsi="Times New Roman" w:eastAsia="宋体" w:cs="Times New Roman"/>
      <w:color w:val="1F1F1F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40404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  <w:rPr>
      <w:rFonts w:ascii="Times New Roman" w:hAnsi="Times New Roman" w:eastAsia="宋体" w:cs="Times New Roman"/>
    </w:rPr>
  </w:style>
  <w:style w:type="table" w:default="1" w:styleId="32">
    <w:name w:val="Normal Table"/>
    <w:semiHidden/>
    <w:unhideWhenUsed/>
    <w:qFormat/>
    <w:uiPriority w:val="99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Times New Roman" w:hAnsi="Times New Roman" w:eastAsia="宋体" w:cs="Times New Roman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Times New Roman" w:hAnsi="Times New Roman" w:eastAsia="宋体" w:cs="Times New Roman"/>
    </w:rPr>
  </w:style>
  <w:style w:type="paragraph" w:styleId="14">
    <w:name w:val="List Number"/>
    <w:basedOn w:val="1"/>
    <w:unhideWhenUsed/>
    <w:qFormat/>
    <w:uiPriority w:val="99"/>
    <w:pPr>
      <w:widowControl/>
      <w:numPr>
        <w:ilvl w:val="0"/>
        <w:numId w:val="2"/>
      </w:numPr>
      <w:spacing w:after="160" w:line="280" w:lineRule="auto"/>
      <w:ind w:left="720" w:hanging="360"/>
      <w:contextualSpacing/>
    </w:pPr>
    <w:rPr>
      <w:rFonts w:ascii="Times New Roman" w:hAnsi="Times New Roman" w:eastAsia="宋体" w:cs="Times New Roman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80" w:line="240" w:lineRule="auto"/>
    </w:pPr>
    <w:rPr>
      <w:rFonts w:ascii="Times New Roman" w:hAnsi="Times New Roman" w:eastAsia="宋体" w:cs="Times New Roman"/>
      <w:b/>
      <w:bCs/>
      <w:color w:val="666666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widowControl/>
      <w:numPr>
        <w:ilvl w:val="0"/>
        <w:numId w:val="3"/>
      </w:numPr>
      <w:spacing w:after="160" w:line="280" w:lineRule="auto"/>
      <w:ind w:left="720" w:hanging="360"/>
      <w:contextualSpacing/>
    </w:pPr>
    <w:rPr>
      <w:rFonts w:ascii="Times New Roman" w:hAnsi="Times New Roman" w:eastAsia="宋体" w:cs="Times New Roman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Times New Roman" w:hAnsi="Times New Roman" w:eastAsia="宋体" w:cs="Times New Roman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Times New Roman" w:hAnsi="Times New Roman" w:eastAsia="宋体" w:cs="Times New Roman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Times New Roman" w:hAnsi="Times New Roman" w:eastAsia="宋体" w:cs="Times New Roman"/>
      <w:sz w:val="22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Times New Roman" w:hAnsi="Times New Roman" w:eastAsia="宋体" w:cs="Times New Roman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Times New Roman" w:hAnsi="Times New Roman" w:eastAsia="宋体" w:cs="Times New Roman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Times New Roman" w:hAnsi="Times New Roman" w:eastAsia="宋体" w:cs="Times New Roman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Times New Roman" w:hAnsi="Times New Roman" w:eastAsia="宋体" w:cs="Times New Roman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Times New Roman" w:hAnsi="Times New Roman" w:eastAsia="宋体" w:cs="Times New Roman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Times New Roman" w:hAnsi="Times New Roman" w:eastAsia="宋体" w:cs="Times New Roman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Times New Roman" w:hAnsi="Times New Roman" w:eastAsia="宋体" w:cs="Times New Roman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Times New Roman" w:hAnsi="Times New Roman" w:eastAsia="宋体" w:cs="Times New Roman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Times New Roman" w:hAnsi="Times New Roman" w:eastAsia="宋体" w:cs="Times New Roman"/>
      <w:b/>
      <w:bCs/>
    </w:rPr>
  </w:style>
  <w:style w:type="character" w:styleId="134">
    <w:name w:val="Emphasis"/>
    <w:basedOn w:val="132"/>
    <w:qFormat/>
    <w:uiPriority w:val="20"/>
    <w:rPr>
      <w:rFonts w:ascii="Times New Roman" w:hAnsi="Times New Roman" w:eastAsia="宋体" w:cs="Times New Roman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ascii="Times New Roman" w:hAnsi="Times New Roman" w:eastAsia="宋体" w:cs="Times New Roman"/>
    </w:rPr>
  </w:style>
  <w:style w:type="character" w:customStyle="1" w:styleId="136">
    <w:name w:val="Footer Char"/>
    <w:basedOn w:val="132"/>
    <w:link w:val="24"/>
    <w:qFormat/>
    <w:uiPriority w:val="99"/>
    <w:rPr>
      <w:rFonts w:ascii="Times New Roman" w:hAnsi="Times New Roman" w:eastAsia="宋体" w:cs="Times New Roman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Times New Roman" w:hAnsi="Times New Roman" w:eastAsia="宋体" w:cs="Times New Roman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宋体" w:cs="Times New Roman"/>
    </w:rPr>
  </w:style>
  <w:style w:type="character" w:customStyle="1" w:styleId="144">
    <w:name w:val="Body Text Char"/>
    <w:basedOn w:val="132"/>
    <w:link w:val="19"/>
    <w:uiPriority w:val="99"/>
    <w:rPr>
      <w:rFonts w:ascii="Times New Roman" w:hAnsi="Times New Roman" w:eastAsia="宋体" w:cs="Times New Roman"/>
    </w:rPr>
  </w:style>
  <w:style w:type="character" w:customStyle="1" w:styleId="145">
    <w:name w:val="Body Text 2 Char"/>
    <w:basedOn w:val="132"/>
    <w:link w:val="28"/>
    <w:qFormat/>
    <w:uiPriority w:val="99"/>
    <w:rPr>
      <w:rFonts w:ascii="Times New Roman" w:hAnsi="Times New Roman" w:eastAsia="宋体" w:cs="Times New Roman"/>
    </w:rPr>
  </w:style>
  <w:style w:type="character" w:customStyle="1" w:styleId="146">
    <w:name w:val="Body Text 3 Char"/>
    <w:basedOn w:val="132"/>
    <w:link w:val="17"/>
    <w:qFormat/>
    <w:uiPriority w:val="99"/>
    <w:rPr>
      <w:rFonts w:ascii="Times New Roman" w:hAnsi="Times New Roman" w:eastAsia="宋体" w:cs="Times New Roman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Times New Roman" w:hAnsi="Times New Roman" w:eastAsia="宋体" w:cs="Times New Roman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Times New Roman" w:hAnsi="Times New Roman" w:eastAsia="宋体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Times New Roman" w:hAnsi="Times New Roman" w:eastAsia="宋体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Times New Roman" w:hAnsi="Times New Roman" w:eastAsia="宋体" w:cs="Times New Roman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Times New Roman" w:hAnsi="Times New Roman" w:eastAsia="宋体" w:cs="Times New Roman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Times New Roman" w:hAnsi="Times New Roman" w:eastAsia="宋体" w:cs="Times New Roman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Times New Roman" w:hAnsi="Times New Roman" w:eastAsia="宋体" w:cs="Times New Roman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Times New Roman" w:hAnsi="Times New Roman" w:eastAsia="宋体" w:cs="Times New Roman"/>
    </w:rPr>
  </w:style>
  <w:style w:type="paragraph" w:customStyle="1" w:styleId="164">
    <w:name w:val="Equation"/>
    <w:uiPriority w:val="0"/>
    <w:pPr>
      <w:keepLines/>
      <w:spacing w:before="100" w:after="160" w:line="276" w:lineRule="auto"/>
      <w:jc w:val="center"/>
    </w:pPr>
    <w:rPr>
      <w:rFonts w:ascii="Times New Roman" w:hAnsi="Times New Roman" w:eastAsia="宋体" w:cs="Times New Roman"/>
      <w:color w:val="1F4D78"/>
      <w:sz w:val="21"/>
      <w:szCs w:val="22"/>
      <w:lang w:val="en-US" w:eastAsia="en-US" w:bidi="ar-SA"/>
    </w:rPr>
  </w:style>
  <w:style w:type="paragraph" w:customStyle="1" w:styleId="165">
    <w:name w:val="Source Code"/>
    <w:basedOn w:val="1"/>
    <w:uiPriority w:val="0"/>
    <w:pPr>
      <w:wordWrap w:val="0"/>
    </w:pPr>
    <w:rPr>
      <w:rFonts w:ascii="Times New Roman" w:hAnsi="Times New Roman" w:eastAsia="宋体" w:cs="Times New Roman"/>
    </w:rPr>
  </w:style>
  <w:style w:type="character" w:customStyle="1" w:styleId="166">
    <w:name w:val="KeywordTok"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167">
    <w:name w:val="DataTypeTok"/>
    <w:uiPriority w:val="0"/>
    <w:rPr>
      <w:rFonts w:ascii="Times New Roman" w:hAnsi="Times New Roman" w:eastAsia="宋体" w:cs="Times New Roman"/>
      <w:color w:val="902000"/>
    </w:rPr>
  </w:style>
  <w:style w:type="character" w:customStyle="1" w:styleId="168">
    <w:name w:val="DecVal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69">
    <w:name w:val="BaseN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70">
    <w:name w:val="Float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71">
    <w:name w:val="ConstantTok"/>
    <w:uiPriority w:val="0"/>
    <w:rPr>
      <w:rFonts w:ascii="Times New Roman" w:hAnsi="Times New Roman" w:eastAsia="宋体" w:cs="Times New Roman"/>
      <w:color w:val="880000"/>
    </w:rPr>
  </w:style>
  <w:style w:type="character" w:customStyle="1" w:styleId="172">
    <w:name w:val="Char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3">
    <w:name w:val="SpecialChar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4">
    <w:name w:val="String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5">
    <w:name w:val="VerbatimString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6">
    <w:name w:val="SpecialStringTok"/>
    <w:uiPriority w:val="0"/>
    <w:rPr>
      <w:rFonts w:ascii="Times New Roman" w:hAnsi="Times New Roman" w:eastAsia="宋体" w:cs="Times New Roman"/>
      <w:color w:val="BB6688"/>
    </w:rPr>
  </w:style>
  <w:style w:type="character" w:customStyle="1" w:styleId="177">
    <w:name w:val="ImportTok"/>
    <w:uiPriority w:val="0"/>
    <w:rPr>
      <w:rFonts w:ascii="Times New Roman" w:hAnsi="Times New Roman" w:eastAsia="宋体" w:cs="Times New Roman"/>
      <w:b/>
      <w:color w:val="008000"/>
    </w:rPr>
  </w:style>
  <w:style w:type="character" w:customStyle="1" w:styleId="178">
    <w:name w:val="CommentTok"/>
    <w:uiPriority w:val="0"/>
    <w:rPr>
      <w:rFonts w:ascii="Times New Roman" w:hAnsi="Times New Roman" w:eastAsia="宋体" w:cs="Times New Roman"/>
      <w:i/>
      <w:color w:val="60A0B0"/>
    </w:rPr>
  </w:style>
  <w:style w:type="character" w:customStyle="1" w:styleId="179">
    <w:name w:val="DocumentationTok"/>
    <w:uiPriority w:val="0"/>
    <w:rPr>
      <w:rFonts w:ascii="Times New Roman" w:hAnsi="Times New Roman" w:eastAsia="宋体" w:cs="Times New Roman"/>
      <w:i/>
      <w:color w:val="BA2121"/>
    </w:rPr>
  </w:style>
  <w:style w:type="character" w:customStyle="1" w:styleId="180">
    <w:name w:val="Annotation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81">
    <w:name w:val="CommentVar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82">
    <w:name w:val="OtherTok"/>
    <w:qFormat/>
    <w:uiPriority w:val="0"/>
    <w:rPr>
      <w:rFonts w:ascii="Times New Roman" w:hAnsi="Times New Roman" w:eastAsia="宋体" w:cs="Times New Roman"/>
      <w:color w:val="007020"/>
    </w:rPr>
  </w:style>
  <w:style w:type="character" w:customStyle="1" w:styleId="183">
    <w:name w:val="FunctionTok"/>
    <w:qFormat/>
    <w:uiPriority w:val="0"/>
    <w:rPr>
      <w:rFonts w:ascii="Times New Roman" w:hAnsi="Times New Roman" w:eastAsia="宋体" w:cs="Times New Roman"/>
      <w:color w:val="06287E"/>
    </w:rPr>
  </w:style>
  <w:style w:type="character" w:customStyle="1" w:styleId="184">
    <w:name w:val="VariableTok"/>
    <w:qFormat/>
    <w:uiPriority w:val="0"/>
    <w:rPr>
      <w:rFonts w:ascii="Times New Roman" w:hAnsi="Times New Roman" w:eastAsia="宋体" w:cs="Times New Roman"/>
      <w:color w:val="19177C"/>
    </w:rPr>
  </w:style>
  <w:style w:type="character" w:customStyle="1" w:styleId="185">
    <w:name w:val="ControlFlowTok"/>
    <w:qFormat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186">
    <w:name w:val="OperatorTok"/>
    <w:qFormat/>
    <w:uiPriority w:val="0"/>
    <w:rPr>
      <w:rFonts w:ascii="Times New Roman" w:hAnsi="Times New Roman" w:eastAsia="宋体" w:cs="Times New Roman"/>
      <w:color w:val="666666"/>
    </w:rPr>
  </w:style>
  <w:style w:type="character" w:customStyle="1" w:styleId="187">
    <w:name w:val="BuiltInTok"/>
    <w:qFormat/>
    <w:uiPriority w:val="0"/>
    <w:rPr>
      <w:rFonts w:ascii="Times New Roman" w:hAnsi="Times New Roman" w:eastAsia="宋体" w:cs="Times New Roman"/>
      <w:color w:val="008000"/>
    </w:rPr>
  </w:style>
  <w:style w:type="character" w:customStyle="1" w:styleId="188">
    <w:name w:val="ExtensionTok"/>
    <w:qFormat/>
    <w:uiPriority w:val="0"/>
    <w:rPr>
      <w:rFonts w:ascii="Times New Roman" w:hAnsi="Times New Roman" w:eastAsia="宋体" w:cs="Times New Roman"/>
    </w:rPr>
  </w:style>
  <w:style w:type="character" w:customStyle="1" w:styleId="189">
    <w:name w:val="PreprocessorTok"/>
    <w:qFormat/>
    <w:uiPriority w:val="0"/>
    <w:rPr>
      <w:rFonts w:ascii="Times New Roman" w:hAnsi="Times New Roman" w:eastAsia="宋体" w:cs="Times New Roman"/>
      <w:color w:val="BC7A00"/>
    </w:rPr>
  </w:style>
  <w:style w:type="character" w:customStyle="1" w:styleId="190">
    <w:name w:val="AttributeTok"/>
    <w:qFormat/>
    <w:uiPriority w:val="0"/>
    <w:rPr>
      <w:rFonts w:ascii="Times New Roman" w:hAnsi="Times New Roman" w:eastAsia="宋体" w:cs="Times New Roman"/>
      <w:color w:val="7D9029"/>
    </w:rPr>
  </w:style>
  <w:style w:type="character" w:customStyle="1" w:styleId="191">
    <w:name w:val="RegionMarkerTok"/>
    <w:qFormat/>
    <w:uiPriority w:val="0"/>
    <w:rPr>
      <w:rFonts w:ascii="Times New Roman" w:hAnsi="Times New Roman" w:eastAsia="宋体" w:cs="Times New Roman"/>
    </w:rPr>
  </w:style>
  <w:style w:type="character" w:customStyle="1" w:styleId="192">
    <w:name w:val="Information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93">
    <w:name w:val="Warning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94">
    <w:name w:val="AlertTok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195">
    <w:name w:val="ErrorTok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196">
    <w:name w:val="NormalTok"/>
    <w:qFormat/>
    <w:uiPriority w:val="0"/>
    <w:rPr>
      <w:rFonts w:ascii="Times New Roman" w:hAnsi="Times New Roman" w:eastAsia="宋体" w:cs="Times New Roma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7924</Words>
  <Characters>14749</Characters>
  <Lines>0</Lines>
  <Paragraphs>0</Paragraphs>
  <TotalTime>5</TotalTime>
  <ScaleCrop>false</ScaleCrop>
  <LinksUpToDate>false</LinksUpToDate>
  <CharactersWithSpaces>15011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2026-07-30T14:28:00Z</dcterms:created>
  <dc:creator>李辉</dc:creator>
  <dc:description>definitions=25；全部定义位于首次正文使用处的中文全角括号内；实验数据、表格和参考文献范围保持不变。</dc:description>
  <cp:lastModifiedBy>李辉</cp:lastModifiedBy>
  <dcterms:modified xsi:type="dcterms:W3CDTF">2026-07-31T01:26:00Z</dcterms:modified>
  <dc:subject>Phase2任务定义、方法公式、缩写全称、物理意义与实验结果</dc:subject>
  <dc:title>CVS-RFFI Phase2详细复现报告（首次出现括号定义版）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eyJoZGlkIjoiY2VkNGZhNDQ4M2E4NDkzZTUxZGVmZDE0NjVmZmUzMTkiLCJ1c2VySWQiOiIxNjU3Njg2OTA1In0=</vt:lpwstr>
  </property>
  <property fmtid="{D5CDD505-2E9C-101B-9397-08002B2CF9AE}" pid="3" name="KSOProductBuildVer">
    <vt:lpwstr>2052-12.1.0.24655</vt:lpwstr>
  </property>
  <property fmtid="{D5CDD505-2E9C-101B-9397-08002B2CF9AE}" pid="4" name="ICV">
    <vt:lpwstr>A967D93A6B5F4FDDBB02C945A65FE2EA_12</vt:lpwstr>
  </property>
</Properties>
</file>