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5E624">
      <w:pPr>
        <w:pStyle w:val="3"/>
        <w:rPr>
          <w:sz w:val="36"/>
          <w:szCs w:val="32"/>
        </w:rPr>
      </w:pPr>
      <w:r>
        <w:rPr>
          <w:rFonts w:ascii="Times New Roman" w:hAnsi="Times New Roman" w:eastAsia="宋体" w:cs="Times New Roman"/>
          <w:sz w:val="36"/>
          <w:szCs w:val="36"/>
        </w:rPr>
        <w:t>1.核心概念与Phase2阶段定位</w:t>
      </w:r>
    </w:p>
    <w:p w14:paraId="2A1AA79B">
      <w:pPr>
        <w:keepNext/>
        <w:keepLines/>
        <w:spacing w:after="30"/>
        <w:rPr>
          <w:sz w:val="24"/>
          <w:szCs w:val="24"/>
        </w:rPr>
      </w:pPr>
      <w:r>
        <w:rPr>
          <w:rFonts w:ascii="Times New Roman" w:hAnsi="Times New Roman" w:cs="Times New Roman" w:eastAsia="宋体"/>
          <w:b/>
          <w:color w:val="C00000"/>
          <w:sz w:val="24"/>
          <w:szCs w:val="24"/>
        </w:rPr>
        <w:t>项目名称：星地跨域少样本持续射频指纹识别（Ground-to-Satellite Cross-Domain Few-Shot Continual Radio-Frequency Fingerprint Identification, CVS-RFFI）</w:t>
      </w:r>
    </w:p>
    <w:p w14:paraId="2E3AB0B8">
      <w:pPr>
        <w:keepNext/>
        <w:keepLines/>
        <w:spacing w:after="30"/>
        <w:rPr>
          <w:b/>
          <w:color w:val="C00000"/>
          <w:sz w:val="20"/>
          <w:szCs w:val="24"/>
        </w:rPr>
      </w:pPr>
      <w:r>
        <w:rPr>
          <w:rFonts w:ascii="Times New Roman" w:hAnsi="Times New Roman" w:cs="Times New Roman" w:eastAsia="宋体"/>
          <w:b/>
          <w:color w:val="C00000"/>
          <w:sz w:val="24"/>
          <w:szCs w:val="24"/>
        </w:rPr>
        <w:t>Phase1方法：</w:t>
      </w:r>
      <w:r>
        <w:rPr>
          <w:rFonts w:hint="eastAsia" w:ascii="Times New Roman" w:hAnsi="Times New Roman" w:cs="Times New Roman" w:eastAsia="宋体"/>
          <w:b/>
          <w:color w:val="C00000"/>
          <w:sz w:val="24"/>
          <w:szCs w:val="24"/>
        </w:rPr>
        <w:t>半监督物理感知域对抗泛化射频指纹表征方法</w:t>
      </w:r>
      <w:r>
        <w:rPr>
          <w:rFonts w:hint="eastAsia" w:ascii="Times New Roman" w:hAnsi="Times New Roman" w:cs="Times New Roman" w:eastAsia="宋体"/>
          <w:b/>
          <w:color w:val="C00000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 w:eastAsia="宋体"/>
          <w:b/>
          <w:color w:val="C00000"/>
          <w:sz w:val="24"/>
          <w:szCs w:val="24"/>
        </w:rPr>
        <w:t>Semi-supervised Physics-Aware Adversarial Domain-Generalized Embedding for RFFI</w:t>
      </w:r>
      <w:r>
        <w:rPr>
          <w:rFonts w:hint="eastAsia" w:ascii="Times New Roman" w:hAnsi="Times New Roman" w:cs="Times New Roman" w:eastAsia="宋体"/>
          <w:b/>
          <w:color w:val="C00000"/>
          <w:sz w:val="24"/>
          <w:szCs w:val="24"/>
          <w:lang w:eastAsia="zh-CN"/>
        </w:rPr>
        <w:t>，</w:t>
      </w:r>
      <w:r>
        <w:rPr>
          <w:rFonts w:hint="eastAsia" w:ascii="Times New Roman" w:hAnsi="Times New Roman" w:cs="Times New Roman" w:eastAsia="宋体"/>
          <w:b/>
          <w:color w:val="C00000"/>
          <w:sz w:val="24"/>
          <w:szCs w:val="24"/>
        </w:rPr>
        <w:t>SPADE-RFFI）</w:t>
      </w:r>
    </w:p>
    <w:p w14:paraId="1807CF37">
      <w:pPr>
        <w:keepNext/>
        <w:keepLines/>
        <w:spacing w:after="30"/>
        <w:rPr>
          <w:sz w:val="24"/>
          <w:szCs w:val="24"/>
        </w:rPr>
      </w:pPr>
      <w:r>
        <w:rPr>
          <w:rFonts w:ascii="Times New Roman" w:hAnsi="Times New Roman" w:cs="Times New Roman" w:eastAsia="宋体"/>
          <w:b/>
          <w:color w:val="C00000"/>
          <w:sz w:val="24"/>
          <w:szCs w:val="24"/>
        </w:rPr>
        <w:t>Phase2方法：高效稳健任务均衡增量判别注册方法（Efficient Robust Task-Balanced Incremental Discriminant Registration, ERTB-IDR）</w:t>
      </w:r>
      <w:bookmarkStart w:id="18" w:name="_GoBack"/>
      <w:bookmarkEnd w:id="18"/>
    </w:p>
    <w:p w14:paraId="7EA531CA">
      <w:pPr>
        <w:keepLines/>
        <w:rPr>
          <w:sz w:val="24"/>
          <w:szCs w:val="24"/>
        </w:rPr>
      </w:pPr>
      <w:r>
        <w:rPr>
          <w:rFonts w:ascii="Times New Roman" w:hAnsi="Times New Roman" w:cs="Times New Roman" w:eastAsia="宋体"/>
          <w:b/>
          <w:color w:val="C00000"/>
          <w:szCs w:val="24"/>
          <w:sz w:val="24"/>
        </w:rPr>
        <w:t>核心任务：Phase1学习跨接收机稳定表征；Phase2在LEO信道下使用少量target support，同时完成旧类域适应与新类增量注册。</w:t>
      </w:r>
    </w:p>
    <w:p w14:paraId="22741728">
      <w:pPr>
        <w:pStyle w:val="4"/>
        <w:rPr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  <w:lang w:eastAsia="zh-CN"/>
        </w:rPr>
        <w:t>1.1RFFI任务的三轴谱系</w:t>
      </w:r>
    </w:p>
    <w:p w14:paraId="5AA92E46">
      <w:pPr>
        <w:rPr>
          <w:sz w:val="24"/>
          <w:szCs w:val="24"/>
        </w:rPr>
      </w:pPr>
      <w:r>
        <w:rPr>
          <w:rFonts w:ascii="Times New Roman" w:hAnsi="Times New Roman" w:cs="Times New Roman" w:eastAsia="宋体"/>
          <w:sz w:val="24"/>
          <w:szCs w:val="24"/>
        </w:rPr>
        <w:t>FSL是Few-Shot Learning，即少样本学习；DA是Domain Adaptation，即域适应；CIL是Class-Incremental Learning，即类增量学习；FSCIL是Few-Shot Class-Incremental Learning，即少样本类增量学习；UDA是Unsupervised Domain Adaptation，即无监督域适应。</w:t>
      </w:r>
      <w:r>
        <w:rPr>
          <w:rFonts w:ascii="Times New Roman" w:hAnsi="Times New Roman" w:cs="Times New Roman" w:eastAsia="宋体"/>
          <w:sz w:val="24"/>
          <w:szCs w:val="24"/>
          <w:lang w:eastAsia="zh-CN"/>
        </w:rPr>
        <w:t>IQ是In-phase/Quadrature，即同相/正交基带采样；LEO是Low Earth Orbit，即低地球轨道；TX是transmitter，即发射机；CVS-RFFI是本项目的名称，（</w:t>
      </w:r>
      <m:oMath>
        <m:r>
          <m:rPr>
            <m:sty m:val="p"/>
            <m:scr m:val="script"/>
          </m:rPr>
          <w:rPr>
            <w:rFonts w:ascii="Cambria Math" w:hAnsi="Cambria Math"/>
            <w:sz w:val="24"/>
            <w:szCs w:val="24"/>
            <w:lang w:eastAsia="zh-CN"/>
          </w:rPr>
          <m:t>Y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表示发射机类别集合，物理上每个类别对应一台发射机身份；下标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B</m:t>
        </m:r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,</m:t>
        </m:r>
        <m:r>
          <m:rPr/>
          <w:rPr>
            <w:rFonts w:ascii="Cambria Math" w:hAnsi="Cambria Math"/>
            <w:sz w:val="24"/>
            <w:szCs w:val="24"/>
            <w:lang w:eastAsia="zh-CN"/>
          </w:rPr>
          <m:t>N</m:t>
        </m:r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,</m:t>
        </m:r>
        <m:r>
          <m:rPr/>
          <w:rPr>
            <w:rFonts w:ascii="Cambria Math" w:hAnsi="Cambria Math"/>
            <w:sz w:val="24"/>
            <w:szCs w:val="24"/>
            <w:lang w:eastAsia="zh-CN"/>
          </w:rPr>
          <m:t>src</m:t>
        </m:r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,</m:t>
        </m:r>
        <m:r>
          <m:rPr/>
          <w:rPr>
            <w:rFonts w:ascii="Cambria Math" w:hAnsi="Cambria Math"/>
            <w:sz w:val="24"/>
            <w:szCs w:val="24"/>
            <w:lang w:eastAsia="zh-CN"/>
          </w:rPr>
          <m:t>tgt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依次表示base（基类）、novel（新类）、source（源域）和target（目标域）。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d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表示观测域，物理上由接收机链路、采集条件和信道共同决定；因此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d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src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≠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d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表示源接收机域与目标接收机域不同。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t</m:t>
        </m:r>
      </m:oMath>
      <w:r>
        <w:rPr>
          <w:rFonts w:ascii="Times New Roman" w:hAnsi="Times New Roman" w:cs="Times New Roman" w:eastAsia="宋体"/>
          <w:sz w:val="24"/>
          <w:szCs w:val="24"/>
        </w:rPr>
        <w:t>表示增量session序号，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≤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rFonts w:ascii="Times New Roman" w:hAnsi="Times New Roman" w:cs="Times New Roman" w:eastAsia="宋体"/>
          <w:sz w:val="24"/>
          <w:szCs w:val="24"/>
        </w:rPr>
        <w:t xml:space="preserve">表示截至session </w:t>
      </w:r>
      <m:oMath>
        <m:r>
          <m:rPr/>
          <w:rPr>
            <w:rFonts w:ascii="Cambria Math" w:hAnsi="Cambria Math"/>
            <w:sz w:val="24"/>
            <w:szCs w:val="24"/>
          </w:rPr>
          <m:t>t</m:t>
        </m:r>
      </m:oMath>
      <w:r>
        <w:rPr>
          <w:rFonts w:ascii="Times New Roman" w:hAnsi="Times New Roman" w:cs="Times New Roman" w:eastAsia="宋体"/>
          <w:sz w:val="24"/>
          <w:szCs w:val="24"/>
        </w:rPr>
        <w:t>已注册的全部类别，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unknown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</w:rPr>
        <w:t>表示尚未注册的发射机。</w:t>
      </w:r>
      <m:oMath>
        <m:r>
          <m:rPr/>
          <w:rPr>
            <w:rFonts w:ascii="Cambria Math" w:hAnsi="Cambria Math"/>
            <w:sz w:val="24"/>
            <w:szCs w:val="24"/>
          </w:rPr>
          <m:t>K</m:t>
        </m:r>
      </m:oMath>
      <w:r>
        <w:rPr>
          <w:rFonts w:ascii="Times New Roman" w:hAnsi="Times New Roman" w:cs="Times New Roman" w:eastAsia="宋体"/>
          <w:sz w:val="24"/>
          <w:szCs w:val="24"/>
        </w:rPr>
        <w:t>是每类互不重复的物理support观测数；</w:t>
      </w:r>
    </w:p>
    <w:p w14:paraId="27611DFB">
      <w:pPr>
        <w:pStyle w:val="19"/>
        <w:keepNext/>
        <w:jc w:val="center"/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b/>
          <w:bCs/>
          <w:sz w:val="24"/>
          <w:szCs w:val="24"/>
          <w:lang w:eastAsia="zh-CN"/>
        </w:rPr>
        <w:t>表1 RFFI任务在类别轴、域轴和时间轴上的定位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591"/>
        <w:gridCol w:w="1497"/>
        <w:gridCol w:w="1029"/>
        <w:gridCol w:w="1497"/>
        <w:gridCol w:w="1684"/>
        <w:gridCol w:w="2062"/>
      </w:tblGrid>
      <w:tr w14:paraId="76B304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91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53C7E4E6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任务类型</w:t>
            </w:r>
          </w:p>
        </w:tc>
        <w:tc>
          <w:tcPr>
            <w:tcW w:w="1497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36A526AB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类别轴</w:t>
            </w:r>
          </w:p>
        </w:tc>
        <w:tc>
          <w:tcPr>
            <w:tcW w:w="1029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78C94329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域轴</w:t>
            </w:r>
          </w:p>
        </w:tc>
        <w:tc>
          <w:tcPr>
            <w:tcW w:w="1497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5C228251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时间轴</w:t>
            </w:r>
          </w:p>
        </w:tc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32EE322C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监督预算</w:t>
            </w:r>
          </w:p>
        </w:tc>
        <w:tc>
          <w:tcPr>
            <w:tcW w:w="2062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7707862B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冻结后推理类别空间</w:t>
            </w:r>
          </w:p>
        </w:tc>
      </w:tr>
      <w:tr w14:paraId="1F8ACD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4CC822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</w:rPr>
              <w:t>标准RFFI-FSL</w:t>
            </w:r>
          </w:p>
        </w:tc>
        <w:tc>
          <w:tcPr>
            <w:tcW w:w="1497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4D5741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∩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=⌀</m:t>
                </m:r>
              </m:oMath>
            </m:oMathPara>
          </w:p>
        </w:tc>
        <w:tc>
          <w:tcPr>
            <w:tcW w:w="1029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7BD2931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497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58615D7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episodic；episode间不累积</w:t>
            </w:r>
          </w:p>
        </w:tc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2A4BEAD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novel类每类</w:t>
            </w:r>
            <m:oMath>
              <m:r>
                <m:rPr/>
                <w:rPr>
                  <w:rFonts w:ascii="Cambria Math" w:hAnsi="Cambria Math"/>
                  <w:sz w:val="24"/>
                  <w:szCs w:val="24"/>
                </w:rPr>
                <m:t>K</m:t>
              </m:r>
            </m:oMath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个support</w:t>
            </w:r>
          </w:p>
        </w:tc>
        <w:tc>
          <w:tcPr>
            <w:tcW w:w="2062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D7DD61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当前episode的novel类</w:t>
            </w:r>
          </w:p>
        </w:tc>
      </w:tr>
      <w:tr w14:paraId="7A7CEE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2AFA9A9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</w:rPr>
              <w:t>RFFI域适应</w:t>
            </w:r>
          </w:p>
        </w:tc>
        <w:tc>
          <w:tcPr>
            <w:tcW w:w="1497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6B096CB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src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tgt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029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639BBA5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src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tgt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497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68484EC8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  <w:lang w:eastAsia="zh-CN"/>
              </w:rPr>
              <w:t>单次迁移；类别不扩展</w:t>
            </w:r>
          </w:p>
        </w:tc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39032AD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target标签可为0、少量或充分</w:t>
            </w:r>
          </w:p>
        </w:tc>
        <w:tc>
          <w:tcPr>
            <w:tcW w:w="2062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498E7D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与source相同的发射机集合</w:t>
            </w:r>
          </w:p>
        </w:tc>
      </w:tr>
      <w:tr w14:paraId="70BDF4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25CAF45E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="宋体"/>
                <w:b/>
                <w:color w:val="C00000"/>
                <w:sz w:val="20"/>
                <w:szCs w:val="20"/>
                <w:lang w:eastAsia="zh-CN"/>
              </w:rPr>
              <w:t>RFFI少样本域适应</w:t>
            </w:r>
          </w:p>
        </w:tc>
        <w:tc>
          <w:tcPr>
            <w:tcW w:w="1497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760D8BE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src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tgt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029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00BCB08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src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tgt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497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61CDDB7A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  <w:lang w:eastAsia="zh-CN"/>
              </w:rPr>
              <w:t>单次迁移；类别不扩展</w:t>
            </w:r>
          </w:p>
        </w:tc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169B16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每个已知类</w:t>
            </w:r>
            <m:oMath>
              <m:r>
                <m:rPr/>
                <w:rPr>
                  <w:rFonts w:ascii="Cambria Math" w:hAnsi="Cambria Math"/>
                  <w:sz w:val="24"/>
                  <w:szCs w:val="24"/>
                </w:rPr>
                <m:t>K</m:t>
              </m:r>
            </m:oMath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个target support</w:t>
            </w:r>
          </w:p>
        </w:tc>
        <w:tc>
          <w:tcPr>
            <w:tcW w:w="2062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EC6EEA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与source相同的发射机集合</w:t>
            </w:r>
          </w:p>
        </w:tc>
      </w:tr>
      <w:tr w14:paraId="2785EA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426AF34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</w:rPr>
              <w:t>跨域RFFI-FSL</w:t>
            </w:r>
          </w:p>
        </w:tc>
        <w:tc>
          <w:tcPr>
            <w:tcW w:w="1497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1C03E54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∩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=⌀</m:t>
                </m:r>
              </m:oMath>
            </m:oMathPara>
          </w:p>
        </w:tc>
        <w:tc>
          <w:tcPr>
            <w:tcW w:w="1029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5C80942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tgt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497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4BBFE26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episodic；通常不持久化</w:t>
            </w:r>
          </w:p>
        </w:tc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1B5D3B2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target novel类每类</w:t>
            </w:r>
            <m:oMath>
              <m:r>
                <m:rPr/>
                <w:rPr>
                  <w:rFonts w:ascii="Cambria Math" w:hAnsi="Cambria Math"/>
                  <w:sz w:val="24"/>
                  <w:szCs w:val="24"/>
                </w:rPr>
                <m:t>K</m:t>
              </m:r>
            </m:oMath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个support</w:t>
            </w:r>
          </w:p>
        </w:tc>
        <w:tc>
          <w:tcPr>
            <w:tcW w:w="2062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62B3D1D6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  <w:lang w:eastAsia="zh-CN"/>
              </w:rPr>
              <w:t>标准FSL为novel类；</w:t>
            </w:r>
          </w:p>
        </w:tc>
      </w:tr>
      <w:tr w14:paraId="74A4A9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57761F6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</w:rPr>
              <w:t>RFFI-CIL</w:t>
            </w:r>
          </w:p>
        </w:tc>
        <w:tc>
          <w:tcPr>
            <w:tcW w:w="1497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699FCF2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≤</m:t>
                        </m:r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−</m:t>
                        </m:r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⊂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≤</m:t>
                        </m:r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p>
              </m:oMath>
            </m:oMathPara>
          </w:p>
        </w:tc>
        <w:tc>
          <w:tcPr>
            <w:tcW w:w="1029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2DB7E2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通常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−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497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2983C70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session顺序到达；状态持续保存</w:t>
            </w:r>
          </w:p>
        </w:tc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F784DF6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  <w:lang w:eastAsia="zh-CN"/>
              </w:rPr>
              <w:t>新增类标签数量不限定为少样本</w:t>
            </w:r>
          </w:p>
        </w:tc>
        <w:tc>
          <w:tcPr>
            <w:tcW w:w="2062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0553A31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全部累计已注册类</w:t>
            </w:r>
          </w:p>
        </w:tc>
      </w:tr>
      <w:tr w14:paraId="01B29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6C09A49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</w:rPr>
              <w:t>RFFI-FSCIL</w:t>
            </w:r>
          </w:p>
        </w:tc>
        <w:tc>
          <w:tcPr>
            <w:tcW w:w="1497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48FD414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≤</m:t>
                        </m:r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−</m:t>
                        </m:r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⊂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≤</m:t>
                        </m:r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p>
              </m:oMath>
            </m:oMathPara>
          </w:p>
        </w:tc>
        <w:tc>
          <w:tcPr>
            <w:tcW w:w="1029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36BF033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通常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−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497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58EAF91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session顺序到达；状态持续保存</w:t>
            </w:r>
          </w:p>
        </w:tc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4962FCB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每个增量新类</w:t>
            </w:r>
            <m:oMath>
              <m:r>
                <m:rPr/>
                <w:rPr>
                  <w:rFonts w:ascii="Cambria Math" w:hAnsi="Cambria Math"/>
                  <w:sz w:val="24"/>
                  <w:szCs w:val="24"/>
                </w:rPr>
                <m:t>K</m:t>
              </m:r>
            </m:oMath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个support</w:t>
            </w:r>
          </w:p>
        </w:tc>
        <w:tc>
          <w:tcPr>
            <w:tcW w:w="2062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7584C62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全部累计已注册类</w:t>
            </w:r>
          </w:p>
        </w:tc>
      </w:tr>
      <w:tr w14:paraId="206192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AF0D2A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b/>
                <w:color w:val="C00000"/>
                <w:sz w:val="20"/>
                <w:szCs w:val="20"/>
              </w:rPr>
              <w:t>跨域RFFI-FSCIL</w:t>
            </w:r>
          </w:p>
        </w:tc>
        <w:tc>
          <w:tcPr>
            <w:tcW w:w="1497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43CE016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≤</m:t>
                        </m:r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−</m:t>
                        </m:r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⊂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≤</m:t>
                        </m:r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p>
              </m:oMath>
            </m:oMathPara>
          </w:p>
        </w:tc>
        <w:tc>
          <w:tcPr>
            <w:tcW w:w="1029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51178CE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−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497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0F85494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session顺序到达；状态持续保存</w:t>
            </w:r>
          </w:p>
        </w:tc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07589D4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target新类每类</w:t>
            </w:r>
            <m:oMath>
              <m:r>
                <m:rPr/>
                <w:rPr>
                  <w:rFonts w:ascii="Cambria Math" w:hAnsi="Cambria Math"/>
                  <w:sz w:val="24"/>
                  <w:szCs w:val="24"/>
                </w:rPr>
                <m:t>K</m:t>
              </m:r>
            </m:oMath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个support</w:t>
            </w:r>
          </w:p>
        </w:tc>
        <w:tc>
          <w:tcPr>
            <w:tcW w:w="2062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6D95A18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  <w:lang w:eastAsia="zh-CN"/>
              </w:rPr>
              <w:t>全部累计已注册旧类与新类</w:t>
            </w:r>
          </w:p>
        </w:tc>
      </w:tr>
      <w:tr w14:paraId="41EF1E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5A2AF66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</w:rPr>
              <w:t>开放世界跨域RFFI-FSCIL（扩展）</w:t>
            </w:r>
          </w:p>
        </w:tc>
        <w:tc>
          <w:tcPr>
            <w:tcW w:w="1497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3D3C60B4">
            <w:pPr>
              <w:spacing w:after="0" w:line="240" w:lineRule="auto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  <w:lang w:eastAsia="zh-CN"/>
              </w:rPr>
              <w:t>类别增长且存在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unknown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029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5056C09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域随部署阶段变化</w:t>
            </w:r>
          </w:p>
        </w:tc>
        <w:tc>
          <w:tcPr>
            <w:tcW w:w="1497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2B265916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  <w:lang w:eastAsia="zh-CN"/>
              </w:rPr>
              <w:t>注册与拒识顺序执行；状态持续保存</w:t>
            </w:r>
          </w:p>
        </w:tc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793475BC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  <w:lang w:eastAsia="zh-CN"/>
              </w:rPr>
              <w:t>已注册新类为K-shot；unknown无标签</w:t>
            </w:r>
          </w:p>
        </w:tc>
        <w:tc>
          <w:tcPr>
            <w:tcW w:w="2062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6C9597D8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  <w:lang w:eastAsia="zh-CN"/>
              </w:rPr>
              <w:t>已注册旧类与新类，并拒识未注册unknown</w:t>
            </w:r>
          </w:p>
        </w:tc>
      </w:tr>
    </w:tbl>
    <w:p w14:paraId="0D797BCB">
      <w:pPr>
        <w:pStyle w:val="19"/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b/>
          <w:bCs/>
          <w:color w:val="C00000"/>
          <w:sz w:val="24"/>
          <w:szCs w:val="24"/>
        </w:rPr>
        <w:t>CVS阶段定位：Stage2-A是零标签target迁移参考；Stage2-B对应RFFI少样本监督域适应；Stage2-C在同一row中提供旧类与新类K-shot target support，对应跨域单步FSCIL与新类注册，连续执行多个增量session后才构成完整FSCIL</w:t>
      </w:r>
      <w:r>
        <w:rPr>
          <w:rFonts w:hint="eastAsia" w:ascii="Times New Roman" w:hAnsi="Times New Roman" w:cs="Times New Roman" w:eastAsia="宋体"/>
          <w:b/>
          <w:bCs/>
          <w:color w:val="C00000"/>
          <w:sz w:val="24"/>
          <w:szCs w:val="24"/>
          <w:lang w:eastAsia="zh-CN"/>
        </w:rPr>
        <w:t>。</w:t>
      </w:r>
    </w:p>
    <w:p w14:paraId="088EC828">
      <w:pPr>
        <w:pStyle w:val="4"/>
        <w:rPr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  <w:lang w:eastAsia="zh-CN"/>
        </w:rPr>
        <w:t>1.2少样本学习的定义</w:t>
      </w:r>
    </w:p>
    <w:p w14:paraId="68A15CDA">
      <w:pPr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sz w:val="24"/>
          <w:szCs w:val="24"/>
          <w:lang w:eastAsia="zh-CN"/>
        </w:rPr>
        <w:t>少样本学习是指模型已经从base数据或预训练状态中获得先验，在目标任务每类只有少量带标签样本时，仍能泛化到未参与适配的query。</w:t>
      </w:r>
    </w:p>
    <w:p w14:paraId="11740B7D">
      <w:pPr>
        <w:pStyle w:val="19"/>
        <w:rPr>
          <w:sz w:val="24"/>
          <w:szCs w:val="24"/>
        </w:rPr>
      </w:pPr>
      <w:r>
        <w:rPr>
          <w:rFonts w:ascii="Times New Roman" w:hAnsi="Times New Roman" w:cs="Times New Roman" w:eastAsia="宋体"/>
          <w:sz w:val="24"/>
          <w:szCs w:val="24"/>
          <w:lang w:eastAsia="zh-CN"/>
        </w:rPr>
        <w:t>一次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N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 xml:space="preserve">-way 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K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-shot任务记为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τ</m:t>
        </m:r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=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S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τ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Q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τ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。support包含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N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个类别，每类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K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个独立带标签样本：（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τ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是一次独立少样本任务；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S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τ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τ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分别是该任务的support集合与query集合。support是允许建立或更新模型状态的带标签样本，query只用于冻结后的测试。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N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是任务中的类别数，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K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是每类support数，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τ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是任务类别集合；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c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是类别索引，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k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是类内样本索引，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,</m:t>
            </m:r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k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是类别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c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的第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k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个固定接收IQ观测。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⋅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rFonts w:ascii="Times New Roman" w:hAnsi="Times New Roman" w:cs="Times New Roman" w:eastAsia="宋体"/>
          <w:sz w:val="24"/>
          <w:szCs w:val="24"/>
        </w:rPr>
        <w:t>表示集合基数，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⋃</m:t>
        </m:r>
      </m:oMath>
      <w:r>
        <w:rPr>
          <w:rFonts w:ascii="Times New Roman" w:hAnsi="Times New Roman" w:cs="Times New Roman" w:eastAsia="宋体"/>
          <w:sz w:val="24"/>
          <w:szCs w:val="24"/>
        </w:rPr>
        <w:t>表示把各类样本合并为support集合）</w:t>
      </w:r>
    </w:p>
    <w:p w14:paraId="2BE96A4A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S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τ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limLow>
            <m:limLowPr>
              <m:ctrlPr>
                <w:rPr>
                  <w:rFonts w:ascii="Cambria Math" w:hAnsi="Cambria Math"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⋃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lim>
              <m:r>
                <m:rPr/>
                <w:rPr>
                  <w:rFonts w:ascii="Cambria Math" w:hAnsi="Cambria Math"/>
                  <w:sz w:val="24"/>
                  <w:szCs w:val="24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τ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lim>
          </m:limLow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c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,</m:t>
                          </m:r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,</m:t>
                      </m:r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K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m:rPr/>
            <w:rPr>
              <w:rFonts w:ascii="Cambria Math" w:hAnsi="Cambria Math"/>
              <w:sz w:val="24"/>
              <w:szCs w:val="24"/>
            </w:rPr>
            <m:t>  </m:t>
          </m:r>
          <m:d>
            <m:dPr>
              <m:begChr m:val="|"/>
              <m:endChr m:val="|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τ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/>
            <w:rPr>
              <w:rFonts w:ascii="Cambria Math" w:hAnsi="Cambria Math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m:rPr/>
            <w:rPr>
              <w:rFonts w:ascii="Cambria Math" w:hAnsi="Cambria Math"/>
              <w:sz w:val="24"/>
              <w:szCs w:val="24"/>
            </w:rPr>
            <m:t>  </m:t>
          </m:r>
          <m:d>
            <m:dPr>
              <m:begChr m:val="|"/>
              <m:endChr m:val="|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τ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/>
            <w:rPr>
              <w:rFonts w:ascii="Cambria Math" w:hAnsi="Cambria Math"/>
              <w:sz w:val="24"/>
              <w:szCs w:val="24"/>
            </w:rPr>
            <m:t>NK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349F7558">
      <w:pPr>
        <w:rPr>
          <w:sz w:val="24"/>
          <w:szCs w:val="24"/>
        </w:rPr>
      </w:pPr>
      <w:r>
        <w:rPr>
          <w:rFonts w:ascii="Times New Roman" w:hAnsi="Times New Roman" w:cs="Times New Roman" w:eastAsia="宋体"/>
          <w:sz w:val="24"/>
          <w:szCs w:val="24"/>
        </w:rPr>
        <w:t>学习算法读取先验状态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Ω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0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</w:rPr>
        <w:t>和support，生成当前任务预测器：（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Ω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0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</w:rPr>
        <w:t>是任务开始前的冻结先验状态，例如Phase1 deployment bundle；</w:t>
      </w:r>
      <m:oMath>
        <m:r>
          <m:rPr>
            <m:sty m:val="p"/>
            <m:scr m:val="script"/>
          </m:rP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Times New Roman" w:hAnsi="Times New Roman" w:cs="Times New Roman" w:eastAsia="宋体"/>
          <w:sz w:val="24"/>
          <w:szCs w:val="24"/>
        </w:rPr>
        <w:t>是只读取先验状态和support的适配/注册算法；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h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τ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</w:rPr>
        <w:t>是由它生成的当前任务预测器。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是单个query观测，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是真实发射机标签，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y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</m:acc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是模型预测；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h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τ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  <w:lang w:eastAsia="zh-CN"/>
                      </w:rPr>
                      <m:t>x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  <w:lang w:eastAsia="zh-CN"/>
                      </w:rPr>
                      <m:t>q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是query属于类别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c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的分数。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argmax</m:t>
        </m:r>
      </m:oMath>
      <w:r>
        <w:rPr>
          <w:rFonts w:ascii="Times New Roman" w:hAnsi="Times New Roman" w:cs="Times New Roman" w:eastAsia="宋体"/>
          <w:sz w:val="24"/>
          <w:szCs w:val="24"/>
        </w:rPr>
        <w:t>表示选择分数最大的类别。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S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τ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∩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τ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=⌀</m:t>
        </m:r>
      </m:oMath>
      <w:r>
        <w:rPr>
          <w:rFonts w:ascii="Times New Roman" w:hAnsi="Times New Roman" w:cs="Times New Roman" w:eastAsia="宋体"/>
          <w:sz w:val="24"/>
          <w:szCs w:val="24"/>
        </w:rPr>
        <w:t>表示support与query不能共享同一物理样本）</w:t>
      </w:r>
    </w:p>
    <w:p w14:paraId="6465905A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h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τ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  <m:scr m:val="script"/>
            </m:rPr>
            <w:rPr>
              <w:rFonts w:ascii="Cambria Math" w:hAnsi="Cambria Math"/>
              <w:sz w:val="24"/>
              <w:szCs w:val="24"/>
            </w:rPr>
            <m:t>=A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τ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;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m:rPr/>
            <w:rPr>
              <w:rFonts w:ascii="Cambria Math" w:hAnsi="Cambria Math"/>
              <w:sz w:val="24"/>
              <w:szCs w:val="24"/>
            </w:rPr>
            <m:t>  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acc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q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=arg</m:t>
          </m:r>
          <m:limLow>
            <m:limLowPr>
              <m:ctrlPr>
                <w:rPr>
                  <w:rFonts w:ascii="Cambria Math" w:hAnsi="Cambria Math"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max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lim>
              <m:r>
                <m:rPr/>
                <w:rPr>
                  <w:rFonts w:ascii="Cambria Math" w:hAnsi="Cambria Math"/>
                  <w:sz w:val="24"/>
                  <w:szCs w:val="24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τ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lim>
          </m:limLow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h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τ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m:rPr/>
            <w:rPr>
              <w:rFonts w:ascii="Cambria Math" w:hAnsi="Cambria Math"/>
              <w:sz w:val="24"/>
              <w:szCs w:val="24"/>
            </w:rPr>
            <m:t> 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∈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Q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τ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275FAF4E">
      <w:pPr>
        <w:rPr>
          <w:sz w:val="24"/>
          <w:szCs w:val="24"/>
        </w:rPr>
      </w:pPr>
      <w:r>
        <w:rPr>
          <w:rFonts w:ascii="Times New Roman" w:hAnsi="Times New Roman" w:cs="Times New Roman" w:eastAsia="宋体"/>
          <w:sz w:val="24"/>
          <w:szCs w:val="24"/>
        </w:rPr>
        <w:t>support与query必须样本级互斥：</w:t>
      </w:r>
    </w:p>
    <w:p w14:paraId="1CD4F850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S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τ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∩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Q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τ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=⌀.</m:t>
          </m:r>
        </m:oMath>
      </m:oMathPara>
    </w:p>
    <w:p w14:paraId="3146D8A6">
      <w:pPr>
        <w:rPr>
          <w:sz w:val="24"/>
          <w:szCs w:val="24"/>
        </w:rPr>
      </w:pPr>
      <w:r>
        <w:rPr>
          <w:rFonts w:ascii="Times New Roman" w:hAnsi="Times New Roman" w:cs="Times New Roman" w:eastAsia="宋体"/>
          <w:sz w:val="24"/>
          <w:szCs w:val="24"/>
        </w:rPr>
        <w:t>标准novel-class FSL还要求base类与novel类互斥，query通常只在当前novel类中竞争。若训练与测试类别相同，只是每类样本较少，更准确的名称是low-shot closed-set classification。</w:t>
      </w:r>
    </w:p>
    <w:p w14:paraId="05F22C01">
      <w:pPr>
        <w:pStyle w:val="19"/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b/>
          <w:bCs/>
          <w:sz w:val="24"/>
          <w:szCs w:val="24"/>
          <w:lang w:eastAsia="zh-CN"/>
        </w:rPr>
        <w:t>K-shot统计的是每类K个独立物理IQ记录；同一IQ的FFT、裁剪、均衡或数据增强view均不增加K。query只用于冻结后评价，不能训练、调参、早停、设阈值或回滚。</w:t>
      </w:r>
    </w:p>
    <w:p w14:paraId="368ED1B8">
      <w:pPr>
        <w:pStyle w:val="4"/>
        <w:rPr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  <w:lang w:eastAsia="zh-CN"/>
        </w:rPr>
        <w:t>1.3域适应及Stage2-B定位</w:t>
      </w:r>
    </w:p>
    <w:p w14:paraId="201051E4">
      <w:pPr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sz w:val="24"/>
          <w:szCs w:val="24"/>
          <w:lang w:eastAsia="zh-CN"/>
        </w:rPr>
        <w:t>source域与target域可写为（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D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src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D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分别表示源域与目标域数据分布；</w:t>
      </w:r>
      <m:oMath>
        <m:r>
          <m:rPr>
            <m:sty m:val="p"/>
            <m:scr m:val="script"/>
          </m:rPr>
          <w:rPr>
            <w:rFonts w:ascii="Cambria Math" w:hAnsi="Cambria Math"/>
            <w:sz w:val="24"/>
            <w:szCs w:val="24"/>
            <w:lang w:eastAsia="zh-CN"/>
          </w:rPr>
          <m:t>X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是接收IQ的输入空间，</w:t>
      </w:r>
      <m:oMath>
        <m:r>
          <m:rPr>
            <m:sty m:val="p"/>
            <m:scr m:val="script"/>
          </m:rPr>
          <w:rPr>
            <w:rFonts w:ascii="Cambria Math" w:hAnsi="Cambria Math"/>
            <w:sz w:val="24"/>
            <w:szCs w:val="24"/>
            <w:lang w:eastAsia="zh-CN"/>
          </w:rPr>
          <m:t>Y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是发射机标签空间。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P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src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,</m:t>
            </m:r>
            <m:r>
              <m:rPr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P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,</m:t>
            </m:r>
            <m:r>
              <m:rPr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是两个域中的联合分布，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P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∣</m:t>
            </m:r>
            <m:r>
              <m:rPr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表示给定同一发射机身份时观测到某种IQ波形的条件分布。CVS中的物理含义是发射机身份不变，但目标接收机与LEO信道使波形分布改变）</w:t>
      </w:r>
    </w:p>
    <w:p w14:paraId="2D226DB3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src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X,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src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m:rPr/>
            <w:rPr>
              <w:rFonts w:ascii="Cambria Math" w:hAnsi="Cambria Math"/>
              <w:sz w:val="24"/>
              <w:szCs w:val="24"/>
            </w:rPr>
            <m:t>  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tgt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X,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tgt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1CD725A6">
      <w:pPr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sz w:val="24"/>
          <w:szCs w:val="24"/>
          <w:lang w:eastAsia="zh-CN"/>
        </w:rPr>
        <w:t>跨接收机RFFI保持旧类标签空间不变，但类别条件分布发生变化：</w:t>
      </w:r>
    </w:p>
    <w:p w14:paraId="04CC1EEF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Y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src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Y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tgt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Y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old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m:rPr/>
            <w:rPr>
              <w:rFonts w:ascii="Cambria Math" w:hAnsi="Cambria Math"/>
              <w:sz w:val="24"/>
              <w:szCs w:val="24"/>
            </w:rPr>
            <m:t>  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P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src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∣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Y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≠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P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tgt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∣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Y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25CB7132">
      <w:pPr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sz w:val="24"/>
          <w:szCs w:val="24"/>
          <w:lang w:eastAsia="zh-CN"/>
        </w:rPr>
        <w:t>域适应的目标是利用source知识和允许读取的target数据，降低（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R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h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是预测器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h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在目标接收机域上的期望分类风险；</w:t>
      </w:r>
      <m:oMath>
        <m:r>
          <m:rPr>
            <m:sty m:val="p"/>
            <m:scr m:val="script"/>
          </m:rPr>
          <w:rPr>
            <w:rFonts w:ascii="Cambria Math" w:hAnsi="Cambria Math"/>
            <w:sz w:val="24"/>
            <w:szCs w:val="24"/>
            <w:lang w:eastAsia="zh-CN"/>
          </w:rPr>
          <m:t>l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h</m:t>
            </m:r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X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,</m:t>
            </m:r>
            <m:r>
              <m:rPr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是单个样本的分类损失；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  <m:scr m:val="double-struck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E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,</m:t>
                </m:r>
                <m:r>
                  <m:rPr>
                    <m:scr m:val="script"/>
                  </m:rP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Y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∼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P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tgt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⋅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表示对目标域分布中的样本取数学期望。物理上，降低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R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就是减少目标卫星接收机上旧发射机的平均识别错误）</w:t>
      </w:r>
    </w:p>
    <w:p w14:paraId="08C251C0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R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tgt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h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double-struck"/>
                </m:rPr>
                <w:rPr>
                  <w:rFonts w:ascii="Cambria Math" w:hAnsi="Cambria Math"/>
                  <w:sz w:val="24"/>
                  <w:szCs w:val="24"/>
                </w:rPr>
                <m:t>E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∼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tgt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4"/>
            </w:rPr>
            <m:t>​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21C6EA46">
      <w:pPr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sz w:val="24"/>
          <w:szCs w:val="24"/>
        </w:rPr>
        <w:t>Stage2-B每个旧类仅提供K个target-old support，因此属于</w:t>
      </w:r>
      <w:r>
        <w:rPr>
          <w:rFonts w:ascii="Times New Roman" w:hAnsi="Times New Roman" w:cs="Times New Roman" w:eastAsia="宋体"/>
          <w:b/>
          <w:bCs/>
          <w:sz w:val="24"/>
          <w:szCs w:val="24"/>
        </w:rPr>
        <w:t>少样本监督域适应</w:t>
      </w:r>
      <w:r>
        <w:rPr>
          <w:rFonts w:ascii="Times New Roman" w:hAnsi="Times New Roman" w:cs="Times New Roman" w:eastAsia="宋体"/>
          <w:sz w:val="24"/>
          <w:szCs w:val="24"/>
        </w:rPr>
        <w:t xml:space="preserve"> ：少样本描述target标签预算，域适应才是任务本质。Phase1域泛化训练不能读取未来target receiver；Phase2域适应发生在部署以后，可以读取协议允许的target support。</w:t>
      </w:r>
      <w:r>
        <w:rPr>
          <w:rFonts w:ascii="Times New Roman" w:hAnsi="Times New Roman" w:cs="Times New Roman" w:eastAsia="宋体"/>
          <w:sz w:val="24"/>
          <w:szCs w:val="24"/>
          <w:lang w:eastAsia="zh-CN"/>
        </w:rPr>
        <w:t>是否接触target数据，是DG与DA的关键边界。</w:t>
      </w:r>
    </w:p>
    <w:p w14:paraId="671649C2">
      <w:pPr>
        <w:pStyle w:val="4"/>
        <w:rPr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  <w:lang w:eastAsia="zh-CN"/>
        </w:rPr>
        <w:t>1.4类增量、FSCIL与新类注册</w:t>
      </w:r>
    </w:p>
    <w:p w14:paraId="5D187882">
      <w:pPr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sz w:val="24"/>
          <w:szCs w:val="24"/>
          <w:lang w:eastAsia="zh-CN"/>
        </w:rPr>
        <w:t>类增量学习要求新类按阶段到达，并把更新后的状态持续保存：（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≤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−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1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是进入第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t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次增量前已经注册的类别，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new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是本次到达并获得合法support的新发射机，二者并集构成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≤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t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h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是完成第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t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次更新后持续保存的预测器，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h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x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是观测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x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对类别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c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的分类分数。统一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argmax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意味着旧类和已注册新类在同一候选空间竞争）</w:t>
      </w:r>
    </w:p>
    <w:p w14:paraId="0ED3F5B0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Y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≤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Y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≤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−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∪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Y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new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m:rPr/>
            <w:rPr>
              <w:rFonts w:ascii="Cambria Math" w:hAnsi="Cambria Math"/>
              <w:sz w:val="24"/>
              <w:szCs w:val="24"/>
            </w:rPr>
            <m:t>  </m:t>
          </m:r>
          <m:acc>
            <m:accPr>
              <m:ctrlPr>
                <w:rPr>
                  <w:rFonts w:ascii="Cambria Math" w:hAnsi="Cambria Math"/>
                  <w:sz w:val="24"/>
                  <w:szCs w:val="24"/>
                </w:rPr>
              </m:ctrlPr>
            </m:acc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y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acc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=arg</m:t>
          </m:r>
          <m:limLow>
            <m:limLowPr>
              <m:ctrlPr>
                <w:rPr>
                  <w:rFonts w:ascii="Cambria Math" w:hAnsi="Cambria Math"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max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lim>
              <m:r>
                <m:rPr/>
                <w:rPr>
                  <w:rFonts w:ascii="Cambria Math" w:hAnsi="Cambria Math"/>
                  <w:sz w:val="24"/>
                  <w:szCs w:val="24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≤</m:t>
                      </m:r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Cambria Math" w:hAnsi="Cambria Math"/>
                  <w:sz w:val="24"/>
                  <w:szCs w:val="24"/>
                </w:rPr>
              </m:ctrlPr>
            </m:lim>
          </m:limLow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h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748507F9">
      <w:pPr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sz w:val="24"/>
          <w:szCs w:val="24"/>
          <w:lang w:eastAsia="zh-CN"/>
        </w:rPr>
        <w:t>推理时不提供task ID，模型必须让旧类与新类在同一标签空间竞争。当每个增量新类只有K个support时，任务成为FSCIL。一次新类集合注册只能评价single-session/one-step类扩展；若要声明持续FSCIL，还需连续执行多个增量session，并在每个session后评价累计类别和遗忘。</w:t>
      </w:r>
    </w:p>
    <w:p w14:paraId="2E8FCDA6">
      <w:pPr>
        <w:pStyle w:val="19"/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sz w:val="24"/>
          <w:szCs w:val="24"/>
          <w:lang w:eastAsia="zh-CN"/>
        </w:rPr>
        <w:t>CVS中的“新类注册”是部署操作：利用带标签新类support建立prototype、分类权重、adapter或其他持久状态，使该身份从未注册unknown转为seen-new class。应严格区分</w:t>
      </w:r>
    </w:p>
    <w:p w14:paraId="5DD12C40">
      <w:pPr>
        <w:pStyle w:val="19"/>
        <w:rPr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sz w:val="24"/>
              <w:szCs w:val="24"/>
              <w:lang w:eastAsia="zh-CN"/>
            </w:rPr>
            <m:t>unknown rejection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eastAsia="zh-CN"/>
            </w:rPr>
            <m:t>≠</m:t>
          </m:r>
          <m:r>
            <m:rPr>
              <m:nor/>
              <m:sty m:val="p"/>
            </m:rPr>
            <w:rPr>
              <w:sz w:val="24"/>
              <w:szCs w:val="24"/>
              <w:lang w:eastAsia="zh-CN"/>
            </w:rPr>
            <m:t>new-class registration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eastAsia="zh-CN"/>
            </w:rPr>
            <m:t>.</m:t>
          </m:r>
        </m:oMath>
      </m:oMathPara>
    </w:p>
    <w:p w14:paraId="3C9B7003">
      <w:pPr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sz w:val="24"/>
          <w:szCs w:val="24"/>
          <w:lang w:eastAsia="zh-CN"/>
        </w:rPr>
        <w:t>unknown尚未获得可信标签，不能直接进入注册集合；只有获得合法标签和support后，才能成为已注册新类。</w:t>
      </w:r>
    </w:p>
    <w:p w14:paraId="3224F7FC">
      <w:pPr>
        <w:pStyle w:val="4"/>
        <w:rPr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  <w:lang w:eastAsia="zh-CN"/>
        </w:rPr>
        <w:t>1.5与CVS-RFFI Phase2阶段的对应</w:t>
      </w:r>
    </w:p>
    <w:tbl>
      <w:tblPr>
        <w:tblW w:w="0" w:type="auto"/>
        <w:tblInd w:w="0" w:type="dxa"/>
        <w:tblLayout w:type="autofit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73"/>
        <w:gridCol w:w="713"/>
        <w:gridCol w:w="797"/>
        <w:gridCol w:w="1836"/>
        <w:gridCol w:w="3810"/>
        <w:gridCol w:w="1511"/>
      </w:tblGrid>
      <w:tr w14:paraId="10DAD4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4F4A50AB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阶段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71058CF4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域是否变化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7CFD6EDD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类别是否增加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219308CD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可用target标签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20C56556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准确任务定位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4FCD44F2">
            <w:pPr>
              <w:spacing w:after="0" w:line="240" w:lineRule="auto"/>
              <w:rPr>
                <w:sz w:val="24"/>
                <w:szCs w:val="24"/>
                <w:lang w:eastAsia="zh-CN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lang w:eastAsia="zh-CN"/>
                <w:bCs/>
                <w:color w:val="1F4E79"/>
              </w:rPr>
              <w:t>冻结后query范围</w:t>
            </w:r>
          </w:p>
        </w:tc>
      </w:tr>
      <w:tr w14:paraId="727C32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60F666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b/>
                <w:color w:val="C00000"/>
                <w:sz w:val="20"/>
                <w:szCs w:val="20"/>
              </w:rPr>
              <w:t>Stage2-A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07D7CAB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是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7C87C34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否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7F5ACEC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无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59BCC39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zero-label transfer/reference；仅在实际使用无标签target更新时才属于UDA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9A7B94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旧类target query</w:t>
            </w:r>
          </w:p>
        </w:tc>
      </w:tr>
      <w:tr w14:paraId="695334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21A5C60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b/>
                <w:color w:val="C00000"/>
                <w:sz w:val="20"/>
                <w:szCs w:val="20"/>
              </w:rPr>
              <w:t>Stage2-B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6FAAA7B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是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00F1525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否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44F1212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旧类K-shot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7190F86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少样本监督域适应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6196980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旧类target query</w:t>
            </w:r>
          </w:p>
        </w:tc>
      </w:tr>
      <w:tr w14:paraId="250326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808C18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b/>
                <w:color w:val="C00000"/>
                <w:sz w:val="20"/>
                <w:szCs w:val="20"/>
              </w:rPr>
              <w:t>Stage2-C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42F489E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是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A5ADEB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是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4B1F327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旧类与新类均为K-shot target support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06DF5E6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跨域单步FSCIL/新类注册；连续多session时为完整FSCIL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4235CCEB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  <w:lang w:eastAsia="zh-CN"/>
              </w:rPr>
              <w:t>旧类＋已注册新类统一query</w:t>
            </w:r>
          </w:p>
        </w:tc>
      </w:tr>
    </w:tbl>
    <w:p w14:paraId="04FBAD07">
      <w:pPr>
        <w:pStyle w:val="4"/>
        <w:rPr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1.6样本角色与成功条件</w:t>
      </w:r>
    </w:p>
    <w:p w14:paraId="46299559">
      <w:pPr>
        <w:numPr>
          <w:ilvl w:val="0"/>
          <w:numId w:val="7"/>
        </w:numPr>
        <w:rPr>
          <w:sz w:val="24"/>
          <w:szCs w:val="24"/>
        </w:rPr>
      </w:pPr>
      <w:r>
        <w:rPr>
          <w:rFonts w:ascii="Times New Roman" w:hAnsi="Times New Roman" w:cs="Times New Roman" w:eastAsia="宋体"/>
          <w:b/>
          <w:bCs/>
          <w:sz w:val="24"/>
          <w:szCs w:val="24"/>
        </w:rPr>
        <w:t>旧类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old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b/>
          <w:bCs/>
          <w:sz w:val="24"/>
          <w:szCs w:val="24"/>
        </w:rPr>
        <w:t>：</w:t>
      </w:r>
      <w:r>
        <w:rPr>
          <w:rFonts w:ascii="Times New Roman" w:hAnsi="Times New Roman" w:cs="Times New Roman" w:eastAsia="宋体"/>
          <w:sz w:val="24"/>
          <w:szCs w:val="24"/>
        </w:rPr>
        <w:t xml:space="preserve"> Phase1已经见过的发射机；更换receiver不改变其身份。</w:t>
      </w:r>
    </w:p>
    <w:p w14:paraId="44534CD3">
      <w:pPr>
        <w:numPr>
          <w:ilvl w:val="0"/>
          <w:numId w:val="7"/>
        </w:numPr>
        <w:rPr>
          <w:sz w:val="24"/>
          <w:szCs w:val="24"/>
        </w:rPr>
      </w:pPr>
      <w:r>
        <w:rPr>
          <w:rFonts w:ascii="Times New Roman" w:hAnsi="Times New Roman" w:cs="Times New Roman" w:eastAsia="宋体"/>
          <w:b/>
          <w:bCs/>
          <w:sz w:val="24"/>
          <w:szCs w:val="24"/>
        </w:rPr>
        <w:t>新类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new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rFonts w:ascii="Times New Roman" w:hAnsi="Times New Roman" w:cs="Times New Roman" w:eastAsia="宋体"/>
          <w:b/>
          <w:bCs/>
          <w:sz w:val="24"/>
          <w:szCs w:val="24"/>
        </w:rPr>
        <w:t>：</w:t>
      </w:r>
      <w:r>
        <w:rPr>
          <w:rFonts w:ascii="Times New Roman" w:hAnsi="Times New Roman" w:cs="Times New Roman" w:eastAsia="宋体"/>
          <w:sz w:val="24"/>
          <w:szCs w:val="24"/>
        </w:rPr>
        <w:t xml:space="preserve"> Phase1未见、在Stage2-C通过合法support注册的发射机。</w:t>
      </w:r>
    </w:p>
    <w:p w14:paraId="4AB71E28">
      <w:pPr>
        <w:numPr>
          <w:ilvl w:val="0"/>
          <w:numId w:val="7"/>
        </w:numPr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b/>
          <w:bCs/>
          <w:sz w:val="24"/>
          <w:szCs w:val="24"/>
          <w:lang w:eastAsia="zh-CN"/>
        </w:rPr>
        <w:t>未注册unknown：</w:t>
      </w:r>
      <w:r>
        <w:rPr>
          <w:rFonts w:ascii="Times New Roman" w:hAnsi="Times New Roman" w:cs="Times New Roman" w:eastAsia="宋体"/>
          <w:sz w:val="24"/>
          <w:szCs w:val="24"/>
          <w:lang w:eastAsia="zh-CN"/>
        </w:rPr>
        <w:t xml:space="preserve"> 尚未获得可信标签或尚未加入已注册类别集合的发射机。</w:t>
      </w:r>
    </w:p>
    <w:p w14:paraId="6E0CC6C2">
      <w:pPr>
        <w:numPr>
          <w:ilvl w:val="0"/>
          <w:numId w:val="7"/>
        </w:numPr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b/>
          <w:bCs/>
          <w:sz w:val="24"/>
          <w:szCs w:val="24"/>
          <w:lang w:eastAsia="zh-CN"/>
        </w:rPr>
        <w:t>support：</w:t>
      </w:r>
      <w:r>
        <w:rPr>
          <w:rFonts w:ascii="Times New Roman" w:hAnsi="Times New Roman" w:cs="Times New Roman" w:eastAsia="宋体"/>
          <w:sz w:val="24"/>
          <w:szCs w:val="24"/>
          <w:lang w:eastAsia="zh-CN"/>
        </w:rPr>
        <w:t xml:space="preserve"> 唯一允许参与适应、注册和状态更新的带标签样本。</w:t>
      </w:r>
    </w:p>
    <w:p w14:paraId="7B3205B2">
      <w:pPr>
        <w:numPr>
          <w:ilvl w:val="0"/>
          <w:numId w:val="7"/>
        </w:numPr>
        <w:rPr>
          <w:sz w:val="24"/>
          <w:szCs w:val="24"/>
        </w:rPr>
      </w:pPr>
      <w:r>
        <w:rPr>
          <w:rFonts w:ascii="Times New Roman" w:hAnsi="Times New Roman" w:cs="Times New Roman" w:eastAsia="宋体"/>
          <w:b/>
          <w:bCs/>
          <w:sz w:val="24"/>
          <w:szCs w:val="24"/>
        </w:rPr>
        <w:t>query：</w:t>
      </w:r>
      <w:r>
        <w:rPr>
          <w:rFonts w:ascii="Times New Roman" w:hAnsi="Times New Roman" w:cs="Times New Roman" w:eastAsia="宋体"/>
          <w:sz w:val="24"/>
          <w:szCs w:val="24"/>
        </w:rPr>
        <w:t xml:space="preserve"> 模型冻结后用于评价的独立样本，不得影响predictor。</w:t>
      </w:r>
    </w:p>
    <w:p w14:paraId="49117C5E">
      <w:pPr>
        <w:numPr>
          <w:ilvl w:val="0"/>
          <w:numId w:val="7"/>
        </w:numPr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b/>
          <w:bCs/>
          <w:sz w:val="24"/>
          <w:szCs w:val="24"/>
          <w:lang w:eastAsia="zh-CN"/>
        </w:rPr>
        <w:t>K-shot：</w:t>
      </w:r>
      <w:r>
        <w:rPr>
          <w:rFonts w:ascii="Times New Roman" w:hAnsi="Times New Roman" w:cs="Times New Roman" w:eastAsia="宋体"/>
          <w:sz w:val="24"/>
          <w:szCs w:val="24"/>
          <w:lang w:eastAsia="zh-CN"/>
        </w:rPr>
        <w:t xml:space="preserve"> 每类K个互不重复的物理接收观测。</w:t>
      </w:r>
    </w:p>
    <w:p w14:paraId="3EDD01FB">
      <w:pPr>
        <w:pStyle w:val="3"/>
        <w:rPr>
          <w:sz w:val="36"/>
          <w:szCs w:val="32"/>
          <w:lang w:eastAsia="zh-CN"/>
        </w:rPr>
      </w:pPr>
      <w:bookmarkStart w:id="0" w:name="Xa4b16eab3645cd06e297e8c59920ba7f89a3828"/>
      <w:r>
        <w:rPr>
          <w:rFonts w:ascii="Times New Roman" w:hAnsi="Times New Roman" w:eastAsia="宋体" w:cs="Times New Roman"/>
          <w:sz w:val="36"/>
          <w:szCs w:val="36"/>
          <w:lang w:eastAsia="zh-CN"/>
        </w:rPr>
        <w:t>2.数据、权限与评价框架</w:t>
      </w:r>
    </w:p>
    <w:p w14:paraId="3FA1E03C">
      <w:pPr>
        <w:pStyle w:val="4"/>
        <w:rPr>
          <w:sz w:val="28"/>
          <w:szCs w:val="28"/>
          <w:lang w:eastAsia="zh-CN"/>
        </w:rPr>
      </w:pPr>
      <w:bookmarkStart w:id="1" w:name="X8fa98ef5c1a5d93584cb015cb15574040e70ae8"/>
      <w:r>
        <w:rPr>
          <w:rFonts w:ascii="Times New Roman" w:hAnsi="Times New Roman" w:eastAsia="宋体" w:cs="Times New Roman"/>
          <w:sz w:val="28"/>
          <w:szCs w:val="28"/>
          <w:lang w:eastAsia="zh-CN"/>
        </w:rPr>
        <w:t>2.1从Phase1训练到Phase2部署</w:t>
      </w:r>
    </w:p>
    <w:p w14:paraId="402446C6">
      <w:pPr>
        <w:rPr>
          <w:sz w:val="24"/>
          <w:szCs w:val="24"/>
        </w:rPr>
      </w:pPr>
      <w:r>
        <w:rPr>
          <w:rFonts w:ascii="Times New Roman" w:hAnsi="Times New Roman" w:cs="Times New Roman" w:eastAsia="宋体"/>
          <w:szCs w:val="24"/>
          <w:lang w:eastAsia="zh-CN"/>
          <w:sz w:val="24"/>
        </w:rPr>
        <w:t>两轮实验统一使用Phase1方法——地面跨接收机域泛化射频指纹表征方法（以下简称Phase1域泛化基座）形成的冻结checkpoint（训练后冻结的模型参数快照）。deployment bundle是与checkpoint共同封存、可供Phase2只读使用的部署状态；backbone指把接收IQ映射为身份特征的主干网络，adapter是附加的小型可训练适配模块，prototype是某一发射机类别的特征中心。</w:t>
      </w:r>
      <w:r>
        <w:rPr>
          <w:rFonts w:ascii="Times New Roman" w:hAnsi="Times New Roman" w:cs="Times New Roman" w:eastAsia="宋体"/>
          <w:szCs w:val="24"/>
          <w:sz w:val="24"/>
        </w:rPr>
        <w:t>统一基座可避免backbone差异干扰方法比较。</w:t>
      </w:r>
    </w:p>
    <w:tbl>
      <w:tblPr>
        <w:tblW w:w="0" w:type="auto"/>
        <w:tblInd w:w="0" w:type="dxa"/>
        <w:tblLayout w:type="autofit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260"/>
        <w:gridCol w:w="3182"/>
        <w:gridCol w:w="3261"/>
        <w:gridCol w:w="1837"/>
      </w:tblGrid>
      <w:tr w14:paraId="2C39F6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4ABBDFC3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bCs/>
                <w:sz w:val="20"/>
                <w:szCs w:val="20"/>
                <w:color w:val="1F4E79"/>
              </w:rPr>
              <w:t>环节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248420C5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bCs/>
                <w:sz w:val="20"/>
                <w:szCs w:val="20"/>
                <w:color w:val="1F4E79"/>
              </w:rPr>
              <w:t>可用数据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7BE9F2BD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bCs/>
                <w:sz w:val="20"/>
                <w:szCs w:val="20"/>
                <w:color w:val="1F4E79"/>
              </w:rPr>
              <w:t>允许更新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5912404F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bCs/>
                <w:sz w:val="20"/>
                <w:szCs w:val="20"/>
                <w:color w:val="1F4E79"/>
              </w:rPr>
              <w:t>输出</w:t>
            </w:r>
          </w:p>
        </w:tc>
      </w:tr>
      <w:tr w14:paraId="510053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46A2663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Phase1地面训练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5F38E72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source数据及物理启发的LEO增强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2507ED4D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  <w:lang w:eastAsia="zh-CN"/>
              </w:rPr>
              <w:t>身份backbone与训练状态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C2776A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不可变deployment bundle</w:t>
            </w:r>
          </w:p>
        </w:tc>
      </w:tr>
      <w:tr w14:paraId="4C848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149D31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Phase2适应/注册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6D737B0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bundle、固定LEO target IQ、当前row的support标签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0243E84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由方法声明的prototype、分类头、adapter或backbone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0231D351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  <w:lang w:eastAsia="zh-CN"/>
              </w:rPr>
              <w:t>冻结后的目标域预测器</w:t>
            </w:r>
          </w:p>
        </w:tc>
      </w:tr>
      <w:tr w14:paraId="163C6B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13F2B7A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独立评分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617CC24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prediction artifact与query真值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0A372A7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不得回流到predictor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0164E1F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同一row评价指标</w:t>
            </w:r>
          </w:p>
        </w:tc>
      </w:tr>
      <w:bookmarkEnd w:id="1"/>
    </w:tbl>
    <w:p w14:paraId="26EE9019">
      <w:pPr>
        <w:pStyle w:val="4"/>
        <w:rPr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2.2实验矩阵</w:t>
      </w:r>
    </w:p>
    <w:tbl>
      <w:tblPr>
        <w:tblW w:w="0" w:type="auto"/>
        <w:tblInd w:w="0" w:type="dxa"/>
        <w:tblLayout w:type="autofit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526"/>
        <w:gridCol w:w="2509"/>
        <w:gridCol w:w="2374"/>
        <w:gridCol w:w="1586"/>
        <w:gridCol w:w="2545"/>
      </w:tblGrid>
      <w:tr w14:paraId="2AA5D4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291AC37F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bCs/>
                <w:sz w:val="20"/>
                <w:szCs w:val="20"/>
                <w:color w:val="1F4E79"/>
              </w:rPr>
              <w:t>工作包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02CAA802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bCs/>
                <w:sz w:val="20"/>
                <w:szCs w:val="20"/>
                <w:color w:val="1F4E79"/>
              </w:rPr>
              <w:t>基座与数据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339C0DC9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bCs/>
                <w:sz w:val="20"/>
                <w:szCs w:val="20"/>
                <w:color w:val="1F4E79"/>
              </w:rPr>
              <w:t>target设置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04C9AAEF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bCs/>
                <w:sz w:val="20"/>
                <w:szCs w:val="20"/>
                <w:color w:val="1F4E79"/>
              </w:rPr>
              <w:t>实验规模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47AF498F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bCs/>
                <w:sz w:val="20"/>
                <w:szCs w:val="20"/>
                <w:color w:val="1F4E79"/>
              </w:rPr>
              <w:t>输出</w:t>
            </w:r>
          </w:p>
        </w:tc>
      </w:tr>
      <w:tr w14:paraId="2A7975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6C3968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旧类域适应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0872F3F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Phase1域泛化基座＋target-old support/query；MRIOR/DADDA另读source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D07122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5个target receiver；</w:t>
            </w:r>
            <m:oMath>
              <m:r>
                <m:rPr/>
                <w:rPr>
                  <w:rFonts w:ascii="Cambria Math" w:hAnsi="Cambria Math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∈{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20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}</m:t>
              </m:r>
            </m:oMath>
            <w:r>
              <w:rPr>
                <w:rFonts w:ascii="Times New Roman" w:hAnsi="Times New Roman" w:cs="Times New Roman" w:eastAsia="宋体"/>
                <w:sz w:val="20"/>
                <w:szCs w:val="20"/>
              </w:rPr>
              <w:t>；5个seed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5350CC9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5×5×5×3=375个方法任务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5DC6B0CC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DA0_REG0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/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DA1_REG0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</m:oMath>
            <w:r>
              <w:rPr>
                <w:rFonts w:ascii="Times New Roman" w:hAnsi="Times New Roman" w:cs="Times New Roman" w:eastAsia="宋体"/>
                <w:sz w:val="20"/>
                <w:szCs w:val="20"/>
                <w:lang w:eastAsia="zh-CN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G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  <w:r>
              <w:rPr>
                <w:rFonts w:ascii="Times New Roman" w:hAnsi="Times New Roman" w:cs="Times New Roman" w:eastAsia="宋体"/>
                <w:sz w:val="20"/>
                <w:szCs w:val="20"/>
                <w:lang w:eastAsia="zh-CN"/>
              </w:rPr>
              <w:t>、正/负迁移、时延</w:t>
            </w:r>
          </w:p>
        </w:tc>
      </w:tr>
      <w:tr w14:paraId="4D30A7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109A9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新类注册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16D1C87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Phase1域泛化基座接口＋Phase2前base状态＋target-new support；old/new query只评分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0905644A">
            <w:pPr>
              <w:spacing w:after="0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K∈{5,10,20}；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2EE52E8B">
            <w:pPr>
              <w:spacing w:after="0"/>
              <w:rPr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  <w:lang w:eastAsia="zh-CN"/>
              </w:rPr>
              <w:t>24个正式LEO逐配置结果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29376529">
            <w:pPr>
              <w:spacing w:after="0" w:line="240" w:lineRule="auto"/>
              <w:rPr>
                <w:sz w:val="24"/>
                <w:szCs w:val="24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DA1_REG0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/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DA1_REG1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</m:oMath>
            <w:r>
              <w:rPr>
                <w:rFonts w:ascii="Times New Roman" w:hAnsi="Times New Roman" w:cs="Times New Roman" w:eastAsia="宋体"/>
                <w:sz w:val="20"/>
                <w:szCs w:val="20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  <w:r>
              <w:rPr>
                <w:rFonts w:ascii="Times New Roman" w:hAnsi="Times New Roman" w:cs="Times New Roman" w:eastAsia="宋体"/>
                <w:sz w:val="20"/>
                <w:szCs w:val="20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  <w:r>
              <w:rPr>
                <w:rFonts w:ascii="Times New Roman" w:hAnsi="Times New Roman" w:cs="Times New Roman" w:eastAsia="宋体"/>
                <w:sz w:val="20"/>
                <w:szCs w:val="20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  <w:r>
              <w:rPr>
                <w:rFonts w:ascii="Times New Roman" w:hAnsi="Times New Roman" w:cs="Times New Roman" w:eastAsia="宋体"/>
                <w:sz w:val="20"/>
                <w:szCs w:val="20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min,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</w:tr>
      <w:tr w14:paraId="7E1E6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5E965F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信道归因诊断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49CED383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  <w:lang w:eastAsia="zh-CN"/>
              </w:rPr>
              <w:t>保持方法、物理ID、split、K、seed和旧类条件一致，仅替换新类IQ为无LEO版本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1E9513F8">
            <w:pPr>
              <w:spacing w:after="0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K∈{5,10,20}；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582BE097">
            <w:pPr>
              <w:spacing w:after="0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18个matched无LEO逐配置结果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2653F658">
            <w:pPr>
              <w:spacing w:after="0" w:line="240" w:lineRule="auto"/>
              <w:rPr>
                <w:sz w:val="24"/>
                <w:szCs w:val="24"/>
              </w:rPr>
            </w:pPr>
            <m:oMath>
              <m:r>
                <m:rPr/>
                <w:rPr>
                  <w:rFonts w:ascii="Cambria Math" w:hAnsi="Cambria Math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  <w:r>
              <w:rPr>
                <w:rFonts w:ascii="Times New Roman" w:hAnsi="Times New Roman" w:cs="Times New Roman" w:eastAsia="宋体"/>
                <w:sz w:val="20"/>
                <w:szCs w:val="20"/>
              </w:rPr>
              <w:t>、</w:t>
            </w:r>
            <m:oMath>
              <m:r>
                <m:rPr/>
                <w:rPr>
                  <w:rFonts w:ascii="Cambria Math" w:hAnsi="Cambria Math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  <w:r>
              <w:rPr>
                <w:rFonts w:ascii="Times New Roman" w:hAnsi="Times New Roman" w:cs="Times New Roman" w:eastAsia="宋体"/>
                <w:sz w:val="20"/>
                <w:szCs w:val="20"/>
              </w:rPr>
              <w:t>、</w:t>
            </w:r>
            <m:oMath>
              <m:r>
                <m:rPr/>
                <w:rPr>
                  <w:rFonts w:ascii="Cambria Math" w:hAnsi="Cambria Math"/>
                  <w:sz w:val="24"/>
                  <w:szCs w:val="24"/>
                </w:rPr>
                <m:t>ΔH</m:t>
              </m:r>
            </m:oMath>
            <w:r>
              <w:rPr>
                <w:rFonts w:ascii="Times New Roman" w:hAnsi="Times New Roman" w:cs="Times New Roman" w:eastAsia="宋体"/>
                <w:sz w:val="20"/>
                <w:szCs w:val="20"/>
              </w:rPr>
              <w:t>、</w:t>
            </w:r>
            <m:oMath>
              <m:r>
                <m:rPr/>
                <w:rPr>
                  <w:rFonts w:ascii="Cambria Math" w:hAnsi="Cambria Math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  <w:r>
              <w:rPr>
                <w:rFonts w:ascii="Times New Roman" w:hAnsi="Times New Roman" w:cs="Times New Roman" w:eastAsia="宋体"/>
                <w:sz w:val="20"/>
                <w:szCs w:val="20"/>
              </w:rPr>
              <w:t>、</w:t>
            </w:r>
            <m:oMath>
              <m:r>
                <m:rPr/>
                <w:rPr>
                  <w:rFonts w:ascii="Cambria Math" w:hAnsi="Cambria Math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min,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</w:tr>
    </w:tbl>
    <w:p w14:paraId="6E6D4E49">
      <w:pPr>
        <w:pStyle w:val="4"/>
        <w:rPr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  <w:lang w:eastAsia="zh-CN"/>
        </w:rPr>
        <w:t>2.3评价指标</w:t>
      </w:r>
    </w:p>
    <w:p>
      <w:pPr>
        <w:keepLines/>
        <w:spacing w:before="0" w:after="80" w:line="300" w:lineRule="auto"/>
        <w:jc w:val="left"/>
      </w:pPr>
      <w:r>
        <w:rPr>
          <w:rFonts w:ascii="Times New Roman" w:hAnsi="Times New Roman" w:eastAsia="宋体" w:cs="Times New Roman"/>
          <w:sz w:val="24"/>
          <w:szCs w:val="24"/>
        </w:rPr>
        <w:t>为避免符号、状态和结果字段混在一个段落中，以下按三类表格说明。状态名统一写为DAx_REGy：第一位DA表示是否完成域适应，第二位REG表示是否完成新类注册，0/1分别表示未完成/已完成。准确率与调和均值以%报告，差值以百分点（percentage points，pp）报告，运行时间以秒（second，s）报告；Δ表示相对正式LEO结果的变化量。</w:t>
      </w:r>
    </w:p>
    <w:p>
      <w:pPr>
        <w:keepNext/>
        <w:keepLines/>
        <w:spacing w:before="120" w:after="60" w:line="300" w:lineRule="auto"/>
        <w:jc w:val="left"/>
      </w:pPr>
      <w:r>
        <w:rPr>
          <w:rFonts w:ascii="Times New Roman" w:hAnsi="Times New Roman" w:eastAsia="宋体" w:cs="Times New Roman"/>
          <w:b/>
          <w:bCs/>
          <w:color w:val="1F4E79"/>
          <w:sz w:val="24"/>
          <w:szCs w:val="24"/>
        </w:rPr>
        <w:t>（1）数据对象与基础符号</w:t>
      </w:r>
    </w:p>
    <w:tbl>
      <w:tblPr>
        <w:tblW w:w="9360" w:type="dxa"/>
        <w:tblInd w:w="12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800"/>
        <w:gridCol w:w="7560"/>
      </w:tblGrid>
      <w:tr>
        <w:trPr>
          <w:tblHeader/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  <w:color w:val="1F4E79"/>
              </w:rPr>
              <w:t>符号</w:t>
            </w:r>
          </w:p>
        </w:tc>
        <w:tc>
          <w:tcPr>
            <w:tcW w:w="7560" w:type="dxa"/>
            <w:shd w:val="clear" w:color="auto" w:fill="D9E2F3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  <w:color w:val="1F4E79"/>
              </w:rPr>
              <w:t>定义与物理意义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Q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  <w:r>
              <w:rPr>
                <w:rFonts w:ascii="Times New Roman" w:hAnsi="Times New Roman" w:eastAsia="宋体" w:cs="Times New Roman"/>
                <w:sz w:val="20"/>
                <w:szCs w:val="20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Q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756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旧类query集合与新类query集合。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Q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756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旧类c的query子集。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m:oMath>
              <m:r>
                <m:rPr/>
                <w:rPr>
                  <w:rFonts w:ascii="Cambria Math" w:hAnsi="Cambria Math"/>
                  <w:sz w:val="24"/>
                  <w:szCs w:val="24"/>
                </w:rPr>
                <m:t>i</m:t>
              </m:r>
            </m:oMath>
          </w:p>
        </w:tc>
        <w:tc>
          <w:tcPr>
            <w:tcW w:w="756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query样本索引。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756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第i个query样本的真实类别。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m:oMath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eastAsia="zh-CN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eastAsia="zh-CN"/>
                        </w:rPr>
                        <m:t>DA0_REG0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</m:oMath>
            <w:r>
              <w:rPr>
                <w:rFonts w:ascii="Times New Roman" w:hAnsi="Times New Roman" w:eastAsia="宋体" w:cs="Times New Roman"/>
                <w:sz w:val="20"/>
                <w:szCs w:val="20"/>
              </w:rPr>
              <w:t>、</w:t>
            </w:r>
            <m:oMath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eastAsia="zh-CN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eastAsia="zh-CN"/>
                        </w:rPr>
                        <m:t>DA1_REG0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</m:oMath>
          </w:p>
        </w:tc>
        <w:tc>
          <w:tcPr>
            <w:tcW w:w="756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Stage2-B域适应前与域适应后的预测类别。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m:oMath>
              <m:r>
                <m:rPr>
                  <m:sty m:val="p"/>
                  <m:scr m:val="double-struck"/>
                </m:rPr>
                <w:rPr>
                  <w:rFonts w:ascii="Cambria Math" w:hAnsi="Cambria Math"/>
                  <w:sz w:val="24"/>
                  <w:szCs w:val="24"/>
                  <w:lang w:eastAsia="zh-CN"/>
                </w:rPr>
                <m:t>I[⋅]</m:t>
              </m:r>
            </m:oMath>
          </w:p>
        </w:tc>
        <w:tc>
          <w:tcPr>
            <w:tcW w:w="756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指示函数：条件成立取1，否则取0。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756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Phase1已经注册的旧发射机类别集合。</w:t>
            </w:r>
          </w:p>
        </w:tc>
      </w:tr>
    </w:tbl>
    <w:p>
      <w:pPr>
        <w:keepNext/>
        <w:keepLines/>
        <w:spacing w:before="120" w:after="60" w:line="300" w:lineRule="auto"/>
        <w:jc w:val="left"/>
      </w:pPr>
      <w:r>
        <w:rPr>
          <w:rFonts w:ascii="Times New Roman" w:hAnsi="Times New Roman" w:eastAsia="宋体" w:cs="Times New Roman"/>
          <w:b/>
          <w:bCs/>
          <w:color w:val="1F4E79"/>
          <w:sz w:val="24"/>
          <w:szCs w:val="24"/>
        </w:rPr>
        <w:t>（2）四状态编码</w:t>
      </w:r>
    </w:p>
    <w:tbl>
      <w:tblPr>
        <w:tblW w:w="9360" w:type="dxa"/>
        <w:tblInd w:w="12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500"/>
        <w:gridCol w:w="1400"/>
        <w:gridCol w:w="1500"/>
        <w:gridCol w:w="4960"/>
      </w:tblGrid>
      <w:tr>
        <w:trPr>
          <w:tblHeader/>
          <w:cantSplit/>
        </w:trPr>
        <w:tc>
          <w:tcPr>
            <w:tcW w:w="1500" w:type="dxa"/>
            <w:shd w:val="clear" w:color="auto" w:fill="D9E2F3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  <w:color w:val="1F4E79"/>
              </w:rPr>
              <w:t>状态</w:t>
            </w:r>
          </w:p>
        </w:tc>
        <w:tc>
          <w:tcPr>
            <w:tcW w:w="1400" w:type="dxa"/>
            <w:shd w:val="clear" w:color="auto" w:fill="D9E2F3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  <w:color w:val="1F4E79"/>
              </w:rPr>
              <w:t>完成域适应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  <w:color w:val="1F4E79"/>
              </w:rPr>
              <w:t>完成新类注册</w:t>
            </w:r>
          </w:p>
        </w:tc>
        <w:tc>
          <w:tcPr>
            <w:tcW w:w="4960" w:type="dxa"/>
            <w:shd w:val="clear" w:color="auto" w:fill="D9E2F3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  <w:color w:val="1F4E79"/>
              </w:rPr>
              <w:t>对应阶段与含义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DA0_REG0</w:t>
            </w:r>
          </w:p>
        </w:tc>
        <w:tc>
          <w:tcPr>
            <w:tcW w:w="140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否</w:t>
            </w:r>
          </w:p>
        </w:tc>
        <w:tc>
          <w:tcPr>
            <w:tcW w:w="150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否</w:t>
            </w:r>
          </w:p>
        </w:tc>
        <w:tc>
          <w:tcPr>
            <w:tcW w:w="496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域适应前、注册前；Stage2-B的直接基座状态。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DA1_REG0</w:t>
            </w:r>
          </w:p>
        </w:tc>
        <w:tc>
          <w:tcPr>
            <w:tcW w:w="140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是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否</w:t>
            </w:r>
          </w:p>
        </w:tc>
        <w:tc>
          <w:tcPr>
            <w:tcW w:w="496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域适应后、注册前；Stage2-B的主要评价状态。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DA0_REG1</w:t>
            </w:r>
          </w:p>
        </w:tc>
        <w:tc>
          <w:tcPr>
            <w:tcW w:w="140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否</w:t>
            </w:r>
          </w:p>
        </w:tc>
        <w:tc>
          <w:tcPr>
            <w:tcW w:w="150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是</w:t>
            </w:r>
          </w:p>
        </w:tc>
        <w:tc>
          <w:tcPr>
            <w:tcW w:w="496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域适应前、注册后；用于分离新类注册带来的变化。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DA1_REG1</w:t>
            </w:r>
          </w:p>
        </w:tc>
        <w:tc>
          <w:tcPr>
            <w:tcW w:w="140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是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是</w:t>
            </w:r>
          </w:p>
        </w:tc>
        <w:tc>
          <w:tcPr>
            <w:tcW w:w="496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域适应后、注册后；Stage2-C的旧新联合评价状态。</w:t>
            </w:r>
          </w:p>
        </w:tc>
      </w:tr>
    </w:tbl>
    <w:p>
      <w:pPr>
        <w:keepNext/>
        <w:keepLines/>
        <w:spacing w:before="120" w:after="60" w:line="300" w:lineRule="auto"/>
        <w:jc w:val="left"/>
      </w:pPr>
      <w:r>
        <w:rPr>
          <w:rFonts w:ascii="Times New Roman" w:hAnsi="Times New Roman" w:eastAsia="宋体" w:cs="Times New Roman"/>
          <w:b/>
          <w:bCs/>
          <w:color w:val="1F4E79"/>
          <w:sz w:val="24"/>
          <w:szCs w:val="24"/>
        </w:rPr>
        <w:t>（3）核心评价指标</w:t>
      </w:r>
    </w:p>
    <w:tbl>
      <w:tblPr>
        <w:tblW w:w="9360" w:type="dxa"/>
        <w:tblInd w:w="12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4300"/>
        <w:gridCol w:w="1500"/>
        <w:gridCol w:w="3560"/>
      </w:tblGrid>
      <w:tr>
        <w:trPr>
          <w:tblHeader/>
          <w:cantSplit/>
        </w:trPr>
        <w:tc>
          <w:tcPr>
            <w:tcW w:w="4300" w:type="dxa"/>
            <w:shd w:val="clear" w:color="auto" w:fill="D9E2F3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  <w:color w:val="1F4E79"/>
              </w:rPr>
              <w:t>指标与公式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  <w:color w:val="1F4E79"/>
              </w:rPr>
              <w:t>结果字段</w:t>
            </w:r>
          </w:p>
        </w:tc>
        <w:tc>
          <w:tcPr>
            <w:tcW w:w="3560" w:type="dxa"/>
            <w:shd w:val="clear" w:color="auto" w:fill="D9E2F3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  <w:color w:val="1F4E79"/>
              </w:rPr>
              <w:t>物理意义与判读</w:t>
            </w:r>
          </w:p>
        </w:tc>
      </w:tr>
      <w:tr>
        <w:trPr>
          <w:cantSplit/>
        </w:trPr>
        <w:tc>
          <w:tcPr>
            <w:tcW w:w="430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m:oMath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DA0_REG0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Q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old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old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​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  <m:e>
                  <m:r>
                    <m:rPr>
                      <m:sty m:val="p"/>
                      <m:scr m:val="double-struck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nary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DA0_REG0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</m:oMath>
          </w:p>
        </w:tc>
        <w:tc>
          <w:tcPr>
            <w:tcW w:w="150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old_acc_before</w:t>
            </w:r>
          </w:p>
        </w:tc>
        <w:tc>
          <w:tcPr>
            <w:tcW w:w="356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Stage2-B域适应前（DA0_REG0）的旧类准确率；数值越大越好。</w:t>
            </w:r>
          </w:p>
        </w:tc>
      </w:tr>
      <w:tr>
        <w:trPr>
          <w:cantSplit/>
        </w:trPr>
        <w:tc>
          <w:tcPr>
            <w:tcW w:w="430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m:oMath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DA1_REG0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Q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old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old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​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  <m:e>
                  <m:r>
                    <m:rPr>
                      <m:sty m:val="p"/>
                      <m:scr m:val="double-struck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nary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DA1_REG0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</m:oMath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old_acc_after</w:t>
            </w:r>
          </w:p>
        </w:tc>
        <w:tc>
          <w:tcPr>
            <w:tcW w:w="356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Stage2-B域适应后（DA1_REG0）的旧类准确率；数值越大越好。</w:t>
            </w:r>
          </w:p>
        </w:tc>
      </w:tr>
      <w:tr>
        <w:trPr>
          <w:cantSplit/>
        </w:trPr>
        <w:tc>
          <w:tcPr>
            <w:tcW w:w="430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DA1_REG0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−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DA0_REG0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</m:oMath>
          </w:p>
        </w:tc>
        <w:tc>
          <w:tcPr>
            <w:tcW w:w="150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派生量</w:t>
            </w:r>
          </w:p>
        </w:tc>
        <w:tc>
          <w:tcPr>
            <w:tcW w:w="356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旧类适配收益。正值表示正迁移，负值表示适配损伤；数值越大越好。</w:t>
            </w:r>
          </w:p>
        </w:tc>
      </w:tr>
      <w:tr>
        <w:trPr>
          <w:cantSplit/>
        </w:trPr>
        <w:tc>
          <w:tcPr>
            <w:tcW w:w="430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Q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new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new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​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  <m:e>
                  <m:r>
                    <m:rPr>
                      <m:sty m:val="p"/>
                      <m:scr m:val="double-struck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nary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DA1_REG1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</m:oMath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seen_new_acc</w:t>
            </w:r>
          </w:p>
        </w:tc>
        <w:tc>
          <w:tcPr>
            <w:tcW w:w="356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已注册新类准确率；取0表示没有新类query被正确识别，数值越大越好。</w:t>
            </w:r>
          </w:p>
        </w:tc>
      </w:tr>
      <w:tr>
        <w:trPr>
          <w:cantSplit/>
        </w:trPr>
        <w:tc>
          <w:tcPr>
            <w:tcW w:w="430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sz w:val="24"/>
                      <w:szCs w:val="24"/>
                    </w:rPr>
                    <m:t>old,new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old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DA1_REG1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new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old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DA1_REG1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new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en>
              </m:f>
            </m:oMath>
          </w:p>
        </w:tc>
        <w:tc>
          <w:tcPr>
            <w:tcW w:w="150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H_old_new</w:t>
            </w:r>
          </w:p>
        </w:tc>
        <w:tc>
          <w:tcPr>
            <w:tcW w:w="356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旧类与新类准确率的调和均值；任一侧接近0时该值也接近0，数值越大越好。</w:t>
            </w:r>
          </w:p>
        </w:tc>
      </w:tr>
      <w:tr>
        <w:trPr>
          <w:cantSplit/>
        </w:trPr>
        <w:tc>
          <w:tcPr>
            <w:tcW w:w="430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DA1_REG0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−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DA1_REG1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</m:oMath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forgetting</w:t>
            </w:r>
          </w:p>
        </w:tc>
        <w:tc>
          <w:tcPr>
            <w:tcW w:w="356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注册新类前后旧类准确率之差；正值表示旧知识受损，数值越小越好。</w:t>
            </w:r>
          </w:p>
        </w:tc>
      </w:tr>
      <w:tr>
        <w:trPr>
          <w:cantSplit/>
        </w:trPr>
        <w:tc>
          <w:tcPr>
            <w:tcW w:w="430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Q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c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​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  <m:e>
                  <m:r>
                    <m:rPr>
                      <m:sty m:val="p"/>
                      <m:scr m:val="double-struck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nary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DA1_REG1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</m:oMath>
          </w:p>
          <w:p>
            <w:pPr>
              <w:keepLines/>
              <w:spacing w:before="0" w:after="0" w:line="30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min,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limLow>
                <m:limLow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min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lim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old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lim>
              </m:limLow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50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min_old</w:t>
            </w:r>
          </w:p>
        </w:tc>
        <w:tc>
          <w:tcPr>
            <w:tcW w:w="356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全部旧发射机中的最低单类准确率，用于暴露局部类别崩塌；数值越大越好。</w:t>
            </w:r>
          </w:p>
        </w:tc>
      </w:tr>
    </w:tbl>
    <w:p w14:paraId="422E07D4">
      <w:pPr>
        <w:pStyle w:val="4"/>
        <w:rPr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  <w:lang w:eastAsia="zh-CN"/>
        </w:rPr>
        <w:t>2.4统一输入、状态更新与输出</w:t>
      </w:r>
    </w:p>
    <w:tbl>
      <w:tblPr>
        <w:tblW w:w="0" w:type="auto"/>
        <w:tblInd w:w="0" w:type="dxa"/>
        <w:tblLayout w:type="autofit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086"/>
        <w:gridCol w:w="2911"/>
        <w:gridCol w:w="2818"/>
        <w:gridCol w:w="2725"/>
      </w:tblGrid>
      <w:tr w14:paraId="2D2EBC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7AEF2F2C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bCs/>
                <w:sz w:val="20"/>
                <w:szCs w:val="20"/>
                <w:color w:val="1F4E79"/>
              </w:rPr>
              <w:t>阶段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44F19F0C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bCs/>
                <w:sz w:val="20"/>
                <w:szCs w:val="20"/>
                <w:color w:val="1F4E79"/>
              </w:rPr>
              <w:t>输入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046F7724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bCs/>
                <w:sz w:val="20"/>
                <w:szCs w:val="20"/>
                <w:color w:val="1F4E79"/>
              </w:rPr>
              <w:t>允许更新的状态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433A4325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bCs/>
                <w:sz w:val="20"/>
                <w:szCs w:val="20"/>
                <w:color w:val="1F4E79"/>
              </w:rPr>
              <w:t>输出</w:t>
            </w:r>
          </w:p>
        </w:tc>
      </w:tr>
      <w:tr w14:paraId="54B779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7505674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直接基线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6B5930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Phase1 bundle＋target query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57B869E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无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58C33AE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旧类预测</w:t>
            </w:r>
          </w:p>
        </w:tc>
      </w:tr>
      <w:tr w14:paraId="6738AD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1DABA5F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Stage2-B适应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5D0BB29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Phase1 bundle＋target-old support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24CE9F2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prototype、adapter或backbone，取决于方法权限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25BD38C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冻结后的旧类预测器</w:t>
            </w:r>
          </w:p>
        </w:tc>
      </w:tr>
      <w:tr w14:paraId="27237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0463B9C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Stage2-C注册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00D9B67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冻结/Stage2-B适应后状态＋target-new K-shot support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B39EA84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  <w:lang w:eastAsia="zh-CN"/>
              </w:rPr>
              <w:t>旧类统计、新类prototype、分类头或受控参数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7E6AA63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  <w:lang w:eastAsia="zh-CN"/>
              </w:rPr>
              <w:t>面向旧类∪已注册新类的统一预测器</w:t>
            </w:r>
          </w:p>
        </w:tc>
      </w:tr>
      <w:tr w14:paraId="772501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163938D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独立评分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2C46E1A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不可变prediction artifact＋query真值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364CABE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不得回流到predictor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366C632A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DA1_REG1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</m:oMath>
            <w:r>
              <w:rPr>
                <w:rFonts w:ascii="Times New Roman" w:hAnsi="Times New Roman" w:cs="Times New Roman" w:eastAsia="宋体"/>
                <w:sz w:val="20"/>
                <w:szCs w:val="20"/>
                <w:lang w:eastAsia="zh-CN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  <w:r>
              <w:rPr>
                <w:rFonts w:ascii="Times New Roman" w:hAnsi="Times New Roman" w:cs="Times New Roman" w:eastAsia="宋体"/>
                <w:sz w:val="20"/>
                <w:szCs w:val="20"/>
                <w:lang w:eastAsia="zh-CN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H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old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,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  <w:r>
              <w:rPr>
                <w:rFonts w:ascii="Times New Roman" w:hAnsi="Times New Roman" w:cs="Times New Roman" w:eastAsia="宋体"/>
                <w:sz w:val="20"/>
                <w:szCs w:val="20"/>
                <w:lang w:eastAsia="zh-CN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F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  <w:r>
              <w:rPr>
                <w:rFonts w:ascii="Times New Roman" w:hAnsi="Times New Roman" w:cs="Times New Roman" w:eastAsia="宋体"/>
                <w:sz w:val="20"/>
                <w:szCs w:val="20"/>
                <w:lang w:eastAsia="zh-CN"/>
              </w:rPr>
              <w:t>等指标</w:t>
            </w:r>
          </w:p>
        </w:tc>
      </w:tr>
      <w:bookmarkEnd w:id="0"/>
    </w:tbl>
    <w:p w14:paraId="61B18AEC">
      <w:pPr>
        <w:pStyle w:val="3"/>
        <w:rPr>
          <w:sz w:val="36"/>
          <w:szCs w:val="32"/>
          <w:lang w:eastAsia="zh-CN"/>
        </w:rPr>
      </w:pPr>
      <w:bookmarkStart w:id="2" w:name="Xacb617a5819318ce172e1d7a810126ba83372bc"/>
      <w:r>
        <w:rPr>
          <w:rFonts w:ascii="Times New Roman" w:hAnsi="Times New Roman" w:eastAsia="宋体" w:cs="Times New Roman"/>
          <w:sz w:val="36"/>
          <w:szCs w:val="36"/>
          <w:lang w:eastAsia="zh-CN"/>
        </w:rPr>
        <w:t>3.Stage2-B：跨接收机旧类域适应仿真实验</w:t>
      </w:r>
    </w:p>
    <w:p w14:paraId="732B669C">
      <w:pPr>
        <w:pStyle w:val="4"/>
        <w:rPr>
          <w:sz w:val="28"/>
          <w:szCs w:val="28"/>
          <w:lang w:eastAsia="zh-CN"/>
        </w:rPr>
      </w:pPr>
      <w:bookmarkStart w:id="3" w:name="X60a1c4ac91aed9a1a4fc1cbc6b86ab576c3e5cf"/>
      <w:r>
        <w:rPr>
          <w:rFonts w:ascii="Times New Roman" w:hAnsi="Times New Roman" w:eastAsia="宋体" w:cs="Times New Roman"/>
          <w:sz w:val="28"/>
          <w:szCs w:val="28"/>
          <w:lang w:eastAsia="zh-CN"/>
        </w:rPr>
        <w:t>3.1仿真问题与统一实验设置</w:t>
      </w:r>
    </w:p>
    <w:p w14:paraId="630C5792">
      <w:pPr>
        <w:rPr>
          <w:sz w:val="24"/>
          <w:szCs w:val="24"/>
        </w:rPr>
      </w:pPr>
      <w:r>
        <w:rPr>
          <w:rFonts w:ascii="Times New Roman" w:hAnsi="Times New Roman" w:cs="Times New Roman" w:eastAsia="宋体"/>
          <w:b/>
          <w:color w:val="C00000"/>
          <w:szCs w:val="24"/>
          <w:sz w:val="24"/>
        </w:rPr>
        <w:t>Stage2-B要回答的问题是：Phase1已经识别过的发射机换到未见target receiver后，少量target-old support能否恢复旧类识别能力？</w:t>
      </w:r>
    </w:p>
    <w:p w14:paraId="6B886144">
      <w:pPr>
        <w:pStyle w:val="19"/>
        <w:rPr>
          <w:sz w:val="24"/>
          <w:szCs w:val="24"/>
        </w:rPr>
      </w:pPr>
      <w:r>
        <w:rPr>
          <w:rFonts w:ascii="Times New Roman" w:hAnsi="Times New Roman" w:cs="Times New Roman" w:eastAsia="宋体"/>
          <w:sz w:val="24"/>
          <w:szCs w:val="24"/>
        </w:rPr>
        <w:t>统一实验设置如下：</w:t>
      </w:r>
    </w:p>
    <w:tbl>
      <w:tblPr>
        <w:tblW w:w="0" w:type="auto"/>
        <w:tblInd w:w="0" w:type="dxa"/>
        <w:tblLayout w:type="autofit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330"/>
        <w:gridCol w:w="4086"/>
      </w:tblGrid>
      <w:tr w14:paraId="3CB70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6A0856C0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bCs/>
                <w:sz w:val="20"/>
                <w:szCs w:val="20"/>
                <w:color w:val="1F4E79"/>
              </w:rPr>
              <w:t>维度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5CF4F710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bCs/>
                <w:sz w:val="20"/>
                <w:szCs w:val="20"/>
                <w:color w:val="1F4E79"/>
              </w:rPr>
              <w:t>设置</w:t>
            </w:r>
          </w:p>
        </w:tc>
      </w:tr>
      <w:tr w14:paraId="7D6301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55DCA64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基座模型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0CE30C7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同一Phase1域泛化基座checkpoint</w:t>
            </w:r>
          </w:p>
        </w:tc>
      </w:tr>
      <w:tr w14:paraId="35BF5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5A3AD9F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target receiver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1EC990A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20-1、3-19、7-14、7-7、8-8</w:t>
            </w:r>
          </w:p>
        </w:tc>
      </w:tr>
      <w:tr w14:paraId="0B8467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096E8F7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K-shot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7181617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1、2、5、10、20</w:t>
            </w:r>
          </w:p>
        </w:tc>
      </w:tr>
      <w:tr w14:paraId="7A466B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718724E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随机性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68A0C22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5个独立seed</w:t>
            </w:r>
          </w:p>
        </w:tc>
      </w:tr>
      <w:tr w14:paraId="10AC48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7A96F2F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target观测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0BF3526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support和query均为固定LEO信道接收IQ</w:t>
            </w:r>
          </w:p>
        </w:tc>
      </w:tr>
      <w:tr w14:paraId="678E85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3C54FB6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query权限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233C9E38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  <w:lang w:eastAsia="zh-CN"/>
              </w:rPr>
              <w:t>只测试，不训练、不调参、不回滚</w:t>
            </w:r>
          </w:p>
        </w:tc>
      </w:tr>
      <w:tr w14:paraId="21D5E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61B704D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方法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454276D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ProtoNet CDA、MRIOR-SDA、DADDA-SDA</w:t>
            </w:r>
          </w:p>
        </w:tc>
      </w:tr>
      <w:bookmarkEnd w:id="3"/>
    </w:tbl>
    <w:p w14:paraId="2604385E">
      <w:pPr>
        <w:pStyle w:val="4"/>
        <w:rPr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3.2ProtoNet CDA：原型式K-shot目标域校准基线</w:t>
      </w:r>
    </w:p>
    <w:p w14:paraId="0AF32539">
      <w:pPr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sz w:val="24"/>
          <w:szCs w:val="24"/>
        </w:rPr>
        <w:t>Snell等人提出的Prototypical Networks（ProtoNet，即原型网络；CDA在本文中指Cross-Domain Adaptation，即跨域适配。</w:t>
      </w:r>
      <w:r>
        <w:rPr>
          <w:rFonts w:ascii="Times New Roman" w:hAnsi="Times New Roman" w:cs="Times New Roman" w:eastAsia="宋体"/>
          <w:sz w:val="24"/>
          <w:szCs w:val="24"/>
          <w:lang w:eastAsia="zh-CN"/>
        </w:rPr>
        <w:t>该基线不更新backbone，只用目标接收机旧类support重新估计类别中心）原本面向训练阶段未见的新类别少样本分类[1]。本轮实验的support与query均属于Phase1已见旧类，类别不增加，只是receiver域发生变化。其特点是固定特征空间，只用target-old support闭式计算类别中心；不访问source、不反向传播。</w:t>
      </w:r>
    </w:p>
    <w:p w14:paraId="2CE7C297">
      <w:pPr>
        <w:pStyle w:val="19"/>
        <w:rPr>
          <w:sz w:val="24"/>
          <w:szCs w:val="24"/>
        </w:rPr>
      </w:pPr>
      <w:r>
        <w:rPr>
          <w:rFonts w:ascii="Times New Roman" w:hAnsi="Times New Roman" w:cs="Times New Roman" w:eastAsia="宋体"/>
          <w:b/>
          <w:bCs/>
          <w:sz w:val="24"/>
          <w:szCs w:val="24"/>
        </w:rPr>
        <w:t>CVS数据与更新：</w:t>
      </w:r>
      <w:r>
        <w:rPr>
          <w:rFonts w:ascii="Times New Roman" w:hAnsi="Times New Roman" w:cs="Times New Roman" w:eastAsia="宋体"/>
          <w:sz w:val="24"/>
          <w:szCs w:val="24"/>
        </w:rPr>
        <w:t xml:space="preserve"> 加载Phase1域泛化基座的160维身份特征</w:t>
      </w:r>
      <m:oMath>
        <m:r>
          <m:rPr/>
          <w:rPr>
            <w:rFonts w:ascii="Cambria Math" w:hAnsi="Cambria Math"/>
            <w:sz w:val="24"/>
            <w:szCs w:val="24"/>
          </w:rPr>
          <m:t>z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f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rFonts w:ascii="Times New Roman" w:hAnsi="Times New Roman" w:cs="Times New Roman" w:eastAsia="宋体"/>
          <w:sz w:val="24"/>
          <w:szCs w:val="24"/>
        </w:rPr>
        <w:t>，每个场景只读取6个旧类的K-shot target-old support。对类别</w:t>
      </w:r>
      <m:oMath>
        <m:r>
          <m:rPr/>
          <w:rPr>
            <w:rFonts w:ascii="Cambria Math" w:hAnsi="Cambria Math"/>
            <w:sz w:val="24"/>
            <w:szCs w:val="24"/>
          </w:rPr>
          <m:t>c</m:t>
        </m:r>
      </m:oMath>
      <w:r>
        <w:rPr>
          <w:rFonts w:ascii="Times New Roman" w:hAnsi="Times New Roman" w:cs="Times New Roman" w:eastAsia="宋体"/>
          <w:sz w:val="24"/>
          <w:szCs w:val="24"/>
        </w:rPr>
        <w:t>的support集合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S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</w:rPr>
        <w:t>，prototype是类内平方距离最小化问题的闭式解：（</w:t>
      </w:r>
      <m:oMath>
        <m:r>
          <m:rPr/>
          <w:rPr>
            <w:rFonts w:ascii="Cambria Math" w:hAnsi="Cambria Math"/>
            <w:sz w:val="24"/>
            <w:szCs w:val="24"/>
          </w:rPr>
          <m:t>x</m:t>
        </m:r>
      </m:oMath>
      <w:r>
        <w:rPr>
          <w:rFonts w:ascii="Times New Roman" w:hAnsi="Times New Roman" w:cs="Times New Roman" w:eastAsia="宋体"/>
          <w:sz w:val="24"/>
          <w:szCs w:val="24"/>
        </w:rPr>
        <w:t>是固定LEO接收IQ，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f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</w:rPr>
        <w:t>是参数为</w:t>
      </w:r>
      <m:oMath>
        <m:r>
          <m:rPr/>
          <w:rPr>
            <w:rFonts w:ascii="Cambria Math" w:hAnsi="Cambria Math"/>
            <w:sz w:val="24"/>
            <w:szCs w:val="24"/>
          </w:rPr>
          <m:t>θ</m:t>
        </m:r>
      </m:oMath>
      <w:r>
        <w:rPr>
          <w:rFonts w:ascii="Times New Roman" w:hAnsi="Times New Roman" w:cs="Times New Roman" w:eastAsia="宋体"/>
          <w:sz w:val="24"/>
          <w:szCs w:val="24"/>
        </w:rPr>
        <w:t>的冻结身份编码器，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z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f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rFonts w:ascii="Times New Roman" w:hAnsi="Times New Roman" w:cs="Times New Roman" w:eastAsia="宋体"/>
          <w:sz w:val="24"/>
          <w:szCs w:val="24"/>
        </w:rPr>
        <w:t>是第</w:t>
      </w:r>
      <m:oMath>
        <m:r>
          <m:rPr/>
          <w:rPr>
            <w:rFonts w:ascii="Cambria Math" w:hAnsi="Cambria Math"/>
            <w:sz w:val="24"/>
            <w:szCs w:val="24"/>
          </w:rPr>
          <m:t>i</m:t>
        </m:r>
      </m:oMath>
      <w:r>
        <w:rPr>
          <w:rFonts w:ascii="Times New Roman" w:hAnsi="Times New Roman" w:cs="Times New Roman" w:eastAsia="宋体"/>
          <w:sz w:val="24"/>
          <w:szCs w:val="24"/>
        </w:rPr>
        <w:t>个support的160维身份特征。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S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是类别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c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的support集合，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μ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是待求中心，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μ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∗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是使类内平方欧氏距离最小的类别原型；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∥⋅</m:t>
        </m:r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∥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2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2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表示平方L2范数。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argmin</m:t>
        </m:r>
      </m:oMath>
      <w:r>
        <w:rPr>
          <w:rFonts w:ascii="Times New Roman" w:hAnsi="Times New Roman" w:cs="Times New Roman" w:eastAsia="宋体"/>
          <w:sz w:val="24"/>
          <w:szCs w:val="24"/>
        </w:rPr>
        <w:t>表示选择距离最小的中心或类别）</w:t>
      </w:r>
    </w:p>
    <w:p w14:paraId="5220EE40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μ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∗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=arg</m:t>
          </m:r>
          <m:limLow>
            <m:limLowPr>
              <m:ctrlPr>
                <w:rPr>
                  <w:rFonts w:ascii="Cambria Math" w:hAnsi="Cambria Math"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min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lim>
              <m:r>
                <m:rPr/>
                <w:rPr>
                  <w:rFonts w:ascii="Cambria Math" w:hAnsi="Cambria Math"/>
                  <w:sz w:val="24"/>
                  <w:szCs w:val="24"/>
                </w:rPr>
                <m:t>μ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lim>
          </m:limLow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∥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z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−</m:t>
          </m:r>
          <m:r>
            <m:rPr/>
            <w:rPr>
              <w:rFonts w:ascii="Cambria Math" w:hAnsi="Cambria Math"/>
              <w:sz w:val="24"/>
              <w:szCs w:val="24"/>
            </w:rPr>
            <m:t>μ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∥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</m:oMath>
      </m:oMathPara>
    </w:p>
    <w:p w14:paraId="5460ED75">
      <w:pPr>
        <w:rPr>
          <w:sz w:val="24"/>
          <w:szCs w:val="24"/>
        </w:rPr>
      </w:pPr>
      <w:r>
        <w:rPr>
          <w:rFonts w:ascii="Times New Roman" w:hAnsi="Times New Roman" w:cs="Times New Roman" w:eastAsia="宋体"/>
          <w:sz w:val="24"/>
          <w:szCs w:val="24"/>
        </w:rPr>
        <w:t>模型锁定后，query按欧氏距离最近的prototype分类：</w:t>
      </w:r>
    </w:p>
    <w:p w14:paraId="25828409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  <w:sz w:val="24"/>
                  <w:szCs w:val="24"/>
                </w:rPr>
              </m:ctrlPr>
            </m:acc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y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acc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x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=arg</m:t>
          </m:r>
          <m:limLow>
            <m:limLowPr>
              <m:ctrlPr>
                <w:rPr>
                  <w:rFonts w:ascii="Cambria Math" w:hAnsi="Cambria Math"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min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lim>
              <m:r>
                <m:rPr/>
                <w:rPr>
                  <w:rFonts w:ascii="Cambria Math" w:hAnsi="Cambria Math"/>
                  <w:sz w:val="24"/>
                  <w:szCs w:val="24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lim>
          </m:limLow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∥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f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θ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x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−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μ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∗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∥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</m:oMath>
      </m:oMathPara>
    </w:p>
    <w:p w14:paraId="1B1021A4">
      <w:pPr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b/>
          <w:bCs/>
          <w:sz w:val="24"/>
          <w:szCs w:val="24"/>
          <w:lang w:eastAsia="zh-CN"/>
        </w:rPr>
        <w:t>核心局限：</w:t>
      </w:r>
      <w:r>
        <w:rPr>
          <w:rFonts w:ascii="Times New Roman" w:hAnsi="Times New Roman" w:cs="Times New Roman" w:eastAsia="宋体"/>
          <w:sz w:val="24"/>
          <w:szCs w:val="24"/>
          <w:lang w:eastAsia="zh-CN"/>
        </w:rPr>
        <w:t xml:space="preserve"> 它只能移动类别参考点，不能修正接收机造成的特征旋转、拉伸或类内多峰，因此</w:t>
      </w:r>
      <w:r>
        <w:rPr>
          <w:rFonts w:hint="eastAsia" w:ascii="Times New Roman" w:hAnsi="Times New Roman" w:cs="Times New Roman" w:eastAsia="宋体"/>
          <w:sz w:val="24"/>
          <w:szCs w:val="24"/>
          <w:lang w:eastAsia="zh-CN"/>
        </w:rPr>
        <w:t>效果较差。</w:t>
      </w:r>
    </w:p>
    <w:p w14:paraId="54E75849">
      <w:pPr>
        <w:pStyle w:val="4"/>
        <w:rPr>
          <w:sz w:val="28"/>
          <w:szCs w:val="28"/>
        </w:rPr>
      </w:pPr>
      <w:bookmarkStart w:id="4" w:name="X079109effcc8a347f48bb306a110cf73124dc5d"/>
      <w:r>
        <w:rPr>
          <w:rFonts w:ascii="Times New Roman" w:hAnsi="Times New Roman" w:eastAsia="宋体" w:cs="Times New Roman"/>
          <w:sz w:val="28"/>
          <w:szCs w:val="28"/>
        </w:rPr>
        <w:t>3.3MRIOR-SDA：域对齐与target监督</w:t>
      </w:r>
    </w:p>
    <w:p w14:paraId="4A32BBD7">
      <w:pPr>
        <w:rPr>
          <w:sz w:val="24"/>
          <w:szCs w:val="24"/>
        </w:rPr>
      </w:pPr>
      <w:r>
        <w:rPr>
          <w:rFonts w:ascii="Times New Roman" w:hAnsi="Times New Roman" w:cs="Times New Roman" w:eastAsia="宋体"/>
          <w:sz w:val="24"/>
          <w:szCs w:val="24"/>
        </w:rPr>
        <w:t>Yang等人的MRIOR（Mitigating Receiver Impact on Radio Frequency Fingerprint Identification via Domain Adaptation；SDA是Supervised Domain Adaptation，即监督域适应。CE是Cross-Entropy，即交叉熵；DV-KL是Donsker-Varadhan形式的Kullback-Leibler域差异估计，其中KL表示相对熵；Adam是Adaptive Moment Estimation优化器）原本属于单源无监督域适应[2]。CVS版本用真实target-old support标签替代伪标签，形成监督式域适应。其特点是用可学习的DV-KL估计网络对齐source与target，同时更新完整Phase1域泛化基座身份backbone。</w:t>
      </w:r>
    </w:p>
    <w:p w14:paraId="175D0059">
      <w:pPr>
        <w:pStyle w:val="19"/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sz w:val="24"/>
          <w:szCs w:val="24"/>
        </w:rPr>
        <w:t>记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B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src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B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</w:rPr>
        <w:t>为source和target-support batch，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π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|</m:t>
            </m:r>
            <m:r>
              <m:rPr/>
              <w:rPr>
                <w:rFonts w:ascii="Cambria Math" w:hAnsi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rFonts w:ascii="Times New Roman" w:hAnsi="Times New Roman" w:cs="Times New Roman" w:eastAsia="宋体"/>
          <w:sz w:val="24"/>
          <w:szCs w:val="24"/>
        </w:rPr>
        <w:t>为旧类预测概率，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w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</w:rPr>
        <w:t>为根据target-support类别频数得到并归一化到均值1的类别权重：（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B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src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B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</w:rPr>
        <w:t>分别是源域batch与目标域support batch，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rFonts w:ascii="Times New Roman" w:hAnsi="Times New Roman" w:cs="Times New Roman" w:eastAsia="宋体"/>
          <w:sz w:val="24"/>
          <w:szCs w:val="24"/>
        </w:rPr>
        <w:t>是域</w:t>
      </w:r>
      <m:oMath>
        <m:r>
          <m:rPr/>
          <w:rPr>
            <w:rFonts w:ascii="Cambria Math" w:hAnsi="Cambria Math"/>
            <w:sz w:val="24"/>
            <w:szCs w:val="24"/>
          </w:rPr>
          <m:t>D</m:t>
        </m:r>
      </m:oMath>
      <w:r>
        <w:rPr>
          <w:rFonts w:ascii="Times New Roman" w:hAnsi="Times New Roman" w:cs="Times New Roman" w:eastAsia="宋体"/>
          <w:sz w:val="24"/>
          <w:szCs w:val="24"/>
        </w:rPr>
        <w:t>的batch样本数；</w:t>
      </w:r>
      <m:oMath>
        <m:r>
          <m:rPr/>
          <w:rPr>
            <w:rFonts w:ascii="Cambria Math" w:hAnsi="Cambria Math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∈{</m:t>
        </m:r>
        <m:r>
          <m:rPr/>
          <w:rPr>
            <w:rFonts w:ascii="Cambria Math" w:hAnsi="Cambria Math"/>
            <w:sz w:val="24"/>
            <w:szCs w:val="24"/>
          </w:rPr>
          <m:t>src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m:rPr/>
          <w:rPr>
            <w:rFonts w:ascii="Cambria Math" w:hAnsi="Cambria Math"/>
            <w:sz w:val="24"/>
            <w:szCs w:val="24"/>
          </w:rPr>
          <m:t>tgt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}</m:t>
        </m:r>
      </m:oMath>
      <w:r>
        <w:rPr>
          <w:rFonts w:ascii="Times New Roman" w:hAnsi="Times New Roman" w:cs="Times New Roman" w:eastAsia="宋体"/>
          <w:sz w:val="24"/>
          <w:szCs w:val="24"/>
        </w:rPr>
        <w:t>表示公式同时用于source与target。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π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∣</m:t>
            </m:r>
            <m:r>
              <m:rPr/>
              <w:rPr>
                <w:rFonts w:ascii="Cambria Math" w:hAnsi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是模型把观测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x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判为旧类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c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的概率；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n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是目标support中类别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c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的样本数，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C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是旧类总数，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w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是逆频率类别权重，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ε₀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防止样本数为0时除零；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log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是自然对数） 本文各方法的分类概率统一记为上述符号。</w:t>
      </w:r>
    </w:p>
    <w:p w14:paraId="65E3169E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w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n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c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+</m:t>
                      </m:r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ε₀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−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n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+</m:t>
                          </m:r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ε₀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−</m:t>
                      </m:r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nary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</m:oMath>
      </m:oMathPara>
    </w:p>
    <w:p w14:paraId="53E7A5C1">
      <w:pPr>
        <w:rPr>
          <w:sz w:val="24"/>
          <w:szCs w:val="24"/>
        </w:rPr>
      </w:pPr>
      <w:r>
        <w:rPr>
          <w:rFonts w:ascii="Times New Roman" w:hAnsi="Times New Roman" w:cs="Times New Roman" w:eastAsia="宋体"/>
          <w:sz w:val="24"/>
          <w:szCs w:val="24"/>
        </w:rPr>
        <w:t>source和target的加权交叉熵为：</w:t>
      </w:r>
    </w:p>
    <w:p w14:paraId="78CECEB4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wCE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=−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log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π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θ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m:rPr/>
            <w:rPr>
              <w:rFonts w:ascii="Cambria Math" w:hAnsi="Cambria Math"/>
              <w:sz w:val="24"/>
              <w:szCs w:val="24"/>
            </w:rPr>
            <m:t>  D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∈{</m:t>
          </m:r>
          <m:r>
            <m:rPr/>
            <w:rPr>
              <w:rFonts w:ascii="Cambria Math" w:hAnsi="Cambria Math"/>
              <w:sz w:val="24"/>
              <w:szCs w:val="24"/>
            </w:rPr>
            <m:t>src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m:rPr/>
            <w:rPr>
              <w:rFonts w:ascii="Cambria Math" w:hAnsi="Cambria Math"/>
              <w:sz w:val="24"/>
              <w:szCs w:val="24"/>
            </w:rPr>
            <m:t>tgt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}</m:t>
          </m:r>
        </m:oMath>
      </m:oMathPara>
    </w:p>
    <w:p w14:paraId="30DCB751">
      <w:pPr>
        <w:rPr>
          <w:sz w:val="24"/>
          <w:szCs w:val="24"/>
        </w:rPr>
      </w:pPr>
      <w:r>
        <w:rPr>
          <w:rFonts w:ascii="Times New Roman" w:hAnsi="Times New Roman" w:cs="Times New Roman" w:eastAsia="宋体"/>
          <w:sz w:val="24"/>
          <w:szCs w:val="24"/>
        </w:rPr>
        <w:t>令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ϕ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z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rFonts w:ascii="Times New Roman" w:hAnsi="Times New Roman" w:cs="Times New Roman" w:eastAsia="宋体"/>
          <w:sz w:val="24"/>
          <w:szCs w:val="24"/>
        </w:rPr>
        <w:t>为DV估计网络，域差异项为：（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</w:rPr>
              <m:t>z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src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rFonts w:ascii="Times New Roman" w:hAnsi="Times New Roman" w:cs="Times New Roman" w:eastAsia="宋体"/>
          <w:sz w:val="24"/>
          <w:szCs w:val="24"/>
        </w:rPr>
        <w:t>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</w:rPr>
              <m:t>z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j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rFonts w:ascii="Times New Roman" w:hAnsi="Times New Roman" w:cs="Times New Roman" w:eastAsia="宋体"/>
          <w:sz w:val="24"/>
          <w:szCs w:val="24"/>
        </w:rPr>
        <w:t>是source样本</w:t>
      </w:r>
      <m:oMath>
        <m:r>
          <m:rPr/>
          <w:rPr>
            <w:rFonts w:ascii="Cambria Math" w:hAnsi="Cambria Math"/>
            <w:sz w:val="24"/>
            <w:szCs w:val="24"/>
          </w:rPr>
          <m:t>i</m:t>
        </m:r>
      </m:oMath>
      <w:r>
        <w:rPr>
          <w:rFonts w:ascii="Times New Roman" w:hAnsi="Times New Roman" w:cs="Times New Roman" w:eastAsia="宋体"/>
          <w:sz w:val="24"/>
          <w:szCs w:val="24"/>
        </w:rPr>
        <w:t>与target-support样本</w:t>
      </w:r>
      <m:oMath>
        <m:r>
          <m:rPr/>
          <w:rPr>
            <w:rFonts w:ascii="Cambria Math" w:hAnsi="Cambria Math"/>
            <w:sz w:val="24"/>
            <w:szCs w:val="24"/>
          </w:rPr>
          <m:t>j</m:t>
        </m:r>
      </m:oMath>
      <w:r>
        <w:rPr>
          <w:rFonts w:ascii="Times New Roman" w:hAnsi="Times New Roman" w:cs="Times New Roman" w:eastAsia="宋体"/>
          <w:sz w:val="24"/>
          <w:szCs w:val="24"/>
        </w:rPr>
        <w:t>的特征；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ϕ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</w:rPr>
        <w:t>是参数为</w:t>
      </w:r>
      <m:oMath>
        <m:r>
          <m:rPr/>
          <w:rPr>
            <w:rFonts w:ascii="Cambria Math" w:hAnsi="Cambria Math"/>
            <w:sz w:val="24"/>
            <w:szCs w:val="24"/>
          </w:rPr>
          <m:t>ϕ</m:t>
        </m:r>
      </m:oMath>
      <w:r>
        <w:rPr>
          <w:rFonts w:ascii="Times New Roman" w:hAnsi="Times New Roman" w:cs="Times New Roman" w:eastAsia="宋体"/>
          <w:sz w:val="24"/>
          <w:szCs w:val="24"/>
        </w:rPr>
        <w:t>的DV域统计网络。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exp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是指数函数，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ℒ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DV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−</m:t>
            </m:r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KL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越大表示两个接收机域越可区分；训练采用内层最大化域差异估计、外层最小化分类与对齐目标。</w:t>
      </w:r>
      <w:r>
        <w:rPr>
          <w:rFonts w:ascii="Times New Roman" w:hAnsi="Times New Roman" w:cs="Times New Roman" w:eastAsia="宋体"/>
          <w:sz w:val="24"/>
          <w:szCs w:val="24"/>
        </w:rPr>
        <w:t>总损失中的0.5、0.5和0.005分别是source分类、target-support分类和域差异项的固定权重）</w:t>
      </w:r>
    </w:p>
    <w:p w14:paraId="1E7175DF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DV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−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KL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src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src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ϕ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src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−log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tgt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tgt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​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exp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nary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ϕ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tgt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bSup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</m:oMath>
      </m:oMathPara>
    </w:p>
    <w:p w14:paraId="01C39E84">
      <w:pPr>
        <w:rPr>
          <w:sz w:val="24"/>
          <w:szCs w:val="24"/>
        </w:rPr>
      </w:pPr>
      <w:r>
        <w:rPr>
          <w:rFonts w:ascii="Times New Roman" w:hAnsi="Times New Roman" w:cs="Times New Roman" w:eastAsia="宋体"/>
          <w:sz w:val="24"/>
          <w:szCs w:val="24"/>
        </w:rPr>
        <w:t>Phase1域泛化基座的外层优化目标为：</w:t>
      </w:r>
    </w:p>
    <w:p w14:paraId="48A4F1C3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MRIOR-SDA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/>
            <w:rPr>
              <w:rFonts w:ascii="Cambria Math" w:hAnsi="Cambria Math"/>
              <w:sz w:val="24"/>
              <w:szCs w:val="24"/>
            </w:rPr>
            <m:t>0.5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wCE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src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r>
            <m:rPr/>
            <w:rPr>
              <w:rFonts w:ascii="Cambria Math" w:hAnsi="Cambria Math"/>
              <w:sz w:val="24"/>
              <w:szCs w:val="24"/>
            </w:rPr>
            <m:t>0.5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wCE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tgt-support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r>
            <m:rPr/>
            <w:rPr>
              <w:rFonts w:ascii="Cambria Math" w:hAnsi="Cambria Math"/>
              <w:sz w:val="24"/>
              <w:szCs w:val="24"/>
            </w:rPr>
            <m:t>0.005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DV-KL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</m:oMath>
      </m:oMathPara>
    </w:p>
    <w:p w14:paraId="7ADBAE70">
      <w:pPr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sz w:val="24"/>
          <w:szCs w:val="24"/>
        </w:rPr>
        <w:t>每个场景使用封存source LEO信道标签缓存和6类K-shot target-old LEO support。</w:t>
      </w:r>
      <w:r>
        <w:rPr>
          <w:rFonts w:ascii="Times New Roman" w:hAnsi="Times New Roman" w:cs="Times New Roman" w:eastAsia="宋体"/>
          <w:sz w:val="24"/>
          <w:szCs w:val="24"/>
          <w:lang w:eastAsia="zh-CN"/>
        </w:rPr>
        <w:t>先用7个内层step最大化DV估计，再更新backbone；两个Adam学习率均为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6</m:t>
        </m:r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×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10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−</m:t>
            </m:r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4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，每场景200个外层step。query只在训练结束后测试。该方法的代价是source replay和完整backbone更新，因此只作为宽权限机制对照。</w:t>
      </w:r>
    </w:p>
    <w:bookmarkEnd w:id="4"/>
    <w:p w14:paraId="58C00568">
      <w:pPr>
        <w:pStyle w:val="4"/>
        <w:rPr>
          <w:sz w:val="28"/>
          <w:szCs w:val="28"/>
          <w:lang w:eastAsia="zh-CN"/>
        </w:rPr>
      </w:pPr>
      <w:bookmarkStart w:id="5" w:name="X717cebba3d9acef3bce53d9629af69d7e648448"/>
      <w:r>
        <w:rPr>
          <w:rFonts w:ascii="Times New Roman" w:hAnsi="Times New Roman" w:eastAsia="宋体" w:cs="Times New Roman"/>
          <w:sz w:val="28"/>
          <w:szCs w:val="28"/>
          <w:lang w:eastAsia="zh-CN"/>
        </w:rPr>
        <w:t>3.4DADDA-SDA：全局与类条件动态分布对齐</w:t>
      </w:r>
    </w:p>
    <w:p w14:paraId="599C5766">
      <w:pPr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sz w:val="24"/>
          <w:szCs w:val="24"/>
          <w:lang w:eastAsia="zh-CN"/>
        </w:rPr>
        <w:t>Feng等人的DADDA（Domain Adaptation with Dynamic Distribution Alignment，即动态分布对齐域适应；SDA仍表示监督域适应。MMD是Maximum Mean Discrepancy，即最大均值差异；LMMD是Local Maximum Mean Discrepancy，即按类别局部计算的最大均值差异；RBF是Radial Basis Function，即径向基函数核；SGD是Stochastic Gradient Descent，即随机梯度下降）属于基于统计距离的跨接收机域适应[3]。其特点是同时计算全局MMD和类条件LMMD，再用数据驱动的动态分配二者权重。</w:t>
      </w:r>
    </w:p>
    <w:p w14:paraId="5DD1BE1E">
      <w:pPr>
        <w:pStyle w:val="19"/>
        <w:rPr>
          <w:sz w:val="24"/>
          <w:szCs w:val="24"/>
        </w:rPr>
      </w:pPr>
      <w:r>
        <w:rPr>
          <w:rFonts w:ascii="Times New Roman" w:hAnsi="Times New Roman" w:cs="Times New Roman" w:eastAsia="宋体"/>
          <w:sz w:val="24"/>
          <w:szCs w:val="24"/>
        </w:rPr>
        <w:t>source与target-support的监督分类项均采用标准交叉熵：</w:t>
      </w:r>
    </w:p>
    <w:p w14:paraId="52776B79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CE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=−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log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π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θ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m:rPr/>
            <w:rPr>
              <w:rFonts w:ascii="Cambria Math" w:hAnsi="Cambria Math"/>
              <w:sz w:val="24"/>
              <w:szCs w:val="24"/>
            </w:rPr>
            <m:t>  D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∈{</m:t>
          </m:r>
          <m:r>
            <m:rPr/>
            <w:rPr>
              <w:rFonts w:ascii="Cambria Math" w:hAnsi="Cambria Math"/>
              <w:sz w:val="24"/>
              <w:szCs w:val="24"/>
            </w:rPr>
            <m:t>src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m:rPr/>
            <w:rPr>
              <w:rFonts w:ascii="Cambria Math" w:hAnsi="Cambria Math"/>
              <w:sz w:val="24"/>
              <w:szCs w:val="24"/>
            </w:rPr>
            <m:t>tgt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}</m:t>
          </m:r>
        </m:oMath>
      </m:oMathPara>
    </w:p>
    <w:p w14:paraId="4A62F459">
      <w:pPr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sz w:val="24"/>
          <w:szCs w:val="24"/>
          <w:lang w:eastAsia="zh-CN"/>
        </w:rPr>
        <w:t>采用RBF核：（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k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,</m:t>
            </m:r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v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是衡量两个特征向量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u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与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v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相似度的RBF核，距离越近核值越大；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σ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是核带宽，控制多大特征距离仍被视为相似。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n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src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n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</w:rPr>
        <w:t>分别是source与target-support样本数；</w:t>
      </w:r>
      <m:oMath>
        <m:r>
          <m:rPr/>
          <w:rPr>
            <w:rFonts w:ascii="Cambria Math" w:hAnsi="Cambria Math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m:rPr/>
          <w:rPr>
            <w:rFonts w:ascii="Cambria Math" w:hAnsi="Cambria Math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',</m:t>
        </m:r>
        <m:r>
          <m:rPr/>
          <w:rPr>
            <w:rFonts w:ascii="Cambria Math" w:hAnsi="Cambria Math"/>
            <w:sz w:val="24"/>
            <w:szCs w:val="24"/>
          </w:rPr>
          <m:t>j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m:rPr/>
          <w:rPr>
            <w:rFonts w:ascii="Cambria Math" w:hAnsi="Cambria Math"/>
            <w:sz w:val="24"/>
            <w:szCs w:val="24"/>
          </w:rPr>
          <m:t>j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'</m:t>
        </m:r>
      </m:oMath>
      <w:r>
        <w:rPr>
          <w:rFonts w:ascii="Times New Roman" w:hAnsi="Times New Roman" w:cs="Times New Roman" w:eastAsia="宋体"/>
          <w:sz w:val="24"/>
          <w:szCs w:val="24"/>
        </w:rPr>
        <w:t>是两域中的样本索引。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</w:rPr>
              <m:t>ℒ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MMD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比较两域整体特征分布，数值越小表示全局域差异越小）</w:t>
      </w:r>
    </w:p>
    <w:p w14:paraId="5144C9AE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  <w:sz w:val="24"/>
              <w:szCs w:val="24"/>
            </w:rPr>
            <m:t>k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v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=exp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−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∥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−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∥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bSup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</m:oMath>
      </m:oMathPara>
    </w:p>
    <w:p w14:paraId="56F9FFC3">
      <w:pPr>
        <w:rPr>
          <w:sz w:val="24"/>
          <w:szCs w:val="24"/>
        </w:rPr>
      </w:pPr>
      <w:r>
        <w:rPr>
          <w:rFonts w:ascii="Times New Roman" w:hAnsi="Times New Roman" w:cs="Times New Roman" w:eastAsia="宋体"/>
          <w:sz w:val="24"/>
          <w:szCs w:val="24"/>
        </w:rPr>
        <w:t>全局MMD为：</w:t>
      </w:r>
    </w:p>
    <w:p w14:paraId="4FD5B6BA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MMD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src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'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k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src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src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tgt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'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k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tgt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tgt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−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src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tgt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j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k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src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tgt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</m:oMath>
      </m:oMathPara>
    </w:p>
    <w:p w14:paraId="54CFE412">
      <w:pPr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sz w:val="24"/>
          <w:szCs w:val="24"/>
        </w:rPr>
        <w:t>对类别</w:t>
      </w:r>
      <m:oMath>
        <m:r>
          <m:rPr/>
          <w:rPr>
            <w:rFonts w:ascii="Cambria Math" w:hAnsi="Cambria Math"/>
            <w:sz w:val="24"/>
            <w:szCs w:val="24"/>
          </w:rPr>
          <m:t>c</m:t>
        </m:r>
      </m:oMath>
      <w:r>
        <w:rPr>
          <w:rFonts w:ascii="Times New Roman" w:hAnsi="Times New Roman" w:cs="Times New Roman" w:eastAsia="宋体"/>
          <w:sz w:val="24"/>
          <w:szCs w:val="24"/>
        </w:rPr>
        <w:t>，令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</w:rPr>
              <m:t>w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src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</w:rPr>
              <m:t>w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rFonts w:ascii="Times New Roman" w:hAnsi="Times New Roman" w:cs="Times New Roman" w:eastAsia="宋体"/>
          <w:sz w:val="24"/>
          <w:szCs w:val="24"/>
        </w:rPr>
        <w:t>为按该类样本数归一化的source/target-support权重，类条件LMMD为：（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</w:rPr>
              <m:t>w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src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rFonts w:ascii="Times New Roman" w:hAnsi="Times New Roman" w:cs="Times New Roman" w:eastAsia="宋体"/>
          <w:sz w:val="24"/>
          <w:szCs w:val="24"/>
        </w:rPr>
        <w:t>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</w:rPr>
              <m:t>w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rFonts w:ascii="Times New Roman" w:hAnsi="Times New Roman" w:cs="Times New Roman" w:eastAsia="宋体"/>
          <w:sz w:val="24"/>
          <w:szCs w:val="24"/>
        </w:rPr>
        <w:t>是类别</w:t>
      </w:r>
      <m:oMath>
        <m:r>
          <m:rPr/>
          <w:rPr>
            <w:rFonts w:ascii="Cambria Math" w:hAnsi="Cambria Math"/>
            <w:sz w:val="24"/>
            <w:szCs w:val="24"/>
          </w:rPr>
          <m:t>c</m:t>
        </m:r>
      </m:oMath>
      <w:r>
        <w:rPr>
          <w:rFonts w:ascii="Times New Roman" w:hAnsi="Times New Roman" w:cs="Times New Roman" w:eastAsia="宋体"/>
          <w:sz w:val="24"/>
          <w:szCs w:val="24"/>
        </w:rPr>
        <w:t>在source/target-support中的归一化样本权重向量；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src,src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tgt,tgt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src,tgt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</w:rPr>
        <w:t>分别是source内部、target内部以及source-target之间的核矩阵；上标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⊤</m:t>
        </m:r>
      </m:oMath>
      <w:r>
        <w:rPr>
          <w:rFonts w:ascii="Times New Roman" w:hAnsi="Times New Roman" w:cs="Times New Roman" w:eastAsia="宋体"/>
          <w:sz w:val="24"/>
          <w:szCs w:val="24"/>
        </w:rPr>
        <w:t>表示转置。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sz w:val="24"/>
                <w:szCs w:val="24"/>
              </w:rPr>
            </m:ctrlPr>
          </m:naryPr>
          <m:sub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=</m:t>
            </m:r>
            <m:r>
              <m:rPr/>
              <w:rPr>
                <w:rFonts w:ascii="Cambria Math" w:hAnsi="Cambria Math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  <m:e>
            <m:r>
              <m:rPr/>
              <w:rPr>
                <w:rFonts w:ascii="Cambria Math" w:hAnsi="Cambria Math"/>
                <w:sz w:val="24"/>
                <w:szCs w:val="24"/>
              </w:rPr>
              <m:t>​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nary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把所有旧发射机的类条件差异汇总为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ℒ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LMMD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）</w:t>
      </w:r>
    </w:p>
    <w:p w14:paraId="466D72F6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LMMD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w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src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c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⊤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src,src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src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w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tgt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c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⊤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tgt,tgt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tgt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−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w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src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c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⊤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src,tgt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tgt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bSup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</m:oMath>
      </m:oMathPara>
    </w:p>
    <w:p w14:paraId="6FE01AD6">
      <w:pPr>
        <w:rPr>
          <w:sz w:val="24"/>
          <w:szCs w:val="24"/>
        </w:rPr>
      </w:pPr>
      <w:r>
        <w:rPr>
          <w:rFonts w:ascii="Times New Roman" w:hAnsi="Times New Roman" w:cs="Times New Roman" w:eastAsia="宋体"/>
          <w:sz w:val="24"/>
          <w:szCs w:val="24"/>
          <w:lang w:eastAsia="zh-CN"/>
        </w:rPr>
        <w:t>动态系数和总损失分别为：（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α</m:t>
        </m:r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,</m:t>
            </m:r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1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是由当前batch自动计算的动态权重：全局MMD较大时更强调LMMD，反之更强调MMD；分母中的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ε₀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保证数值稳定。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ℒ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CE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src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rFonts w:ascii="Times New Roman" w:hAnsi="Times New Roman" w:cs="Times New Roman" w:eastAsia="宋体"/>
          <w:sz w:val="24"/>
          <w:szCs w:val="24"/>
        </w:rPr>
        <w:t>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</w:rPr>
              <m:t>ℒ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CE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tgt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−</m:t>
            </m:r>
            <m:r>
              <m:rPr/>
              <w:rPr>
                <w:rFonts w:ascii="Cambria Math" w:hAnsi="Cambria Math"/>
                <w:sz w:val="24"/>
                <w:szCs w:val="24"/>
              </w:rPr>
              <m:t>support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rFonts w:ascii="Times New Roman" w:hAnsi="Times New Roman" w:cs="Times New Roman" w:eastAsia="宋体"/>
          <w:sz w:val="24"/>
          <w:szCs w:val="24"/>
        </w:rPr>
        <w:t>分别监督源样本与目标support的发射机分类；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</w:rPr>
              <m:t>ℒ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LMMD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−</m:t>
            </m:r>
            <m:r>
              <m:rPr/>
              <w:rPr>
                <w:rFonts w:ascii="Cambria Math" w:hAnsi="Cambria Math"/>
                <w:sz w:val="24"/>
                <w:szCs w:val="24"/>
              </w:rPr>
              <m:t>sum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</w:rPr>
        <w:t>是各类LMMD项的求和；momentum是动量系数，weight decay是权重衰减）</w:t>
      </w:r>
    </w:p>
    <w:p w14:paraId="03726AEC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  <w:sz w:val="24"/>
              <w:szCs w:val="24"/>
            </w:rPr>
            <m:t>α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ℒ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MMD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ℒ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MMD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ℒ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LMMD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ε₀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</m:oMath>
      </m:oMathPara>
    </w:p>
    <w:p w14:paraId="577C97DB">
      <w:pPr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DADDA-SDA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CE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src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CE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tgt-support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−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α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MMD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r>
            <m:rPr/>
            <w:rPr>
              <w:rFonts w:ascii="Cambria Math" w:hAnsi="Cambria Math"/>
              <w:sz w:val="24"/>
              <w:szCs w:val="24"/>
            </w:rPr>
            <m:t>α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LMMD-sum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</m:oMath>
      </m:oMathPara>
    </w:p>
    <w:p w14:paraId="61DA8845">
      <w:pPr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b/>
          <w:bCs/>
          <w:sz w:val="24"/>
          <w:szCs w:val="24"/>
        </w:rPr>
        <w:t>CVS执行：</w:t>
      </w:r>
      <w:r>
        <w:rPr>
          <w:rFonts w:ascii="Times New Roman" w:hAnsi="Times New Roman" w:cs="Times New Roman" w:eastAsia="宋体"/>
          <w:sz w:val="24"/>
          <w:szCs w:val="24"/>
        </w:rPr>
        <w:t xml:space="preserve"> 数据与MRIOR-SDA相同；更新完整Phase1域泛化基座身份backbone和旧类分类输出。SGD初始学习率为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10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−</m:t>
            </m:r>
            <m:r>
              <m:rPr/>
              <w:rPr>
                <w:rFonts w:ascii="Cambria Math" w:hAnsi="Cambria Math"/>
                <w:sz w:val="24"/>
                <w:szCs w:val="24"/>
              </w:rPr>
              <m:t>4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rFonts w:ascii="Times New Roman" w:hAnsi="Times New Roman" w:cs="Times New Roman" w:eastAsia="宋体"/>
          <w:sz w:val="24"/>
          <w:szCs w:val="24"/>
        </w:rPr>
        <w:t>、momentum为0.9、weight decay为</w:t>
      </w:r>
      <m:oMath>
        <m:r>
          <m:rPr/>
          <w:rPr>
            <w:rFonts w:ascii="Cambria Math" w:hAnsi="Cambria Math"/>
            <w:sz w:val="24"/>
            <w:szCs w:val="24"/>
          </w:rPr>
          <m:t>5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10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−</m:t>
            </m:r>
            <m:r>
              <m:rPr/>
              <w:rPr>
                <w:rFonts w:ascii="Cambria Math" w:hAnsi="Cambria Math"/>
                <w:sz w:val="24"/>
                <w:szCs w:val="24"/>
              </w:rPr>
              <m:t>4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rFonts w:ascii="Times New Roman" w:hAnsi="Times New Roman" w:cs="Times New Roman" w:eastAsia="宋体"/>
          <w:sz w:val="24"/>
          <w:szCs w:val="24"/>
        </w:rPr>
        <w:t>，每场景200步。</w:t>
      </w:r>
      <w:r>
        <w:rPr>
          <w:rFonts w:ascii="Times New Roman" w:hAnsi="Times New Roman" w:cs="Times New Roman" w:eastAsia="宋体"/>
          <w:sz w:val="24"/>
          <w:szCs w:val="24"/>
          <w:lang w:eastAsia="zh-CN"/>
        </w:rPr>
        <w:t>query不参与CE、MMD、LMMD或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α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估计。DADDA比MRIOR更直接地约束类条件分布，但K很小时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w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估计噪声较大，可能产生负迁移。</w:t>
      </w:r>
    </w:p>
    <w:bookmarkEnd w:id="5"/>
    <w:p w14:paraId="17AAA57F">
      <w:pPr>
        <w:pStyle w:val="4"/>
        <w:rPr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  <w:lang w:eastAsia="zh-CN"/>
        </w:rPr>
        <w:t>3.5对比方法机制与权限对比</w:t>
      </w:r>
    </w:p>
    <w:tbl>
      <w:tblPr>
        <w:tblW w:w="0" w:type="auto"/>
        <w:tblInd w:w="0" w:type="dxa"/>
        <w:tblLayout w:type="autofit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125"/>
        <w:gridCol w:w="1129"/>
        <w:gridCol w:w="1716"/>
        <w:gridCol w:w="1915"/>
        <w:gridCol w:w="907"/>
        <w:gridCol w:w="1702"/>
        <w:gridCol w:w="1046"/>
      </w:tblGrid>
      <w:tr w14:paraId="7EF77C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089BB83B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bCs/>
                <w:sz w:val="20"/>
                <w:szCs w:val="20"/>
                <w:color w:val="1F4E79"/>
              </w:rPr>
              <w:t>方法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58F760A9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bCs/>
                <w:sz w:val="20"/>
                <w:szCs w:val="20"/>
                <w:color w:val="1F4E79"/>
              </w:rPr>
              <w:t>方法分类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25441A33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bCs/>
                <w:sz w:val="20"/>
                <w:szCs w:val="20"/>
                <w:color w:val="1F4E79"/>
              </w:rPr>
              <w:t>部署输入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40ADD218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bCs/>
                <w:sz w:val="20"/>
                <w:szCs w:val="20"/>
                <w:color w:val="1F4E79"/>
              </w:rPr>
              <w:t>更新对象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6761CC11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bCs/>
                <w:sz w:val="20"/>
                <w:szCs w:val="20"/>
                <w:color w:val="1F4E79"/>
              </w:rPr>
              <w:t>source访问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2DDE90DA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bCs/>
                <w:sz w:val="20"/>
                <w:szCs w:val="20"/>
                <w:color w:val="1F4E79"/>
              </w:rPr>
              <w:t>计算特点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4E67CB85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bCs/>
                <w:sz w:val="20"/>
                <w:szCs w:val="20"/>
                <w:color w:val="1F4E79"/>
              </w:rPr>
              <w:t>本轮能否注册新类</w:t>
            </w:r>
          </w:p>
        </w:tc>
      </w:tr>
      <w:tr w14:paraId="00F704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776AEDD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ProtoNet CDA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5C32A32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少样本监督DA基线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1DAAC2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target-old support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AE14CD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prototype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704EDC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否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1C79A3D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0次backbone更新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018FB3F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未评估</w:t>
            </w:r>
          </w:p>
        </w:tc>
      </w:tr>
      <w:tr w14:paraId="00505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1F8428C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MRIOR-SDA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2C1C2561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  <w:lang w:eastAsia="zh-CN"/>
              </w:rPr>
              <w:t>模型更新型监督域适应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4ED2BA5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source LEO缓存＋target-old support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0543715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完整身份backbone＋DV-KL估计网络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0760BF2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是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2592D24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200步/场景，3场景合计600步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0C99B8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否，闭集旧类</w:t>
            </w:r>
          </w:p>
        </w:tc>
      </w:tr>
      <w:tr w14:paraId="737BB2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261694D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DADDA-SDA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4B58596A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  <w:lang w:eastAsia="zh-CN"/>
              </w:rPr>
              <w:t>统计距离型监督域适应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176B1BE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source LEO缓存＋target-old support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031AA2C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完整身份backbone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2FE3335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是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A3546E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200步/场景，3场景合计600步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28EEFD6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否，闭集旧类</w:t>
            </w:r>
          </w:p>
        </w:tc>
      </w:tr>
      <w:bookmarkEnd w:id="2"/>
    </w:tbl>
    <w:p w14:paraId="6B7BDC26">
      <w:pPr>
        <w:pStyle w:val="4"/>
        <w:rPr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  <w:lang w:eastAsia="zh-CN"/>
        </w:rPr>
        <w:t>3.6对比方法复现实验结果</w:t>
      </w:r>
    </w:p>
    <w:p w14:paraId="09B97D31">
      <w:pPr>
        <w:pStyle w:val="19"/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sz w:val="24"/>
          <w:szCs w:val="24"/>
          <w:lang w:eastAsia="zh-CN"/>
        </w:rPr>
        <w:t>以下三张表直接采用《学习进展情况+7.16》中的原始结果表，依次给出总体表现、不同K-shot和不同target receiver的结果。三种方法各运行125个任务，共375个任务；表内数值不再压缩为单一结论。</w:t>
      </w:r>
    </w:p>
    <w:p w14:paraId="2C047D1F">
      <w:pPr>
        <w:pStyle w:val="5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3.6.1总体性能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84"/>
        <w:gridCol w:w="1216"/>
        <w:gridCol w:w="1216"/>
        <w:gridCol w:w="1123"/>
        <w:gridCol w:w="1684"/>
        <w:gridCol w:w="1123"/>
        <w:gridCol w:w="1314"/>
      </w:tblGrid>
      <w:tr w14:paraId="1F74B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340CA34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方法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279A12B8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bCs/>
                <w:sz w:val="20"/>
                <w:szCs w:val="20"/>
                <w:color w:val="1F4E79"/>
              </w:rPr>
              <w:t>DA0_REG0</w:t>
            </w: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5CCCF0E9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bCs/>
                <w:sz w:val="20"/>
                <w:szCs w:val="20"/>
                <w:color w:val="1F4E79"/>
              </w:rPr>
              <w:t>DA1_REG0</w:t>
            </w: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D431334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bCs/>
                <w:sz w:val="20"/>
                <w:szCs w:val="20"/>
                <w:color w:val="1F4E79"/>
              </w:rPr>
              <w:t>平均</w:t>
            </w: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514495B2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正/负迁移任务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F2FA568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平均时延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71E95527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backbone更新</w:t>
            </w:r>
          </w:p>
        </w:tc>
      </w:tr>
      <w:tr w14:paraId="34BC9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BF2838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MRIOR-SDA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1AC478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73.60%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941DBF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82.58%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E9F7FB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+8.98pp</w:t>
            </w:r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7F3BE8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105/20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CE08D6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17.90s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D9E15F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600</w:t>
            </w:r>
          </w:p>
        </w:tc>
      </w:tr>
      <w:tr w14:paraId="16C4E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10F930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DADDA-SDA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D878A3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73.60%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23CD6B2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78.35%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A9523A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+4.75pp</w:t>
            </w:r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6852E4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99/26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E4E5D7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14.62s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F64BD7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600</w:t>
            </w:r>
          </w:p>
        </w:tc>
      </w:tr>
      <w:tr w14:paraId="753F2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A7D23C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ProtoNet CDA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DD1BFB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73.60%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2B49B1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66.85%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5AE590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−6.75pp</w:t>
            </w:r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C9A710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10/115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BEF2AA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0.046s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14528E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</w:t>
            </w:r>
          </w:p>
        </w:tc>
      </w:tr>
    </w:tbl>
    <w:p w14:paraId="120B0BEC">
      <w:pPr>
        <w:pStyle w:val="19"/>
        <w:rPr>
          <w:sz w:val="24"/>
          <w:szCs w:val="24"/>
        </w:rPr>
      </w:pPr>
      <w:r>
        <w:rPr>
          <w:rFonts w:ascii="Times New Roman" w:hAnsi="Times New Roman" w:cs="Times New Roman" w:eastAsia="宋体"/>
          <w:sz w:val="24"/>
          <w:szCs w:val="24"/>
        </w:rPr>
        <w:t>MRIOR-SDA的适应后old_acc最高，平均收益为+8.98个百分点；DADDA-SDA平均收益为+4.75个百分点；ProtoNet CDA平均下降6.75个百分点。这说明target-old support含有可利用的域校准信息，但固定embedding上的单prototype不足以修正系统性跨接收机偏移。</w:t>
      </w:r>
    </w:p>
    <w:p w14:paraId="4CD5081E">
      <w:pPr>
        <w:pStyle w:val="5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3.6.2不同K-shot下的结果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936"/>
        <w:gridCol w:w="2106"/>
        <w:gridCol w:w="2106"/>
        <w:gridCol w:w="2059"/>
        <w:gridCol w:w="2153"/>
      </w:tblGrid>
      <w:tr w14:paraId="511A6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23A54742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K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16AB7915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直接Phase1域泛化基座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B50E6C1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MRIOR-SDA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79B168EE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DADDA-SDA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2613651A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ProtoNet CDA</w:t>
            </w:r>
          </w:p>
        </w:tc>
      </w:tr>
      <w:tr w14:paraId="704B9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DD3F7E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7D968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A77AC2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77.22%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C1534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74.94%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49C6E9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58.67%</w:t>
            </w:r>
          </w:p>
        </w:tc>
      </w:tr>
      <w:tr w14:paraId="123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F31092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738BE3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6E5FB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79.51%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FEB6E5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76.14%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55F424F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64.70%</w:t>
            </w:r>
          </w:p>
        </w:tc>
      </w:tr>
      <w:tr w14:paraId="1A9DF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90FFEC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5ADD2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86C0AD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82.59%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3E961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78.19%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B5EB04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68.98%</w:t>
            </w:r>
          </w:p>
        </w:tc>
      </w:tr>
      <w:tr w14:paraId="42F67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8F3462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10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7D70C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FF720C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85.82%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6B2218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80.31%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7ABD15B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70.42%</w:t>
            </w:r>
          </w:p>
        </w:tc>
      </w:tr>
      <w:tr w14:paraId="11C38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42089D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20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F53FF3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47327E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87.74%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0CF1FB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82.16%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50166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71.48%</w:t>
            </w:r>
          </w:p>
        </w:tc>
      </w:tr>
    </w:tbl>
    <w:p w14:paraId="147E8B9B">
      <w:pPr>
        <w:pStyle w:val="19"/>
        <w:rPr>
          <w:sz w:val="24"/>
          <w:szCs w:val="24"/>
        </w:rPr>
      </w:pPr>
      <w:r>
        <w:rPr>
          <w:rFonts w:ascii="Times New Roman" w:hAnsi="Times New Roman" w:cs="Times New Roman" w:eastAsia="宋体"/>
          <w:sz w:val="24"/>
          <w:szCs w:val="24"/>
        </w:rPr>
        <w:t>K从1增加到20时，MRIOR-SDA与DADDA-SDA持续受益，说明更多target support提高了梯度估计和类条件分布估计的稳定性。ProtoNet CDA也随K增加而改善，但K=20时仍低于直接Phase1域泛化基座。</w:t>
      </w:r>
    </w:p>
    <w:p w14:paraId="55BE8090">
      <w:pPr>
        <w:pStyle w:val="5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3.6.3不同target receiver下的结果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84"/>
        <w:gridCol w:w="1918"/>
        <w:gridCol w:w="1918"/>
        <w:gridCol w:w="1918"/>
        <w:gridCol w:w="1922"/>
      </w:tblGrid>
      <w:tr w14:paraId="61A22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8570A8E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target receiver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E3C8ED4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直接Phase1域泛化基座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440190E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MRIOR-SDA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A0E1735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DADDA-SDA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99D4663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ProtoNet CDA</w:t>
            </w:r>
          </w:p>
        </w:tc>
      </w:tr>
      <w:tr w14:paraId="55F9D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3CB749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20-1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F44C17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64.61%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BBEA85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83.43%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C4C7DE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75.91%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D86C32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60.98%</w:t>
            </w:r>
          </w:p>
        </w:tc>
      </w:tr>
      <w:tr w14:paraId="0A78F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CC2DC6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3-19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A8D6F4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60.33%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EF38C6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69.06%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05E247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65.31%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6A888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48.50%</w:t>
            </w:r>
          </w:p>
        </w:tc>
      </w:tr>
      <w:tr w14:paraId="0EA40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E3E13A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7-14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E85068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90.06%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0580B2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89.93%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CB009F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89.93%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87C2BA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83.53%</w:t>
            </w:r>
          </w:p>
        </w:tc>
      </w:tr>
      <w:tr w14:paraId="5CFA7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51CCC8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7-7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7CDFCFB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80.22%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1310D9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86.78%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1E3B0A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82.49%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56FDAD9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74.81%</w:t>
            </w:r>
          </w:p>
        </w:tc>
      </w:tr>
      <w:tr w14:paraId="55B7B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0F0E04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8-8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3D9648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72.78%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5F178B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83.69%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BB1B64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78.10%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BAA0C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66.42%</w:t>
            </w:r>
          </w:p>
        </w:tc>
      </w:tr>
    </w:tbl>
    <w:p w14:paraId="05068B94">
      <w:pPr>
        <w:pStyle w:val="19"/>
        <w:rPr>
          <w:sz w:val="24"/>
          <w:szCs w:val="24"/>
        </w:rPr>
      </w:pPr>
      <w:r>
        <w:rPr>
          <w:rFonts w:ascii="Times New Roman" w:hAnsi="Times New Roman" w:cs="Times New Roman" w:eastAsia="宋体"/>
          <w:sz w:val="24"/>
          <w:szCs w:val="24"/>
        </w:rPr>
        <w:t>不同receiver的direct基线差异明显：3-19最困难，7-14的direct基线最高。MRIOR-SDA在20-1、7-7和8-8上获得明显正收益，但在7-14上略低于direct，说明高基线receiver继续更新时存在负迁移风险。</w:t>
      </w:r>
    </w:p>
    <w:p w14:paraId="67256316">
      <w:pPr>
        <w:pStyle w:val="5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3.6.4ERTB-IDR Stage2-B域适应实验结果</w:t>
      </w:r>
    </w:p>
    <w:p w14:paraId="20573748">
      <w:pPr>
        <w:pStyle w:val="19"/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szCs w:val="24"/>
          <w:sz w:val="24"/>
        </w:rPr>
        <w:t>ERTB-IDR（Efficient Robust Task-Balanced Incremental Discriminant Registration，高效稳健任务均衡增量判别注册方法；对应D92 E0_FULL_ONLY，而非原始D92）是本报告实际采用的项目对比方法。</w:t>
      </w:r>
      <w:r>
        <w:rPr>
          <w:rFonts w:ascii="Times New Roman" w:hAnsi="Times New Roman" w:cs="Times New Roman" w:eastAsia="宋体"/>
          <w:szCs w:val="24"/>
          <w:lang w:eastAsia="zh-CN"/>
          <w:sz w:val="24"/>
        </w:rPr>
        <w:t>它读取Phase1域泛化基座和当前row的target support：首先从固定LEO接收IQ提取288维联合特征，再使用ground-spectrum Cauchy稳健中心减弱接收机/信道扰动；随后分别估计旧类任务与新类任务的自动收缩协方差，并以固定等权形成任务均衡的共享判别几何；最后仅执行一次full主几何LDA闭式拟合，编译面对全部已注册类的统一仿射分类头。ERTB-IDR不进行梯度训练，也不保存原始exemplar。Stage2-B的S2B-old表示仅使用旧类target support构造的DA1_REG0状态；Stage2-C再加入新类support形成DA1_REG1状态。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655"/>
        <w:gridCol w:w="1872"/>
        <w:gridCol w:w="1591"/>
        <w:gridCol w:w="1778"/>
        <w:gridCol w:w="1591"/>
        <w:gridCol w:w="1873"/>
      </w:tblGrid>
      <w:tr w14:paraId="6B18B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CF09B66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K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5867484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target receiver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5230CB56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clear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4F584D9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low-elev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9F6542B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rain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A07DF93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三场景均值</w:t>
            </w:r>
          </w:p>
        </w:tc>
      </w:tr>
      <w:tr w14:paraId="3AA36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E4D7D0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DC1D47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20-1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002085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67.000%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907DE4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67.000%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DE74BB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65.500%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D50AA5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66.500%</w:t>
            </w:r>
          </w:p>
        </w:tc>
      </w:tr>
      <w:tr w14:paraId="18F13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2A891A3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8C0AA5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3-19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254BCE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52.833%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7E0B5B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43.333%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2A7798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52.667%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DEF1B2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49.611%</w:t>
            </w:r>
          </w:p>
        </w:tc>
      </w:tr>
      <w:tr w14:paraId="20B63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9C2B09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CFC908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7-14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040790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80.000%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46F1AE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80.833%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5677C8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76.667%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E2085B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79.167%</w:t>
            </w:r>
          </w:p>
        </w:tc>
      </w:tr>
      <w:tr w14:paraId="37F08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A1994C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26C9C1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7-7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BACC80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81.667%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5E821AF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74.167%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0525E8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71.000%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300921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75.611%</w:t>
            </w:r>
          </w:p>
        </w:tc>
      </w:tr>
      <w:tr w14:paraId="787F1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130B6A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4DC192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8-8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ABEE4D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75.167%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85E9C0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70.500%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0944C5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63.833%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440E43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69.833%</w:t>
            </w:r>
          </w:p>
        </w:tc>
      </w:tr>
      <w:tr w14:paraId="6EF0F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E7DBA1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7858648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5接收机总体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7214C7D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71.333%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22442DD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67.167%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2C9F991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65.933%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1C147E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68.144%</w:t>
            </w:r>
          </w:p>
        </w:tc>
      </w:tr>
      <w:tr w14:paraId="3347C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DEE5F3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CC84EA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20-1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B7E05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88.667%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CA8DF5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83.667%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58D385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79.333%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5B747B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83.889%</w:t>
            </w:r>
          </w:p>
        </w:tc>
      </w:tr>
      <w:tr w14:paraId="44948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2BF397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5D0BD61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3-19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2A20AD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69.833%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2A4923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65.667%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E898FB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65.167%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E5B032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66.889%</w:t>
            </w:r>
          </w:p>
        </w:tc>
      </w:tr>
      <w:tr w14:paraId="2AEC0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217094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8CCE79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7-14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7DDD8D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87.667%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4D5488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80.500%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54D919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77.667%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BD6CFB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81.944%</w:t>
            </w:r>
          </w:p>
        </w:tc>
      </w:tr>
      <w:tr w14:paraId="6E016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AF585F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7822440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7-7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5598A9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93.500%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5CB798B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89.667%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A6A332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90.333%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2739C32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91.167%</w:t>
            </w:r>
          </w:p>
        </w:tc>
      </w:tr>
      <w:tr w14:paraId="3660D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68987D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52C9E9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8-8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BCDDBA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85.500%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36F8D3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82.500%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989A67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79.333%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0C3E62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82.444%</w:t>
            </w:r>
          </w:p>
        </w:tc>
      </w:tr>
      <w:tr w14:paraId="110B6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BCFF77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4555EE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5接收机总体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A26B97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85.033%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AA67D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80.400%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7021AFB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78.367%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575FCB6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81.267%</w:t>
            </w:r>
          </w:p>
        </w:tc>
      </w:tr>
      <w:tr w14:paraId="7CC91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EA4ECB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10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81A9D2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20-1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00A8A5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93.000%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F6A5B3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88.000%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E3B040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86.500%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9159A3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89.167%</w:t>
            </w:r>
          </w:p>
        </w:tc>
      </w:tr>
      <w:tr w14:paraId="378FB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ABCA40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10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1ECCB5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3-19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442016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76.000%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33BBD3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72.500%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5D755D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71.500%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10568B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73.333%</w:t>
            </w:r>
          </w:p>
        </w:tc>
      </w:tr>
      <w:tr w14:paraId="51052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F04330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10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F25891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7-14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E08845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91.333%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7C9700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83.000%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5DC348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84.500%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BD90E4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86.278%</w:t>
            </w:r>
          </w:p>
        </w:tc>
      </w:tr>
      <w:tr w14:paraId="3ED21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E03178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10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7AB76A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7-7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7F3DD3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96.833%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217ADDE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96.333%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19EB21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94.167%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023F74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95.778%</w:t>
            </w:r>
          </w:p>
        </w:tc>
      </w:tr>
      <w:tr w14:paraId="7D967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C0DFE7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10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FE7CE7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8-8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AE927D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91.167%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DA93C5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83.833%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07BBC8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83.000%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5FC5D5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86.000%</w:t>
            </w:r>
          </w:p>
        </w:tc>
      </w:tr>
      <w:tr w14:paraId="07D2B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034077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10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70EF6A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5接收机总体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54188A9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89.667%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C8A296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84.733%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B63777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83.933%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1EACD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86.111%</w:t>
            </w:r>
          </w:p>
        </w:tc>
      </w:tr>
    </w:tbl>
    <w:p w14:paraId="39E7A8DD">
      <w:pPr>
        <w:pStyle w:val="19"/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sz w:val="24"/>
          <w:szCs w:val="24"/>
        </w:rPr>
        <w:t>ERTB-IDR的Stage2-B域适应准确率随support由K=1增加到K=5、K=10而提升：5个接收机三场景总体均值依次为68.144%、81.267%和86.111%。</w:t>
      </w:r>
      <w:r>
        <w:rPr>
          <w:rFonts w:ascii="Times New Roman" w:hAnsi="Times New Roman" w:cs="Times New Roman" w:eastAsia="宋体"/>
          <w:sz w:val="24"/>
          <w:szCs w:val="24"/>
          <w:lang w:eastAsia="zh-CN"/>
        </w:rPr>
        <w:t>同一K下，clear场景总体最高，low-elev与rain场景更低；接收机3-19始终最弱，K=10时三场景均值仍仅73.333%，说明接收机域偏移和信道扰动尚未被完全消除。</w:t>
      </w:r>
    </w:p>
    <w:p w14:paraId="0745F9FC">
      <w:pPr>
        <w:pStyle w:val="19"/>
        <w:rPr>
          <w:sz w:val="24"/>
          <w:szCs w:val="24"/>
          <w:lang w:eastAsia="zh-CN"/>
        </w:rPr>
      </w:pPr>
    </w:p>
    <w:p w14:paraId="2293E7E7">
      <w:pPr>
        <w:pStyle w:val="19"/>
        <w:rPr>
          <w:sz w:val="24"/>
          <w:szCs w:val="24"/>
          <w:lang w:eastAsia="zh-CN"/>
        </w:rPr>
      </w:pPr>
    </w:p>
    <w:p w14:paraId="1F345AF7">
      <w:pPr>
        <w:pStyle w:val="19"/>
        <w:rPr>
          <w:sz w:val="24"/>
          <w:szCs w:val="24"/>
          <w:lang w:eastAsia="zh-CN"/>
        </w:rPr>
      </w:pPr>
    </w:p>
    <w:p w14:paraId="36928B99">
      <w:pPr>
        <w:pStyle w:val="19"/>
        <w:rPr>
          <w:sz w:val="24"/>
          <w:szCs w:val="24"/>
          <w:lang w:eastAsia="zh-CN"/>
        </w:rPr>
      </w:pPr>
    </w:p>
    <w:p w14:paraId="2F024C91">
      <w:pPr>
        <w:pStyle w:val="5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3.6.5ERTB-IDR与域适应方法的共同LEO场景对照</w:t>
      </w:r>
    </w:p>
    <w:p w14:paraId="0640244E">
      <w:pPr>
        <w:pStyle w:val="19"/>
        <w:rPr>
          <w:sz w:val="24"/>
          <w:szCs w:val="24"/>
        </w:rPr>
      </w:pPr>
      <w:r>
        <w:rPr>
          <w:rFonts w:ascii="Times New Roman" w:hAnsi="Times New Roman" w:cs="Times New Roman" w:eastAsia="宋体"/>
          <w:sz w:val="24"/>
          <w:szCs w:val="24"/>
        </w:rPr>
        <w:t>下表将ERTB-IDR的S2B-old与相同三类LEO信道场景下的域适应对比方法并列。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655"/>
        <w:gridCol w:w="1591"/>
        <w:gridCol w:w="1591"/>
        <w:gridCol w:w="1591"/>
        <w:gridCol w:w="1591"/>
        <w:gridCol w:w="2341"/>
      </w:tblGrid>
      <w:tr w14:paraId="4731C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5BD7EB4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K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1B2AC56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直接Phase1域泛化基座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2E8A3D21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MRIOR-SDA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857E552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DADDA-SDA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2F053576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ProtoNet CDA</w:t>
            </w:r>
          </w:p>
        </w:tc>
        <w:tc>
          <w:tcPr>
            <w:tcW w:w="234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75E0ABF5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ERTB-IDR Stage2-B旧类准确率</w:t>
            </w:r>
          </w:p>
        </w:tc>
      </w:tr>
      <w:tr w14:paraId="55188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C1656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000138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75.21%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DF93AD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69.88%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D542BE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72.58%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125A52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59.47%</w:t>
            </w:r>
          </w:p>
        </w:tc>
        <w:tc>
          <w:tcPr>
            <w:tcW w:w="234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C3C6C6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68.144%</w:t>
            </w:r>
          </w:p>
        </w:tc>
      </w:tr>
      <w:tr w14:paraId="4CA34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29F78A2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87B9E4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75.21%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59741F2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79.17%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56DAE8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76.74%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27234E4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70.28%</w:t>
            </w:r>
          </w:p>
        </w:tc>
        <w:tc>
          <w:tcPr>
            <w:tcW w:w="234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07DFEC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81.267%</w:t>
            </w:r>
          </w:p>
        </w:tc>
      </w:tr>
      <w:tr w14:paraId="22BE5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0182DB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10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A9DDDB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75.21%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54F2CA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84.50%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97058C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79.36%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60ADC4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70.86%</w:t>
            </w:r>
          </w:p>
        </w:tc>
        <w:tc>
          <w:tcPr>
            <w:tcW w:w="234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9B07D2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86.111%</w:t>
            </w:r>
          </w:p>
        </w:tc>
      </w:tr>
    </w:tbl>
    <w:p w14:paraId="7AEC8801">
      <w:pPr>
        <w:pStyle w:val="19"/>
        <w:rPr>
          <w:sz w:val="24"/>
          <w:szCs w:val="24"/>
        </w:rPr>
      </w:pPr>
      <w:r>
        <w:rPr>
          <w:rFonts w:ascii="Times New Roman" w:hAnsi="Times New Roman" w:cs="Times New Roman" w:eastAsia="宋体"/>
          <w:sz w:val="24"/>
          <w:szCs w:val="24"/>
        </w:rPr>
        <w:t>在这一描述性口径下，ERTB-IDR的Stage2-B旧类准确率在K=5和K=10时分别为81.267%和86.111%，高于同表中的三个论文适配头；K=1时MRIOR-SDA为69.88%，高于ERTB-IDR的68.144%。这里比较的是完成旧类support域适应后的S2B-old，而不是Phase1模型直接推理结果。此时尚未加入新类，ERTB-IDR的旧/新任务均衡协方差也尚未启用；数值反映ERTB-IDR的旧类support稳健状态构造，不能归因于Stage2-C均衡模块。</w:t>
      </w:r>
    </w:p>
    <w:p w14:paraId="5F2A85B9">
      <w:pPr>
        <w:pStyle w:val="3"/>
        <w:rPr>
          <w:sz w:val="36"/>
          <w:szCs w:val="32"/>
          <w:lang w:eastAsia="zh-CN"/>
        </w:rPr>
      </w:pPr>
      <w:bookmarkStart w:id="6" w:name="X2464148e56484ad46d4959199fb3b49214b217b"/>
      <w:r>
        <w:rPr>
          <w:rFonts w:ascii="Times New Roman" w:hAnsi="Times New Roman" w:eastAsia="宋体" w:cs="Times New Roman"/>
          <w:sz w:val="36"/>
          <w:szCs w:val="36"/>
          <w:lang w:eastAsia="zh-CN"/>
        </w:rPr>
        <w:t>4.Stage2-C：少样本类增量仿真实验</w:t>
      </w:r>
    </w:p>
    <w:p w14:paraId="7D58F1AE">
      <w:pPr>
        <w:pStyle w:val="4"/>
        <w:rPr>
          <w:sz w:val="28"/>
          <w:szCs w:val="28"/>
          <w:lang w:eastAsia="zh-CN"/>
        </w:rPr>
      </w:pPr>
      <w:bookmarkStart w:id="7" w:name="Xe41a15347bd3fd3b4101ce2aaa7c7c4b55233d0"/>
      <w:r>
        <w:rPr>
          <w:rFonts w:ascii="Times New Roman" w:hAnsi="Times New Roman" w:eastAsia="宋体" w:cs="Times New Roman"/>
          <w:sz w:val="28"/>
          <w:szCs w:val="28"/>
          <w:lang w:eastAsia="zh-CN"/>
        </w:rPr>
        <w:t>4.1仿真问题、代码口径与数据</w:t>
      </w:r>
    </w:p>
    <w:p w14:paraId="583C9A7E">
      <w:pPr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b/>
          <w:color w:val="C00000"/>
          <w:szCs w:val="24"/>
          <w:lang w:eastAsia="zh-CN"/>
          <w:sz w:val="24"/>
        </w:rPr>
        <w:t>Stage2-C在同一target receiver中注册新类，并要求旧类与新类在同一输出空间统一竞争，因此它是跨域FSCIL。</w:t>
      </w:r>
      <w:r>
        <w:rPr>
          <w:rFonts w:ascii="Times New Roman" w:hAnsi="Times New Roman" w:cs="Times New Roman" w:eastAsia="宋体"/>
          <w:szCs w:val="24"/>
          <w:lang w:eastAsia="zh-CN"/>
          <w:sz w:val="24"/>
        </w:rPr>
        <w:t>本轮每个cell只执行一次新类集合注册，编码器接口接入Phase1域泛化基座输出的160维，其余训练器、损失和更新范围按官方实现保留。（CSIL是Channel Separation Enabled Incremental Learning，即通道隔离型增量学习；MoPC-HR是Momentum-based Prototype Correction and Hierarchical Regularization，即基于动量的原型校正与分层正则；HR表示Hierarchical Regularization；exemplar是保存供后续回放的历史原始样本；无exemplar表示不保存旧类原始IQ，但仍可保留旧模型、Fisher信息或类别prototype等聚合历史状态）</w:t>
      </w:r>
    </w:p>
    <w:tbl>
      <w:tblPr>
        <w:tblW w:w="0" w:type="auto"/>
        <w:tblInd w:w="0" w:type="dxa"/>
        <w:tblLayout w:type="autofit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783"/>
        <w:gridCol w:w="3885"/>
        <w:gridCol w:w="3872"/>
      </w:tblGrid>
      <w:tr w14:paraId="34FB75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27FFBE66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bCs/>
                <w:sz w:val="20"/>
                <w:szCs w:val="20"/>
                <w:color w:val="1F4E79"/>
              </w:rPr>
              <w:t>环节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193814BE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bCs/>
                <w:sz w:val="20"/>
                <w:szCs w:val="20"/>
                <w:color w:val="1F4E79"/>
              </w:rPr>
              <w:t>CSIL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17806DA8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bCs/>
                <w:sz w:val="20"/>
                <w:szCs w:val="20"/>
                <w:color w:val="1F4E79"/>
              </w:rPr>
              <w:t>MoPC-HR</w:t>
            </w:r>
          </w:p>
        </w:tc>
      </w:tr>
      <w:tr w14:paraId="29B42D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2DC7A98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Phase2前基座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5FBF866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5879条source base train＋2521条Fisher validation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5193AF2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8400条source base训练并保存6个旧类prototype</w:t>
            </w:r>
          </w:p>
        </w:tc>
      </w:tr>
      <w:tr w14:paraId="4D80F7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00317EE1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  <w:lang w:eastAsia="zh-CN"/>
              </w:rPr>
              <w:t>Phase2真实训练数据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05DD3CD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当前cell的target-new K-shot support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1373689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当前cell的target-new K-shot support</w:t>
            </w:r>
          </w:p>
        </w:tc>
      </w:tr>
      <w:tr w14:paraId="29984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67A3164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query作用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769B0CEA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  <w:lang w:eastAsia="zh-CN"/>
              </w:rPr>
              <w:t>旧类测遗忘、新类测注册；均不参与训练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54B6CC3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  <w:lang w:eastAsia="zh-CN"/>
              </w:rPr>
              <w:t>旧类测遗忘、新类测注册；均不参与训练</w:t>
            </w:r>
          </w:p>
        </w:tc>
      </w:tr>
      <w:tr w14:paraId="5D52F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51548EC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冻结矩阵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33F71654">
            <w:pPr>
              <w:spacing w:after="0"/>
              <w:rPr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  <w:lang w:eastAsia="zh-CN"/>
              </w:rPr>
              <w:t>K=5、10、20；新类规模1、3、20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292075C6">
            <w:pPr>
              <w:spacing w:after="0"/>
              <w:rPr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  <w:lang w:eastAsia="zh-CN"/>
              </w:rPr>
              <w:t>K=5、10、20；新类规模1、3、5、10、25</w:t>
            </w:r>
          </w:p>
        </w:tc>
      </w:tr>
    </w:tbl>
    <w:p w14:paraId="53E4547F">
      <w:pPr>
        <w:pStyle w:val="19"/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sz w:val="24"/>
          <w:szCs w:val="24"/>
        </w:rPr>
        <w:t>这里的source数据只用于构造进入Phase2前的旧类状态，不是每个增量cell中的source replay。每个cell的唯一真实增量训练数据是target-new K-shot support；old query与new query均只用于模型冻结后的统一评价，不能参与训练、调参、回滚或阈值选择。</w:t>
      </w:r>
    </w:p>
    <w:bookmarkEnd w:id="7"/>
    <w:p w14:paraId="798A7F73">
      <w:pPr>
        <w:pStyle w:val="4"/>
        <w:rPr>
          <w:sz w:val="28"/>
          <w:szCs w:val="28"/>
          <w:lang w:eastAsia="zh-CN"/>
        </w:rPr>
      </w:pPr>
      <w:bookmarkStart w:id="8" w:name="Xa5c3c5dc97a1f787a3a9294b6bba64696e83dab"/>
      <w:r>
        <w:rPr>
          <w:rFonts w:ascii="Times New Roman" w:hAnsi="Times New Roman" w:eastAsia="宋体" w:cs="Times New Roman"/>
          <w:sz w:val="28"/>
          <w:szCs w:val="28"/>
          <w:lang w:eastAsia="zh-CN"/>
        </w:rPr>
        <w:t>4.2CSIL：通道隔离型无exemplar类增量学习</w:t>
      </w:r>
    </w:p>
    <w:p w14:paraId="51484D85">
      <w:pPr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sz w:val="24"/>
          <w:szCs w:val="24"/>
          <w:lang w:eastAsia="zh-CN"/>
        </w:rPr>
        <w:t>Liu等人提出的CSIL属于无exemplar、结构扩展型类增量方法[4]。其特点是冻结Phase1域泛化基座backbone，以通道扩展和mask限制新类更新，再用EWC与KD保护旧类响应。</w:t>
      </w:r>
    </w:p>
    <w:p w14:paraId="5DD2D323">
      <w:pPr>
        <w:pStyle w:val="19"/>
        <w:rPr>
          <w:sz w:val="24"/>
          <w:szCs w:val="24"/>
        </w:rPr>
      </w:pPr>
      <w:r>
        <w:rPr>
          <w:rFonts w:ascii="Times New Roman" w:hAnsi="Times New Roman" w:cs="Times New Roman" w:eastAsia="宋体"/>
          <w:b/>
          <w:bCs/>
          <w:sz w:val="24"/>
          <w:szCs w:val="24"/>
        </w:rPr>
        <w:t>CVS数据与更新：</w:t>
      </w:r>
      <w:r>
        <w:rPr>
          <w:rFonts w:ascii="Times New Roman" w:hAnsi="Times New Roman" w:cs="Times New Roman" w:eastAsia="宋体"/>
          <w:sz w:val="24"/>
          <w:szCs w:val="24"/>
        </w:rPr>
        <w:t xml:space="preserve"> 进入Phase2前，5879条source样本训练zero-bias Fingerprints基座，2521条互斥source样本估计Fisher。Phase2只用target-new support训练；Phase1域泛化基座冻结，fc只更新新增行和bias，fingerprint只允许old-old与new-new块更新，两个交叉块保持为0。</w:t>
      </w:r>
    </w:p>
    <w:p w14:paraId="7BFACE29">
      <w:pPr>
        <w:pStyle w:val="19"/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sz w:val="24"/>
          <w:szCs w:val="24"/>
          <w:lang w:eastAsia="zh-CN"/>
        </w:rPr>
        <w:t>记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B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new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为新类support训练batch，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π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|</m:t>
            </m:r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为全部注册类概率。新类交叉熵为：（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B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new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是当前新类support训练batch，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π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∣</m:t>
            </m:r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是当前模型对全部已注册类别的概率。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∗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是增量前冻结参数，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j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是当前第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j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个参数，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F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j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是该参数对旧任务的重要性。EWC是Elastic Weight Consolidation（弹性权重固化），通过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ℒ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EWC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限制重要参数漂移；KD是Knowledge Distillation（知识蒸馏），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r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old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∗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r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old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分别是旧模型与当前模型对旧类的fingerprint响应，系数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/</m:t>
        </m:r>
        <m:r>
          <m:rPr/>
          <w:rPr>
            <w:rFonts w:ascii="Cambria Math" w:hAnsi="Cambria Math"/>
            <w:sz w:val="24"/>
            <w:szCs w:val="24"/>
            <w:lang w:eastAsia="zh-CN"/>
          </w:rPr>
          <m:t>32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按32维响应取均值。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ℒ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CSIL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是新类CE、EWC和KD的加权和；SGDM是带动量的SGD；epoch是完整遍历训练集一次，batch size是一次参数更新读取的样本数）</w:t>
      </w:r>
    </w:p>
    <w:p w14:paraId="5FC4030A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CE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new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=−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new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log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π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θ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</m:oMath>
      </m:oMathPara>
    </w:p>
    <w:p w14:paraId="7DB5721E">
      <w:pPr>
        <w:rPr>
          <w:sz w:val="24"/>
          <w:szCs w:val="24"/>
        </w:rPr>
      </w:pPr>
      <w:r>
        <w:rPr>
          <w:rFonts w:ascii="Times New Roman" w:hAnsi="Times New Roman" w:cs="Times New Roman" w:eastAsia="宋体"/>
          <w:sz w:val="24"/>
          <w:szCs w:val="24"/>
        </w:rPr>
        <w:t>EWC使用Phase2前参数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∗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rFonts w:ascii="Times New Roman" w:hAnsi="Times New Roman" w:cs="Times New Roman" w:eastAsia="宋体"/>
          <w:sz w:val="24"/>
          <w:szCs w:val="24"/>
        </w:rPr>
        <w:t>和Fisher重要性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F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j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</w:rPr>
        <w:t>：</w:t>
      </w:r>
    </w:p>
    <w:p w14:paraId="34E7E0C9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EWC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r>
                <m:rPr/>
                <w:rPr>
                  <w:rFonts w:ascii="Cambria Math" w:hAnsi="Cambria Math"/>
                  <w:sz w:val="24"/>
                  <w:szCs w:val="24"/>
                </w:rPr>
                <m:t>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j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−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∗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bSup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p>
        </m:oMath>
      </m:oMathPara>
    </w:p>
    <w:p w14:paraId="3EA74A79">
      <w:pPr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sz w:val="24"/>
          <w:szCs w:val="24"/>
          <w:lang w:eastAsia="zh-CN"/>
        </w:rPr>
        <w:t>令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r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old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∗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r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old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为旧模型与当前模型的旧类fingerprint响应，官方KD为：</w:t>
      </w:r>
    </w:p>
    <w:p w14:paraId="32E0DA6D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KD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r>
                <m:rPr/>
                <w:rPr>
                  <w:rFonts w:ascii="Cambria Math" w:hAnsi="Cambria Math"/>
                  <w:sz w:val="24"/>
                  <w:szCs w:val="24"/>
                </w:rPr>
                <m:t>32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∥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r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old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∗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x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−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r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old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x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∥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</m:oMath>
      </m:oMathPara>
    </w:p>
    <w:p w14:paraId="77285299">
      <w:pPr>
        <w:rPr>
          <w:sz w:val="24"/>
          <w:szCs w:val="24"/>
        </w:rPr>
      </w:pPr>
      <w:r>
        <w:rPr>
          <w:rFonts w:ascii="Times New Roman" w:hAnsi="Times New Roman" w:cs="Times New Roman" w:eastAsia="宋体"/>
          <w:sz w:val="24"/>
          <w:szCs w:val="24"/>
        </w:rPr>
        <w:t>实际执行总损失为：</w:t>
      </w:r>
    </w:p>
    <w:p w14:paraId="60F5B0F7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CSIL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CE,new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EWC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r>
            <m:rPr/>
            <w:rPr>
              <w:rFonts w:ascii="Cambria Math" w:hAnsi="Cambria Math"/>
              <w:sz w:val="24"/>
              <w:szCs w:val="24"/>
            </w:rPr>
            <m:t>0.2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KD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</m:oMath>
      </m:oMathPara>
    </w:p>
    <w:p w14:paraId="4C92D776">
      <w:pPr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b/>
          <w:bCs/>
          <w:sz w:val="24"/>
          <w:szCs w:val="24"/>
        </w:rPr>
        <w:t>执行特点：</w:t>
      </w:r>
      <w:r>
        <w:rPr>
          <w:rFonts w:ascii="Times New Roman" w:hAnsi="Times New Roman" w:cs="Times New Roman" w:eastAsia="宋体"/>
          <w:sz w:val="24"/>
          <w:szCs w:val="24"/>
        </w:rPr>
        <w:t xml:space="preserve"> 3个epoch、batch size 20、drop_last=True，手工SGDM学习率为（其中u表示optimizer step）</w:t>
      </w:r>
      <m:oMath>
        <m:r>
          <m:rPr/>
          <w:rPr>
            <w:rFonts w:ascii="Cambria Math" w:hAnsi="Cambria Math"/>
            <w:sz w:val="24"/>
            <w:szCs w:val="24"/>
          </w:rPr>
          <m:t>0.01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/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+</m:t>
            </m:r>
            <m:r>
              <m:rPr/>
              <w:rPr>
                <w:rFonts w:ascii="Cambria Math" w:hAnsi="Cambria Math"/>
                <w:sz w:val="24"/>
                <w:szCs w:val="24"/>
              </w:rPr>
              <m:t>0.01u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rFonts w:ascii="Times New Roman" w:hAnsi="Times New Roman" w:cs="Times New Roman" w:eastAsia="宋体"/>
          <w:sz w:val="24"/>
          <w:szCs w:val="24"/>
        </w:rPr>
        <w:t>。</w:t>
      </w:r>
      <w:r>
        <w:rPr>
          <w:rFonts w:ascii="Times New Roman" w:hAnsi="Times New Roman" w:cs="Times New Roman" w:eastAsia="宋体"/>
          <w:sz w:val="24"/>
          <w:szCs w:val="24"/>
          <w:lang w:eastAsia="zh-CN"/>
        </w:rPr>
        <w:t>query用zero-bias全注册类argmax，训练步数为0。该方法旧类约束最强，但低K时可能没有完整batch，或者新类更新被旧类约束压制。</w:t>
      </w:r>
    </w:p>
    <w:bookmarkEnd w:id="8"/>
    <w:p w14:paraId="38609AA4">
      <w:pPr>
        <w:pStyle w:val="4"/>
        <w:rPr>
          <w:sz w:val="28"/>
          <w:szCs w:val="28"/>
        </w:rPr>
      </w:pPr>
      <w:bookmarkStart w:id="9" w:name="X71f2e484c158983947a2c66dcb2ce360d6afc56"/>
      <w:r>
        <w:rPr>
          <w:rFonts w:ascii="Times New Roman" w:hAnsi="Times New Roman" w:eastAsia="宋体" w:cs="Times New Roman"/>
          <w:sz w:val="28"/>
          <w:szCs w:val="28"/>
        </w:rPr>
        <w:t>4.3MoPC-HR：prototype校正与分层正则化</w:t>
      </w:r>
    </w:p>
    <w:p w14:paraId="6D195812">
      <w:pPr>
        <w:rPr>
          <w:sz w:val="24"/>
          <w:szCs w:val="24"/>
        </w:rPr>
      </w:pPr>
      <w:r>
        <w:rPr>
          <w:rFonts w:ascii="Times New Roman" w:hAnsi="Times New Roman" w:cs="Times New Roman" w:eastAsia="宋体"/>
          <w:sz w:val="24"/>
          <w:szCs w:val="24"/>
        </w:rPr>
        <w:t>Li等人提出的MoPC-HR属于无exemplar、prototype校正型类增量方法[5]。其特点是允许完整Phase1域泛化基座随新类support更新，同时用旧prototype伪特征和分层参数正则限制遗忘。</w:t>
      </w:r>
    </w:p>
    <w:p w14:paraId="0054AA39">
      <w:pPr>
        <w:pStyle w:val="19"/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b/>
          <w:bCs/>
          <w:sz w:val="24"/>
          <w:szCs w:val="24"/>
        </w:rPr>
        <w:t>CVS数据与更新：</w:t>
      </w:r>
      <w:r>
        <w:rPr>
          <w:rFonts w:ascii="Times New Roman" w:hAnsi="Times New Roman" w:cs="Times New Roman" w:eastAsia="宋体"/>
          <w:sz w:val="24"/>
          <w:szCs w:val="24"/>
        </w:rPr>
        <w:t xml:space="preserve"> 进入Phase2前用全部8400条source旧类样本训练基座并保存6个old prototype。Phase2真实样本只来自target-new support；每个step另采样16个old prototype并加入</w:t>
      </w:r>
      <m:oMath>
        <m:r>
          <m:rPr/>
          <w:rPr>
            <w:rFonts w:ascii="Cambria Math" w:hAnsi="Cambria Math"/>
            <w:sz w:val="24"/>
            <w:szCs w:val="24"/>
          </w:rPr>
          <m:t>ξ</m:t>
        </m:r>
        <m:r>
          <m:rPr>
            <m:sty m:val="p"/>
            <m:scr m:val="script"/>
          </m:rPr>
          <w:rPr>
            <w:rFonts w:ascii="Cambria Math" w:hAnsi="Cambria Math"/>
            <w:sz w:val="24"/>
            <w:szCs w:val="24"/>
          </w:rPr>
          <m:t>∼N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,</m:t>
            </m:r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0.05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rFonts w:ascii="Times New Roman" w:hAnsi="Times New Roman" w:cs="Times New Roman" w:eastAsia="宋体"/>
          <w:sz w:val="24"/>
          <w:szCs w:val="24"/>
        </w:rPr>
        <w:t>。Phase1域泛化基座backbone和Linear classifier均更新。（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μ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</w:rPr>
        <w:t>是被采样旧类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r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</w:rPr>
        <w:t>的prototype，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ξ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r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  <m:scr m:val="script"/>
          </m:rPr>
          <w:rPr>
            <w:rFonts w:ascii="Cambria Math" w:hAnsi="Cambria Math"/>
            <w:sz w:val="24"/>
            <w:szCs w:val="24"/>
          </w:rPr>
          <m:t>∼N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,</m:t>
            </m:r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0.05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rFonts w:ascii="Times New Roman" w:hAnsi="Times New Roman" w:cs="Times New Roman" w:eastAsia="宋体"/>
          <w:sz w:val="24"/>
          <w:szCs w:val="24"/>
        </w:rPr>
        <w:t>是零均值各向同性高斯扰动向量，</w:t>
      </w:r>
      <m:oMath>
        <m:r>
          <m:rPr/>
          <w:rPr>
            <w:rFonts w:ascii="Cambria Math" w:hAnsi="Cambria Math"/>
            <w:sz w:val="24"/>
            <w:szCs w:val="24"/>
          </w:rPr>
          <m:t>I</m:t>
        </m:r>
      </m:oMath>
      <w:r>
        <w:rPr>
          <w:rFonts w:ascii="Times New Roman" w:hAnsi="Times New Roman" w:cs="Times New Roman" w:eastAsia="宋体"/>
          <w:sz w:val="24"/>
          <w:szCs w:val="24"/>
        </w:rPr>
        <w:t>为单位矩阵，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z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</m:acc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r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</w:rPr>
        <w:t>是增强后的伪旧类特征。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B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是每次采样的旧prototype数，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g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是当前分类器，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Tₜₑₘₚ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是softmax温度；softmax把logit转换为类别概率。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j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是参数组索引，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J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是参数组总数，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a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j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是逐层正则权重，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j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∗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与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j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分别是旧/当前参数组。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P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old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P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new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是旧类与新类prototype矩阵，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P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new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∗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是更新前的新类prototype；0.97/0.03是保留旧prototype与吸收校正量的固定动量系数）</w:t>
      </w:r>
    </w:p>
    <w:p w14:paraId="4B12ED9A">
      <w:pPr>
        <w:pStyle w:val="19"/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sz w:val="24"/>
          <w:szCs w:val="24"/>
          <w:lang w:eastAsia="zh-CN"/>
        </w:rPr>
        <w:t>新类真实样本交叉熵为：</w:t>
      </w:r>
    </w:p>
    <w:p w14:paraId="3031FCD2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CE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new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=−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new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log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π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θ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</m:oMath>
      </m:oMathPara>
    </w:p>
    <w:p w14:paraId="08BCDE48">
      <w:pPr>
        <w:rPr>
          <w:sz w:val="24"/>
          <w:szCs w:val="24"/>
        </w:rPr>
      </w:pPr>
      <w:r>
        <w:rPr>
          <w:rFonts w:ascii="Times New Roman" w:hAnsi="Times New Roman" w:cs="Times New Roman" w:eastAsia="宋体"/>
          <w:sz w:val="24"/>
          <w:szCs w:val="24"/>
        </w:rPr>
        <w:t>令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z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</m:acc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r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μ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ξ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r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Times New Roman" w:hAnsi="Times New Roman" w:cs="Times New Roman" w:eastAsia="宋体"/>
          <w:sz w:val="24"/>
          <w:szCs w:val="24"/>
        </w:rPr>
        <w:t>为增强后的旧类prototype，温度</w:t>
      </w:r>
      <m:oMath>
        <m:r>
          <m:rPr/>
          <w:rPr>
            <w:rFonts w:ascii="Cambria Math" w:hAnsi="Cambria Math"/>
            <w:sz w:val="24"/>
            <w:szCs w:val="24"/>
          </w:rPr>
          <m:t>Tₜₑₘₚ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m:rPr/>
          <w:rPr>
            <w:rFonts w:ascii="Cambria Math" w:hAnsi="Cambria Math"/>
            <w:sz w:val="24"/>
            <w:szCs w:val="24"/>
          </w:rPr>
          <m:t>2</m:t>
        </m:r>
      </m:oMath>
      <w:r>
        <w:rPr>
          <w:rFonts w:ascii="Times New Roman" w:hAnsi="Times New Roman" w:cs="Times New Roman" w:eastAsia="宋体"/>
          <w:sz w:val="24"/>
          <w:szCs w:val="24"/>
        </w:rPr>
        <w:t>，prototype augmentation损失为：</w:t>
      </w:r>
    </w:p>
    <w:p w14:paraId="50A82967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protoAug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=−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log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r>
            <m:rPr/>
            <w:rPr>
              <w:rFonts w:ascii="Cambria Math" w:hAnsi="Cambria Math"/>
              <w:sz w:val="24"/>
              <w:szCs w:val="24"/>
            </w:rPr>
            <m:t>softmax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g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θ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z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Tₜₑₘₚ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</m:oMath>
      </m:oMathPara>
    </w:p>
    <w:p w14:paraId="5E492590">
      <w:pPr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sz w:val="24"/>
          <w:szCs w:val="24"/>
          <w:lang w:eastAsia="zh-CN"/>
        </w:rPr>
        <w:t>公开trainer对第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j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组参数使用递减系数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a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j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=</m:t>
        </m:r>
        <m:r>
          <m:rPr/>
          <w:rPr>
            <w:rFonts w:ascii="Cambria Math" w:hAnsi="Cambria Math"/>
            <w:sz w:val="24"/>
            <w:szCs w:val="24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−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j−</m:t>
            </m:r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1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/</m:t>
        </m:r>
        <m:r>
          <m:rPr/>
          <w:rPr>
            <w:rFonts w:ascii="Cambria Math" w:hAnsi="Cambria Math"/>
            <w:sz w:val="24"/>
            <w:szCs w:val="24"/>
            <w:lang w:eastAsia="zh-CN"/>
          </w:rPr>
          <m:t>J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，分层正则为：</w:t>
      </w:r>
    </w:p>
    <w:p w14:paraId="3732FAA7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HR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j=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J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∥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θ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j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−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θ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j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∗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∥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</m:oMath>
      </m:oMathPara>
    </w:p>
    <w:p w14:paraId="39C69D61">
      <w:pPr>
        <w:rPr>
          <w:sz w:val="24"/>
          <w:szCs w:val="24"/>
        </w:rPr>
      </w:pPr>
      <w:r>
        <w:rPr>
          <w:rFonts w:ascii="Times New Roman" w:hAnsi="Times New Roman" w:cs="Times New Roman" w:eastAsia="宋体"/>
          <w:sz w:val="24"/>
          <w:szCs w:val="24"/>
        </w:rPr>
        <w:t>实际执行总损失为：</w:t>
      </w:r>
    </w:p>
    <w:p w14:paraId="13905B5F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MoPC-HR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CE,new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protoAug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HR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</m:oMath>
      </m:oMathPara>
    </w:p>
    <w:p w14:paraId="240E09C7">
      <w:pPr>
        <w:rPr>
          <w:sz w:val="24"/>
          <w:szCs w:val="24"/>
        </w:rPr>
      </w:pPr>
      <w:r>
        <w:rPr>
          <w:rFonts w:ascii="Times New Roman" w:hAnsi="Times New Roman" w:cs="Times New Roman" w:eastAsia="宋体"/>
          <w:sz w:val="24"/>
          <w:szCs w:val="24"/>
          <w:lang w:eastAsia="zh-CN"/>
        </w:rPr>
        <w:t>公开代码还计算KD用于日志，但KD不进入总loss。</w:t>
      </w:r>
      <w:r>
        <w:rPr>
          <w:rFonts w:ascii="Times New Roman" w:hAnsi="Times New Roman" w:cs="Times New Roman" w:eastAsia="宋体"/>
          <w:sz w:val="24"/>
          <w:szCs w:val="24"/>
        </w:rPr>
        <w:t>训练后prototype校正为：</w:t>
      </w:r>
    </w:p>
    <w:p w14:paraId="4999EEF5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acc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old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/>
            <w:rPr>
              <w:rFonts w:ascii="Cambria Math" w:hAnsi="Cambria Math"/>
              <w:sz w:val="24"/>
              <w:szCs w:val="24"/>
            </w:rPr>
            <m:t>0.97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P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old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r>
            <m:rPr/>
            <w:rPr>
              <w:rFonts w:ascii="Cambria Math" w:hAnsi="Cambria Math"/>
              <w:sz w:val="24"/>
              <w:szCs w:val="24"/>
            </w:rPr>
            <m:t>0.03softmax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P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new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∗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p>
                      </m:sSubSup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⊤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−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∗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</m:oMath>
      </m:oMathPara>
    </w:p>
    <w:p w14:paraId="31711AC6">
      <w:pPr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b/>
          <w:bCs/>
          <w:sz w:val="24"/>
          <w:szCs w:val="24"/>
        </w:rPr>
        <w:t>执行特点：</w:t>
      </w:r>
      <w:r>
        <w:rPr>
          <w:rFonts w:ascii="Times New Roman" w:hAnsi="Times New Roman" w:cs="Times New Roman" w:eastAsia="宋体"/>
          <w:sz w:val="24"/>
          <w:szCs w:val="24"/>
        </w:rPr>
        <w:t xml:space="preserve"> 20个epoch、batch size 16、SGD学习率0.01。正式CVS query仍使用当前模型的全注册类classifier logits，而不是校正prototype。</w:t>
      </w:r>
      <w:r>
        <w:rPr>
          <w:rFonts w:ascii="Times New Roman" w:hAnsi="Times New Roman" w:cs="Times New Roman" w:eastAsia="宋体"/>
          <w:sz w:val="24"/>
          <w:szCs w:val="24"/>
          <w:lang w:eastAsia="zh-CN"/>
        </w:rPr>
        <w:t>该方法新类可塑性强于CSIL，但完整backbone更新会放大旧类遗忘。</w:t>
      </w:r>
    </w:p>
    <w:bookmarkEnd w:id="9"/>
    <w:p w14:paraId="5B1CFBBD">
      <w:pPr>
        <w:pStyle w:val="4"/>
        <w:rPr>
          <w:sz w:val="28"/>
          <w:szCs w:val="28"/>
        </w:rPr>
      </w:pPr>
      <w:bookmarkStart w:id="10" w:name="X5001bd00c1e45a019c9ebc60a72c3cd7b05aeed"/>
      <w:r>
        <w:rPr>
          <w:rFonts w:ascii="Times New Roman" w:hAnsi="Times New Roman" w:eastAsia="宋体" w:cs="Times New Roman"/>
          <w:sz w:val="28"/>
          <w:szCs w:val="28"/>
        </w:rPr>
        <w:t>4.4CSIL与MoPC-HR机制对比</w:t>
      </w:r>
    </w:p>
    <w:tbl>
      <w:tblPr>
        <w:tblW w:w="0" w:type="auto"/>
        <w:tblInd w:w="0" w:type="dxa"/>
        <w:tblLayout w:type="autofit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746"/>
        <w:gridCol w:w="3598"/>
        <w:gridCol w:w="4196"/>
      </w:tblGrid>
      <w:tr w14:paraId="5D1787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01F26B63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bCs/>
                <w:sz w:val="20"/>
                <w:szCs w:val="20"/>
                <w:color w:val="1F4E79"/>
              </w:rPr>
              <w:t>比较维度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4C0E73C1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bCs/>
                <w:sz w:val="20"/>
                <w:szCs w:val="20"/>
                <w:color w:val="1F4E79"/>
              </w:rPr>
              <w:t>CSIL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617B9532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bCs/>
                <w:sz w:val="20"/>
                <w:szCs w:val="20"/>
                <w:color w:val="1F4E79"/>
              </w:rPr>
              <w:t>MoPC-HR</w:t>
            </w:r>
          </w:p>
        </w:tc>
      </w:tr>
      <w:tr w14:paraId="28EBA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6AA654B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主要方法类别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0A0D0F1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结构扩展与通道隔离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20946B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prototype校正与分层正则</w:t>
            </w:r>
          </w:p>
        </w:tc>
      </w:tr>
      <w:tr w14:paraId="5C7B57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73BAD95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历史原始样本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6230C66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不保存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0437671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不保存</w:t>
            </w:r>
          </w:p>
        </w:tc>
      </w:tr>
      <w:tr w14:paraId="3925A2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02E8957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  <w:lang w:eastAsia="zh-CN"/>
              </w:rPr>
              <w:t>Phase2真实训练样本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2FB98C9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target-new support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7C53E28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target-new support＋旧prototype伪特征</w:t>
            </w:r>
          </w:p>
        </w:tc>
      </w:tr>
      <w:tr w14:paraId="78C1F5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73C558F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保留的历史状态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74F373B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旧模型、fingerprint结构、Fisher重要参数统计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3AAC22DB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  <w:lang w:eastAsia="zh-CN"/>
              </w:rPr>
              <w:t>旧类prototype、旧模型参数</w:t>
            </w:r>
          </w:p>
        </w:tc>
      </w:tr>
      <w:tr w14:paraId="16013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43F4872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Phase1基座更新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16F1674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冻结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46145B5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不冻结</w:t>
            </w:r>
          </w:p>
        </w:tc>
      </w:tr>
      <w:tr w14:paraId="184F6C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482F14A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实际损失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5138FD3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CE-new＋EWC＋0.2KD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12566AE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CE-new＋protoAug＋逐参数非平方L2 HR；KD仅记录</w:t>
            </w:r>
          </w:p>
        </w:tc>
      </w:tr>
      <w:tr w14:paraId="35ECF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A0B8C8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旧类保护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681B69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mask、冻结、KD、EWC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7EBD0EC8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  <w:lang w:eastAsia="zh-CN"/>
              </w:rPr>
              <w:t>prototype增强、HR、旧参数参考</w:t>
            </w:r>
          </w:p>
        </w:tc>
      </w:tr>
      <w:tr w14:paraId="6DDF7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5EE4C7C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最终query规则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09D0496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zero-bias全注册类argmax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169BB0E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当前模型全注册类classifier logits argmax</w:t>
            </w:r>
          </w:p>
        </w:tc>
      </w:tr>
      <w:tr w14:paraId="63FE8E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110190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主要风险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519DCED4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  <w:lang w:eastAsia="zh-CN"/>
              </w:rPr>
              <w:t>过度保护旧类，新类不注册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2E148351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  <w:lang w:eastAsia="zh-CN"/>
              </w:rPr>
              <w:t>新类学得快，但旧类遗忘</w:t>
            </w:r>
          </w:p>
        </w:tc>
      </w:tr>
      <w:tr w14:paraId="290F68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37A4D0B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部署特征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48E8130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结构复杂、容量增长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0A2E30B6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  <w:lang w:eastAsia="zh-CN"/>
              </w:rPr>
              <w:t>状态较紧凑，但仍需多轮训练</w:t>
            </w:r>
          </w:p>
        </w:tc>
      </w:tr>
      <w:bookmarkEnd w:id="10"/>
    </w:tbl>
    <w:p w14:paraId="4F303F71">
      <w:pPr>
        <w:pStyle w:val="4"/>
        <w:rPr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  <w:lang w:eastAsia="zh-CN"/>
        </w:rPr>
        <w:t>4.5正式LEO信道逐配置结果</w:t>
      </w:r>
    </w:p>
    <w:p w14:paraId="08FEB689">
      <w:pPr>
        <w:pStyle w:val="5"/>
        <w:rPr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t>4.5.1按K-shot与新类规模拆分的正式结果</w:t>
      </w:r>
    </w:p>
    <w:p w14:paraId="2EAD4923">
      <w:pPr>
        <w:pStyle w:val="19"/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sz w:val="24"/>
          <w:szCs w:val="24"/>
          <w:lang w:eastAsia="zh-CN"/>
        </w:rPr>
        <w:t>按K-shot与新类数拆分，并在每个配置内按方法展开。旧类与新类query只用于冻结后评价；</w:t>
      </w:r>
    </w:p>
    <w:p w14:paraId="48DB935D">
      <w:pPr>
        <w:pStyle w:val="19"/>
        <w:keepNext/>
        <w:keepLines/>
        <w:spacing w:after="60"/>
        <w:rPr>
          <w:sz w:val="24"/>
          <w:szCs w:val="24"/>
          <w:lang w:eastAsia="zh-CN"/>
        </w:rPr>
      </w:pPr>
      <w:bookmarkStart w:id="11" w:name="PHASE2_METRIC_DEFINITIONS_V1_1"/>
      <w:r>
        <w:rPr>
          <w:rFonts w:ascii="Times New Roman" w:hAnsi="Times New Roman" w:cs="Times New Roman" w:eastAsia="宋体"/>
          <w:b/>
          <w:bCs/>
          <w:color w:val="1F4E79"/>
          <w:sz w:val="24"/>
          <w:szCs w:val="24"/>
          <w:lang w:eastAsia="zh-CN"/>
        </w:rPr>
        <w:t>表中指标定义与判读</w:t>
      </w:r>
      <w:bookmarkEnd w:id="11"/>
    </w:p>
    <w:p w14:paraId="2AB133D9">
      <w:pPr>
        <w:pStyle w:val="19"/>
        <w:keepLines/>
        <w:spacing w:after="60"/>
        <w:rPr>
          <w:sz w:val="24"/>
          <w:szCs w:val="24"/>
          <w:lang w:eastAsia="zh-CN"/>
        </w:rPr>
      </w:pPr>
      <w:bookmarkStart w:id="12" w:name="PHASE2_METRIC_DEFINITIONS_V1_2"/>
      <w:r>
        <w:rPr>
          <w:rFonts w:ascii="Times New Roman" w:hAnsi="Times New Roman" w:cs="Times New Roman" w:eastAsia="宋体"/>
          <w:sz w:val="24"/>
          <w:szCs w:val="24"/>
          <w:lang w:eastAsia="zh-CN"/>
        </w:rPr>
        <w:t>配置标题中的</w:t>
      </w:r>
      <m:oMath>
        <m:r>
          <m:rPr/>
          <w:rPr>
            <w:rFonts w:ascii="Cambria Math" w:hAnsi="Cambria Math"/>
            <w:lang w:eastAsia="zh-CN"/>
          </w:rPr>
          <m:t>K</m:t>
        </m:r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表示每个新类可用的独立support样本数，“新类数”表示本次同时注册的新发射机类别数量。以下准确率和调和均值均在冻结模型的query上计算，query不参与训练或参数更新；准确率与调和均值按百分比（%）报告，遗忘量按百分点（percentage point, pp）判读。</w:t>
      </w:r>
      <w:bookmarkEnd w:id="12"/>
    </w:p>
    <w:p w14:paraId="6B1ED63C">
      <w:pPr>
        <w:pStyle w:val="19"/>
        <w:keepLines/>
        <w:spacing w:after="60"/>
        <w:rPr>
          <w:sz w:val="24"/>
          <w:szCs w:val="24"/>
          <w:lang w:eastAsia="zh-CN"/>
        </w:rPr>
      </w:pPr>
      <m:oMath>
        <m:sSubSup>
          <w:bookmarkStart w:id="13" w:name="PHASE2_METRIC_DEFINITIONS_V1_3"/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old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  <w:lang w:eastAsia="zh-CN"/>
              </w:rPr>
              <m:t>DA0_REG1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lang w:eastAsia="zh-CN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old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  <w:lang w:eastAsia="zh-CN"/>
                  </w:rPr>
                  <m:t>correct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lang w:eastAsia="zh-CN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old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  <w:lang w:eastAsia="zh-CN"/>
                  </w:rPr>
                  <m:t>query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（注册后旧类准确率）：分子为正确识别的旧类query样本数，分母为旧类query总数。上标表示未执行目标域适应、但已完成新类注册。该指标衡量注册新类后模型保留原有发射机身份的能力，数值越大越好。</w:t>
      </w:r>
      <w:bookmarkEnd w:id="13"/>
    </w:p>
    <w:p w14:paraId="190DA3CD">
      <w:pPr>
        <w:pStyle w:val="19"/>
        <w:keepLines/>
        <w:spacing w:after="60"/>
        <w:rPr>
          <w:sz w:val="24"/>
          <w:szCs w:val="24"/>
          <w:lang w:eastAsia="zh-CN"/>
        </w:rPr>
      </w:pPr>
      <w:bookmarkStart w:id="14" w:name="PHASE2_METRIC_DEFINITIONS_V1_4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new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lang w:eastAsia="zh-CN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new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  <w:lang w:eastAsia="zh-CN"/>
                  </w:rPr>
                  <m:t>correct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lang w:eastAsia="zh-CN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new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  <w:lang w:eastAsia="zh-CN"/>
                  </w:rPr>
                  <m:t>query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（已注册新类准确率）：分子为正确识别的新类query样本数，分母为新类query总数。本节表格省略状态上标，但统计状态同样为未执行目标域适应且已完成新类注册。该指标衡量少量support是否建立了可用的新发射机身份边界，数值越大越好；取0表示没有任何新类query被正确识别。</w:t>
      </w:r>
      <w:bookmarkEnd w:id="14"/>
    </w:p>
    <w:p w14:paraId="3B51A772">
      <w:pPr>
        <w:pStyle w:val="19"/>
        <w:keepLines/>
        <w:spacing w:after="60"/>
        <w:rPr>
          <w:sz w:val="24"/>
          <w:szCs w:val="24"/>
          <w:lang w:eastAsia="zh-CN"/>
        </w:rPr>
      </w:pPr>
      <m:oMath>
        <m:sSub>
          <w:bookmarkStart w:id="15" w:name="PHASE2_METRIC_DEFINITIONS_V1_5"/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H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old,new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  <w:lang w:eastAsia="zh-CN"/>
              </w:rPr>
              <m:t>2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lang w:eastAsia="zh-CN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old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  <w:lang w:eastAsia="zh-CN"/>
                  </w:rPr>
                  <m:t>DA0_REG1</m:t>
                </m:r>
                <m:ctrlPr>
                  <w:rPr>
                    <w:rFonts w:ascii="Cambria Math" w:hAnsi="Cambria Math"/>
                  </w:rPr>
                </m:ctrlPr>
              </m:sup>
            </m:sSub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eastAsia="zh-CN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new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lang w:eastAsia="zh-CN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old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  <w:lang w:eastAsia="zh-CN"/>
                  </w:rPr>
                  <m:t>DA0_REG1</m:t>
                </m:r>
                <m:ctrlPr>
                  <w:rPr>
                    <w:rFonts w:ascii="Cambria Math" w:hAnsi="Cambria Math"/>
                  </w:rPr>
                </m:ctrlPr>
              </m:sup>
            </m:sSubSup>
            <m:r>
              <m:rPr/>
              <w:rPr>
                <w:rFonts w:ascii="Cambria Math" w:hAnsi="Cambria Math"/>
                <w:lang w:eastAsia="zh-CN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eastAsia="zh-CN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new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（旧新类调和均值）：同时衡量旧类保留与新类注册，分母为两项准确率之和；当分母为0时，该指标按0计。任一侧准确率为0都会使调和均值为0，因此它比算术平均更能暴露“只保旧类”或“只学新类”的单侧失效，数值越大越好。</w:t>
      </w:r>
      <w:bookmarkEnd w:id="15"/>
    </w:p>
    <w:p w14:paraId="46918E31">
      <w:pPr>
        <w:pStyle w:val="19"/>
        <w:keepLines/>
        <w:spacing w:after="60"/>
        <w:rPr>
          <w:sz w:val="24"/>
          <w:szCs w:val="24"/>
          <w:lang w:eastAsia="zh-CN"/>
        </w:rPr>
      </w:pPr>
      <w:bookmarkStart w:id="16" w:name="PHASE2_METRIC_DEFINITIONS_V1_6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old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  <w:lang w:eastAsia="zh-CN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old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  <w:lang w:eastAsia="zh-CN"/>
              </w:rPr>
              <m:t>DA0_REG0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/>
            <w:lang w:eastAsia="zh-CN"/>
          </w:rPr>
          <m:t>−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old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  <w:lang w:eastAsia="zh-CN"/>
              </w:rPr>
              <m:t>DA0_REG1</m:t>
            </m:r>
            <m:ctrlPr>
              <w:rPr>
                <w:rFonts w:ascii="Cambria Math" w:hAnsi="Cambria Math"/>
              </w:rPr>
            </m:ctrlPr>
          </m:sup>
        </m:sSubSup>
      </m:oMath>
      <w:r>
        <w:rPr>
          <w:rFonts w:ascii="Times New Roman" w:hAnsi="Times New Roman" w:cs="Times New Roman" w:eastAsia="宋体"/>
          <w:sz w:val="24"/>
          <w:szCs w:val="24"/>
          <w:lang w:eastAsia="zh-CN"/>
        </w:rPr>
        <w:t>（旧类遗忘量）：用新类注册前的旧类准确率减去注册后的旧类准确率。前一状态表示未执行域适应且尚未注册新类，后一状态表示未执行域适应但已经完成新类注册。表中由两个百分比数值直接相减，单位按百分点（pp）理解；正值表示旧类性能下降，0表示没有下降，负值表示注册后旧类性能反而提高，数值越小越好。</w:t>
      </w:r>
      <w:bookmarkEnd w:id="16"/>
    </w:p>
    <w:p w14:paraId="5908B61B">
      <w:pPr>
        <w:keepNext/>
        <w:keepLines/>
        <w:spacing w:before="140" w:after="60"/>
        <w:rPr>
          <w:sz w:val="24"/>
          <w:szCs w:val="24"/>
        </w:rPr>
      </w:pPr>
      <w:r>
        <w:rPr>
          <w:rFonts w:ascii="Times New Roman" w:hAnsi="Times New Roman" w:cs="Times New Roman" w:eastAsia="宋体"/>
          <w:b/>
          <w:color w:val="1F4E79"/>
          <w:szCs w:val="24"/>
          <w:sz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K=5</m:t>
        </m:r>
      </m:oMath>
      <w:r>
        <w:rPr>
          <w:rFonts w:ascii="Times New Roman" w:hAnsi="Times New Roman" w:cs="Times New Roman" w:eastAsia="宋体"/>
          <w:b/>
          <w:color w:val="1F4E79"/>
          <w:szCs w:val="24"/>
          <w:sz w:val="24"/>
        </w:rPr>
        <w:t>，新类数=1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17"/>
        <w:gridCol w:w="1964"/>
        <w:gridCol w:w="1964"/>
        <w:gridCol w:w="1964"/>
        <w:gridCol w:w="1851"/>
      </w:tblGrid>
      <w:tr w14:paraId="6720231E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E3F0E83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方法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141C963A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27BBF25C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704D6B3E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5180FB9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028C9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6F019DA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CSIL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41CA5DF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83.70%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A144881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0.00%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72E7DAB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0.00%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D97C5D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0.00%</w:t>
            </w:r>
          </w:p>
        </w:tc>
      </w:tr>
      <w:tr w14:paraId="0D222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730768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940FB8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87.47%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5CFE67F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0.00%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26E8887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0.00%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1C7129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0.00%</w:t>
            </w:r>
          </w:p>
        </w:tc>
      </w:tr>
    </w:tbl>
    <w:p w14:paraId="714F280F">
      <w:pPr>
        <w:keepNext/>
        <w:keepLines/>
        <w:spacing w:before="140" w:after="60"/>
        <w:rPr>
          <w:sz w:val="24"/>
          <w:szCs w:val="24"/>
        </w:rPr>
      </w:pPr>
      <w:r>
        <w:rPr>
          <w:rFonts w:ascii="Times New Roman" w:hAnsi="Times New Roman" w:cs="Times New Roman" w:eastAsia="宋体"/>
          <w:b/>
          <w:color w:val="1F4E79"/>
          <w:szCs w:val="24"/>
          <w:sz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K=5</m:t>
        </m:r>
      </m:oMath>
      <w:r>
        <w:rPr>
          <w:rFonts w:ascii="Times New Roman" w:hAnsi="Times New Roman" w:cs="Times New Roman" w:eastAsia="宋体"/>
          <w:b/>
          <w:color w:val="1F4E79"/>
          <w:szCs w:val="24"/>
          <w:sz w:val="24"/>
        </w:rPr>
        <w:t>，新类数=3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17"/>
        <w:gridCol w:w="1964"/>
        <w:gridCol w:w="1964"/>
        <w:gridCol w:w="1964"/>
        <w:gridCol w:w="1851"/>
      </w:tblGrid>
      <w:tr w14:paraId="62C71146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4C0BE24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方法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714B13C3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84211E1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9B4D043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8A666EB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6C9B5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9EE8459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CSIL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E57FC9C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83.70%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082C1F1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0.00%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3570927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0.00%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D06E566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0.00%</w:t>
            </w:r>
          </w:p>
        </w:tc>
      </w:tr>
      <w:tr w14:paraId="1A9A0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E83C32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FE1FF2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87.47%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5C05D15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0.02%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63D829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0.04%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0C9038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0.00%</w:t>
            </w:r>
          </w:p>
        </w:tc>
      </w:tr>
    </w:tbl>
    <w:p w14:paraId="210D6002">
      <w:pPr>
        <w:keepNext/>
        <w:keepLines/>
        <w:spacing w:before="140" w:after="60"/>
        <w:rPr>
          <w:sz w:val="24"/>
          <w:szCs w:val="24"/>
        </w:rPr>
      </w:pPr>
      <w:r>
        <w:rPr>
          <w:rFonts w:ascii="Times New Roman" w:hAnsi="Times New Roman" w:cs="Times New Roman" w:eastAsia="宋体"/>
          <w:b/>
          <w:color w:val="1F4E79"/>
          <w:szCs w:val="24"/>
          <w:sz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K=5</m:t>
        </m:r>
      </m:oMath>
      <w:r>
        <w:rPr>
          <w:rFonts w:ascii="Times New Roman" w:hAnsi="Times New Roman" w:cs="Times New Roman" w:eastAsia="宋体"/>
          <w:b/>
          <w:color w:val="1F4E79"/>
          <w:szCs w:val="24"/>
          <w:sz w:val="24"/>
        </w:rPr>
        <w:t>，新类数=5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17"/>
        <w:gridCol w:w="1964"/>
        <w:gridCol w:w="1964"/>
        <w:gridCol w:w="1964"/>
        <w:gridCol w:w="1851"/>
      </w:tblGrid>
      <w:tr w14:paraId="79B345DE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1928ED3E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方法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5222260F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31AF2AE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BDCBFE6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1EBAA75C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023AC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D8C407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89322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77.44%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FADC40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25.65%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845A2B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37.97%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28061F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10.02%</w:t>
            </w:r>
          </w:p>
        </w:tc>
      </w:tr>
    </w:tbl>
    <w:p w14:paraId="246ACF7B">
      <w:pPr>
        <w:keepNext/>
        <w:keepLines/>
        <w:spacing w:before="140" w:after="60"/>
        <w:rPr>
          <w:sz w:val="24"/>
          <w:szCs w:val="24"/>
        </w:rPr>
      </w:pPr>
      <w:r>
        <w:rPr>
          <w:rFonts w:ascii="Times New Roman" w:hAnsi="Times New Roman" w:cs="Times New Roman" w:eastAsia="宋体"/>
          <w:b/>
          <w:color w:val="1F4E79"/>
          <w:szCs w:val="24"/>
          <w:sz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K=5</m:t>
        </m:r>
      </m:oMath>
      <w:r>
        <w:rPr>
          <w:rFonts w:ascii="Times New Roman" w:hAnsi="Times New Roman" w:cs="Times New Roman" w:eastAsia="宋体"/>
          <w:b/>
          <w:color w:val="1F4E79"/>
          <w:szCs w:val="24"/>
          <w:sz w:val="24"/>
        </w:rPr>
        <w:t>，新类数=10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17"/>
        <w:gridCol w:w="1964"/>
        <w:gridCol w:w="1964"/>
        <w:gridCol w:w="1964"/>
        <w:gridCol w:w="1851"/>
      </w:tblGrid>
      <w:tr w14:paraId="35714F11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0A65ED4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方法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7990BDE2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0D18342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0A55411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2196E8E5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6D9D7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6F309A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4C63AA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63.80%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3C459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22.08%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EA79F1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32.30%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F8FE05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23.67%</w:t>
            </w:r>
          </w:p>
        </w:tc>
      </w:tr>
    </w:tbl>
    <w:p w14:paraId="4D59D9F9">
      <w:pPr>
        <w:keepNext/>
        <w:keepLines/>
        <w:spacing w:before="140" w:after="60"/>
        <w:rPr>
          <w:sz w:val="24"/>
          <w:szCs w:val="24"/>
        </w:rPr>
      </w:pPr>
      <w:r>
        <w:rPr>
          <w:rFonts w:ascii="Times New Roman" w:hAnsi="Times New Roman" w:cs="Times New Roman" w:eastAsia="宋体"/>
          <w:b/>
          <w:color w:val="1F4E79"/>
          <w:szCs w:val="24"/>
          <w:sz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K=5</m:t>
        </m:r>
      </m:oMath>
      <w:r>
        <w:rPr>
          <w:rFonts w:ascii="Times New Roman" w:hAnsi="Times New Roman" w:cs="Times New Roman" w:eastAsia="宋体"/>
          <w:b/>
          <w:color w:val="1F4E79"/>
          <w:szCs w:val="24"/>
          <w:sz w:val="24"/>
        </w:rPr>
        <w:t>，新类数=20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17"/>
        <w:gridCol w:w="1964"/>
        <w:gridCol w:w="1964"/>
        <w:gridCol w:w="1964"/>
        <w:gridCol w:w="1851"/>
      </w:tblGrid>
      <w:tr w14:paraId="6F04D89B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B0BFD80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方法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608DB62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7CD52E2B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19591339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9431EE4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58E7D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7F6B2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CSIL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E3C5C9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0.78%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CB7C7F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5.17%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17E5B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0.54%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7801D1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82.92%</w:t>
            </w:r>
          </w:p>
        </w:tc>
      </w:tr>
    </w:tbl>
    <w:p w14:paraId="50E6AADF">
      <w:pPr>
        <w:keepNext/>
        <w:keepLines/>
        <w:spacing w:before="140" w:after="60"/>
        <w:rPr>
          <w:sz w:val="24"/>
          <w:szCs w:val="24"/>
        </w:rPr>
      </w:pPr>
      <w:r>
        <w:rPr>
          <w:rFonts w:ascii="Times New Roman" w:hAnsi="Times New Roman" w:cs="Times New Roman" w:eastAsia="宋体"/>
          <w:b/>
          <w:color w:val="1F4E79"/>
          <w:szCs w:val="24"/>
          <w:sz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K=5</m:t>
        </m:r>
      </m:oMath>
      <w:r>
        <w:rPr>
          <w:rFonts w:ascii="Times New Roman" w:hAnsi="Times New Roman" w:cs="Times New Roman" w:eastAsia="宋体"/>
          <w:b/>
          <w:color w:val="1F4E79"/>
          <w:szCs w:val="24"/>
          <w:sz w:val="24"/>
        </w:rPr>
        <w:t>，新类数=25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17"/>
        <w:gridCol w:w="1964"/>
        <w:gridCol w:w="1964"/>
        <w:gridCol w:w="1964"/>
        <w:gridCol w:w="1851"/>
      </w:tblGrid>
      <w:tr w14:paraId="6C41198D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C360CD8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方法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097A086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53F5F74A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1E1CBE15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FB4F5A8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63CFD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87E292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AFDFC5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58.73%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CC54A8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14.82%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7C9D39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23.43%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4C850C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28.73%</w:t>
            </w:r>
          </w:p>
        </w:tc>
      </w:tr>
    </w:tbl>
    <w:p w14:paraId="3673935D">
      <w:pPr>
        <w:keepNext/>
        <w:keepLines/>
        <w:spacing w:before="140" w:after="60"/>
        <w:rPr>
          <w:sz w:val="24"/>
          <w:szCs w:val="24"/>
        </w:rPr>
      </w:pPr>
      <w:r>
        <w:rPr>
          <w:rFonts w:ascii="Times New Roman" w:hAnsi="Times New Roman" w:cs="Times New Roman" w:eastAsia="宋体"/>
          <w:b/>
          <w:color w:val="1F4E79"/>
          <w:szCs w:val="24"/>
          <w:sz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K=10</m:t>
        </m:r>
      </m:oMath>
      <w:r>
        <w:rPr>
          <w:rFonts w:ascii="Times New Roman" w:hAnsi="Times New Roman" w:cs="Times New Roman" w:eastAsia="宋体"/>
          <w:b/>
          <w:color w:val="1F4E79"/>
          <w:szCs w:val="24"/>
          <w:sz w:val="24"/>
        </w:rPr>
        <w:t>，新类数=1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17"/>
        <w:gridCol w:w="1964"/>
        <w:gridCol w:w="1964"/>
        <w:gridCol w:w="1964"/>
        <w:gridCol w:w="1851"/>
      </w:tblGrid>
      <w:tr w14:paraId="3C722196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AE93845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方法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0206E9B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7400B58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1F002369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35B30F5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7D811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17F57A1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CSIL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D5170B1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83.70%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85CE86F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0.00%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F4D96CB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0.00%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E9ECF3D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0.00%</w:t>
            </w:r>
          </w:p>
        </w:tc>
      </w:tr>
      <w:tr w14:paraId="6CF62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5D957D7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AFA93E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87.47%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A08A05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0.00%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7FC15E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0.00%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CE01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0.00%</w:t>
            </w:r>
          </w:p>
        </w:tc>
      </w:tr>
    </w:tbl>
    <w:p w14:paraId="3B156EC8">
      <w:pPr>
        <w:keepNext/>
        <w:keepLines/>
        <w:spacing w:before="140" w:after="60"/>
        <w:rPr>
          <w:sz w:val="24"/>
          <w:szCs w:val="24"/>
        </w:rPr>
      </w:pPr>
      <w:r>
        <w:rPr>
          <w:rFonts w:ascii="Times New Roman" w:hAnsi="Times New Roman" w:cs="Times New Roman" w:eastAsia="宋体"/>
          <w:b/>
          <w:color w:val="1F4E79"/>
          <w:szCs w:val="24"/>
          <w:sz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K=10</m:t>
        </m:r>
      </m:oMath>
      <w:r>
        <w:rPr>
          <w:rFonts w:ascii="Times New Roman" w:hAnsi="Times New Roman" w:cs="Times New Roman" w:eastAsia="宋体"/>
          <w:b/>
          <w:color w:val="1F4E79"/>
          <w:szCs w:val="24"/>
          <w:sz w:val="24"/>
        </w:rPr>
        <w:t>，新类数=3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17"/>
        <w:gridCol w:w="1964"/>
        <w:gridCol w:w="1964"/>
        <w:gridCol w:w="1964"/>
        <w:gridCol w:w="1851"/>
      </w:tblGrid>
      <w:tr w14:paraId="0C4F336E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047D17D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方法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1E3C724B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FF95E79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CA9F669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F5F0BA9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26760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574BF0D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CSIL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AD2497C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83.70%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05A0C3C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0.00%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994531B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0.00%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A450FA5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0.00%</w:t>
            </w:r>
          </w:p>
        </w:tc>
      </w:tr>
      <w:tr w14:paraId="33F47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93C94D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426B2F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66.78%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BAC12F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50.40%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36106F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56.78%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2C542AA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20.69%</w:t>
            </w:r>
          </w:p>
        </w:tc>
      </w:tr>
    </w:tbl>
    <w:p w14:paraId="445DB0BC">
      <w:pPr>
        <w:keepNext/>
        <w:keepLines/>
        <w:spacing w:before="140" w:after="60"/>
        <w:rPr>
          <w:sz w:val="24"/>
          <w:szCs w:val="24"/>
        </w:rPr>
      </w:pPr>
      <w:r>
        <w:rPr>
          <w:rFonts w:ascii="Times New Roman" w:hAnsi="Times New Roman" w:cs="Times New Roman" w:eastAsia="宋体"/>
          <w:b/>
          <w:color w:val="1F4E79"/>
          <w:szCs w:val="24"/>
          <w:sz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K=10</m:t>
        </m:r>
      </m:oMath>
      <w:r>
        <w:rPr>
          <w:rFonts w:ascii="Times New Roman" w:hAnsi="Times New Roman" w:cs="Times New Roman" w:eastAsia="宋体"/>
          <w:b/>
          <w:color w:val="1F4E79"/>
          <w:szCs w:val="24"/>
          <w:sz w:val="24"/>
        </w:rPr>
        <w:t>，新类数=5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17"/>
        <w:gridCol w:w="1964"/>
        <w:gridCol w:w="1964"/>
        <w:gridCol w:w="1964"/>
        <w:gridCol w:w="1851"/>
      </w:tblGrid>
      <w:tr w14:paraId="13AD7E2A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595204BF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方法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A8CF52B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CA64E08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230C79D3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0AA633A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6FC27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1CDDFC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20EE34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47.38%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032230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50.52%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E76237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48.05%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53BBCB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40.09%</w:t>
            </w:r>
          </w:p>
        </w:tc>
      </w:tr>
    </w:tbl>
    <w:p w14:paraId="1337249E">
      <w:pPr>
        <w:keepNext/>
        <w:keepLines/>
        <w:spacing w:before="140" w:after="60"/>
        <w:rPr>
          <w:sz w:val="24"/>
          <w:szCs w:val="24"/>
        </w:rPr>
      </w:pPr>
      <w:r>
        <w:rPr>
          <w:rFonts w:ascii="Times New Roman" w:hAnsi="Times New Roman" w:cs="Times New Roman" w:eastAsia="宋体"/>
          <w:b/>
          <w:color w:val="1F4E79"/>
          <w:szCs w:val="24"/>
          <w:sz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K=10</m:t>
        </m:r>
      </m:oMath>
      <w:r>
        <w:rPr>
          <w:rFonts w:ascii="Times New Roman" w:hAnsi="Times New Roman" w:cs="Times New Roman" w:eastAsia="宋体"/>
          <w:b/>
          <w:color w:val="1F4E79"/>
          <w:szCs w:val="24"/>
          <w:sz w:val="24"/>
        </w:rPr>
        <w:t>，新类数=10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17"/>
        <w:gridCol w:w="1964"/>
        <w:gridCol w:w="1964"/>
        <w:gridCol w:w="1964"/>
        <w:gridCol w:w="1851"/>
      </w:tblGrid>
      <w:tr w14:paraId="1CAB1705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584746D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方法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57347D4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2973568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DE8A2C2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10B8CD5D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6AA1A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A9ED1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9C7402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44.69%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BF432B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33.15%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24A729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37.57%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D1A079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42.78%</w:t>
            </w:r>
          </w:p>
        </w:tc>
      </w:tr>
    </w:tbl>
    <w:p w14:paraId="57E8FA49">
      <w:pPr>
        <w:keepNext/>
        <w:keepLines/>
        <w:spacing w:before="140" w:after="60"/>
        <w:rPr>
          <w:sz w:val="24"/>
          <w:szCs w:val="24"/>
        </w:rPr>
      </w:pPr>
      <w:r>
        <w:rPr>
          <w:rFonts w:ascii="Times New Roman" w:hAnsi="Times New Roman" w:cs="Times New Roman" w:eastAsia="宋体"/>
          <w:b/>
          <w:color w:val="1F4E79"/>
          <w:szCs w:val="24"/>
          <w:sz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K=10</m:t>
        </m:r>
      </m:oMath>
      <w:r>
        <w:rPr>
          <w:rFonts w:ascii="Times New Roman" w:hAnsi="Times New Roman" w:cs="Times New Roman" w:eastAsia="宋体"/>
          <w:b/>
          <w:color w:val="1F4E79"/>
          <w:szCs w:val="24"/>
          <w:sz w:val="24"/>
        </w:rPr>
        <w:t>，新类数=20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17"/>
        <w:gridCol w:w="1964"/>
        <w:gridCol w:w="1964"/>
        <w:gridCol w:w="1964"/>
        <w:gridCol w:w="1851"/>
      </w:tblGrid>
      <w:tr w14:paraId="1FD52245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1FD6B503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方法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AEAFC8D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73E75322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C6D3C1C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55A7C248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211BE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E9069F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CSIL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53CF0D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8.33%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DF0E52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5.49%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D9358E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3.17%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8C6E3C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75.37%</w:t>
            </w:r>
          </w:p>
        </w:tc>
      </w:tr>
    </w:tbl>
    <w:p w14:paraId="47ADB4D0">
      <w:pPr>
        <w:keepNext/>
        <w:keepLines/>
        <w:spacing w:before="140" w:after="60"/>
        <w:rPr>
          <w:sz w:val="24"/>
          <w:szCs w:val="24"/>
        </w:rPr>
      </w:pPr>
      <w:r>
        <w:rPr>
          <w:rFonts w:ascii="Times New Roman" w:hAnsi="Times New Roman" w:cs="Times New Roman" w:eastAsia="宋体"/>
          <w:b/>
          <w:color w:val="1F4E79"/>
          <w:szCs w:val="24"/>
          <w:sz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K=10</m:t>
        </m:r>
      </m:oMath>
      <w:r>
        <w:rPr>
          <w:rFonts w:ascii="Times New Roman" w:hAnsi="Times New Roman" w:cs="Times New Roman" w:eastAsia="宋体"/>
          <w:b/>
          <w:color w:val="1F4E79"/>
          <w:szCs w:val="24"/>
          <w:sz w:val="24"/>
        </w:rPr>
        <w:t>，新类数=25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17"/>
        <w:gridCol w:w="1964"/>
        <w:gridCol w:w="1964"/>
        <w:gridCol w:w="1964"/>
        <w:gridCol w:w="1851"/>
      </w:tblGrid>
      <w:tr w14:paraId="6661F964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DFE5E29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方法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526F397D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FFD4E26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3ABC433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F929B70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4A471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7A96C2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9A6496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44.99%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B5A508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22.31%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2D024A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29.32%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61B242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42.48%</w:t>
            </w:r>
          </w:p>
        </w:tc>
      </w:tr>
    </w:tbl>
    <w:p w14:paraId="25727347">
      <w:pPr>
        <w:keepNext/>
        <w:keepLines/>
        <w:spacing w:before="140" w:after="60"/>
        <w:rPr>
          <w:sz w:val="24"/>
          <w:szCs w:val="24"/>
        </w:rPr>
      </w:pPr>
      <w:r>
        <w:rPr>
          <w:rFonts w:ascii="Times New Roman" w:hAnsi="Times New Roman" w:cs="Times New Roman" w:eastAsia="宋体"/>
          <w:b/>
          <w:color w:val="1F4E79"/>
          <w:szCs w:val="24"/>
          <w:sz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K=20</m:t>
        </m:r>
      </m:oMath>
      <w:r>
        <w:rPr>
          <w:rFonts w:ascii="Times New Roman" w:hAnsi="Times New Roman" w:cs="Times New Roman" w:eastAsia="宋体"/>
          <w:b/>
          <w:color w:val="1F4E79"/>
          <w:szCs w:val="24"/>
          <w:sz w:val="24"/>
        </w:rPr>
        <w:t>，新类数=1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17"/>
        <w:gridCol w:w="1964"/>
        <w:gridCol w:w="1964"/>
        <w:gridCol w:w="1964"/>
        <w:gridCol w:w="1851"/>
      </w:tblGrid>
      <w:tr w14:paraId="4458CE86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2BD3CFE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方法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20D999B8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56EAD938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A9C2E16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24A0B552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50FFB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DF7CC50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CSIL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665E68A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83.70%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E4A0EEE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0.00%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A2B8F4A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0.00%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424C0A8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0.00%</w:t>
            </w:r>
          </w:p>
        </w:tc>
      </w:tr>
      <w:tr w14:paraId="1814D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7E38594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52C6975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60.76%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27A7EF0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96.53%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708A530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72.69%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5A14D0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26.71%</w:t>
            </w:r>
          </w:p>
        </w:tc>
      </w:tr>
    </w:tbl>
    <w:p w14:paraId="71E1DA42">
      <w:pPr>
        <w:keepNext/>
        <w:keepLines/>
        <w:pageBreakBefore/>
        <w:spacing w:before="140" w:after="60"/>
        <w:rPr>
          <w:sz w:val="24"/>
          <w:szCs w:val="24"/>
        </w:rPr>
      </w:pPr>
      <w:r>
        <w:rPr>
          <w:rFonts w:ascii="Times New Roman" w:hAnsi="Times New Roman" w:cs="Times New Roman" w:eastAsia="宋体"/>
          <w:b/>
          <w:color w:val="1F4E79"/>
          <w:szCs w:val="24"/>
          <w:sz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K=20</m:t>
        </m:r>
      </m:oMath>
      <w:r>
        <w:rPr>
          <w:rFonts w:ascii="Times New Roman" w:hAnsi="Times New Roman" w:cs="Times New Roman" w:eastAsia="宋体"/>
          <w:b/>
          <w:color w:val="1F4E79"/>
          <w:szCs w:val="24"/>
          <w:sz w:val="24"/>
        </w:rPr>
        <w:t>，新类数=3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17"/>
        <w:gridCol w:w="1964"/>
        <w:gridCol w:w="1964"/>
        <w:gridCol w:w="1964"/>
        <w:gridCol w:w="1851"/>
      </w:tblGrid>
      <w:tr w14:paraId="75063F1A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07EF969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方法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2232E61F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15B2F6DA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DB4C208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A846AE8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53A65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BAFB180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CSIL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E392216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0.08%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0DD94BD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34.04%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F9FDC1E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0.14%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2CC5359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83.62%</w:t>
            </w:r>
          </w:p>
        </w:tc>
      </w:tr>
      <w:tr w14:paraId="44825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0A176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D53269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48.96%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9FD255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71.47%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F8F097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57.23%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D6B32A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38.51%</w:t>
            </w:r>
          </w:p>
        </w:tc>
      </w:tr>
    </w:tbl>
    <w:p w14:paraId="5818DBC9">
      <w:pPr>
        <w:keepNext/>
        <w:keepLines/>
        <w:spacing w:before="140" w:after="60"/>
        <w:rPr>
          <w:sz w:val="24"/>
          <w:szCs w:val="24"/>
        </w:rPr>
      </w:pPr>
      <w:r>
        <w:rPr>
          <w:rFonts w:ascii="Times New Roman" w:hAnsi="Times New Roman" w:cs="Times New Roman" w:eastAsia="宋体"/>
          <w:b/>
          <w:color w:val="1F4E79"/>
          <w:szCs w:val="24"/>
          <w:sz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K=20</m:t>
        </m:r>
      </m:oMath>
      <w:r>
        <w:rPr>
          <w:rFonts w:ascii="Times New Roman" w:hAnsi="Times New Roman" w:cs="Times New Roman" w:eastAsia="宋体"/>
          <w:b/>
          <w:color w:val="1F4E79"/>
          <w:szCs w:val="24"/>
          <w:sz w:val="24"/>
        </w:rPr>
        <w:t>，新类数=5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17"/>
        <w:gridCol w:w="1964"/>
        <w:gridCol w:w="1964"/>
        <w:gridCol w:w="1964"/>
        <w:gridCol w:w="1851"/>
      </w:tblGrid>
      <w:tr w14:paraId="7695BD15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CB48922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方法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4FDB265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53B1ACC0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23D1658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5C8F0A94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0BD7E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983CF5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0B6B24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33.28%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BE2D81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61.31%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888B2F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41.09%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F466D3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54.19%</w:t>
            </w:r>
          </w:p>
        </w:tc>
      </w:tr>
    </w:tbl>
    <w:p w14:paraId="75682EFE">
      <w:pPr>
        <w:keepNext/>
        <w:keepLines/>
        <w:spacing w:before="140" w:after="60"/>
        <w:rPr>
          <w:sz w:val="24"/>
          <w:szCs w:val="24"/>
        </w:rPr>
      </w:pPr>
      <w:r>
        <w:rPr>
          <w:rFonts w:ascii="Times New Roman" w:hAnsi="Times New Roman" w:cs="Times New Roman" w:eastAsia="宋体"/>
          <w:b/>
          <w:color w:val="1F4E79"/>
          <w:szCs w:val="24"/>
          <w:sz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K=20</m:t>
        </m:r>
      </m:oMath>
      <w:r>
        <w:rPr>
          <w:rFonts w:ascii="Times New Roman" w:hAnsi="Times New Roman" w:cs="Times New Roman" w:eastAsia="宋体"/>
          <w:b/>
          <w:color w:val="1F4E79"/>
          <w:szCs w:val="24"/>
          <w:sz w:val="24"/>
        </w:rPr>
        <w:t>，新类数=10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17"/>
        <w:gridCol w:w="1964"/>
        <w:gridCol w:w="1964"/>
        <w:gridCol w:w="1964"/>
        <w:gridCol w:w="1851"/>
      </w:tblGrid>
      <w:tr w14:paraId="685C1230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8DFAA14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方法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778C9901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7D6B019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22EAF49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4075531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28AD9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F32B00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697C8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34.07%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7EBD79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41.36%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DBA766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35.48%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55C156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53.40%</w:t>
            </w:r>
          </w:p>
        </w:tc>
      </w:tr>
    </w:tbl>
    <w:p w14:paraId="26E04352">
      <w:pPr>
        <w:keepNext/>
        <w:keepLines/>
        <w:spacing w:before="140" w:after="60"/>
        <w:rPr>
          <w:sz w:val="24"/>
          <w:szCs w:val="24"/>
        </w:rPr>
      </w:pPr>
      <w:r>
        <w:rPr>
          <w:rFonts w:ascii="Times New Roman" w:hAnsi="Times New Roman" w:cs="Times New Roman" w:eastAsia="宋体"/>
          <w:b/>
          <w:color w:val="1F4E79"/>
          <w:szCs w:val="24"/>
          <w:sz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K=20</m:t>
        </m:r>
      </m:oMath>
      <w:r>
        <w:rPr>
          <w:rFonts w:ascii="Times New Roman" w:hAnsi="Times New Roman" w:cs="Times New Roman" w:eastAsia="宋体"/>
          <w:b/>
          <w:color w:val="1F4E79"/>
          <w:szCs w:val="24"/>
          <w:sz w:val="24"/>
        </w:rPr>
        <w:t>，新类数=20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17"/>
        <w:gridCol w:w="1964"/>
        <w:gridCol w:w="1964"/>
        <w:gridCol w:w="1964"/>
        <w:gridCol w:w="1851"/>
      </w:tblGrid>
      <w:tr w14:paraId="6462FD9C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4837AC8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方法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30A03E7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72448610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9D80926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7FE3E206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7EF9C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4A8263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CSIL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1CEA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59.84%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FB409C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5.64%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8E88C7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9.96%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C61620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23.86%</w:t>
            </w:r>
          </w:p>
        </w:tc>
      </w:tr>
    </w:tbl>
    <w:p w14:paraId="4FCA5BEC">
      <w:pPr>
        <w:keepNext/>
        <w:keepLines/>
        <w:spacing w:before="140" w:after="60"/>
        <w:rPr>
          <w:sz w:val="24"/>
          <w:szCs w:val="24"/>
        </w:rPr>
      </w:pPr>
      <w:r>
        <w:rPr>
          <w:rFonts w:ascii="Times New Roman" w:hAnsi="Times New Roman" w:cs="Times New Roman" w:eastAsia="宋体"/>
          <w:b/>
          <w:color w:val="1F4E79"/>
          <w:szCs w:val="24"/>
          <w:sz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K=20</m:t>
        </m:r>
      </m:oMath>
      <w:r>
        <w:rPr>
          <w:rFonts w:ascii="Times New Roman" w:hAnsi="Times New Roman" w:cs="Times New Roman" w:eastAsia="宋体"/>
          <w:b/>
          <w:color w:val="1F4E79"/>
          <w:szCs w:val="24"/>
          <w:sz w:val="24"/>
        </w:rPr>
        <w:t>，新类数=25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17"/>
        <w:gridCol w:w="1964"/>
        <w:gridCol w:w="1964"/>
        <w:gridCol w:w="1964"/>
        <w:gridCol w:w="1851"/>
      </w:tblGrid>
      <w:tr w14:paraId="5D8C8441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213553EA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方法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15E0F00F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71661DD4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75933890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2BEDD18B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250D9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2BAABB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E5B9B1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36.66%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B58F5E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27.86%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EDE7C3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30.23%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84FB63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50.81%</w:t>
            </w:r>
          </w:p>
        </w:tc>
      </w:tr>
    </w:tbl>
    <w:p w14:paraId="167990CB">
      <w:pPr>
        <w:pStyle w:val="5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4.5.2主要现象</w:t>
      </w:r>
    </w:p>
    <w:p w14:paraId="50B485ED">
      <w:pPr>
        <w:pStyle w:val="19"/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b/>
          <w:color w:val="C00000"/>
          <w:sz w:val="24"/>
          <w:szCs w:val="24"/>
          <w:lang w:eastAsia="zh-CN"/>
        </w:rPr>
        <w:t>低K、少新类时存在零注册。</w:t>
      </w:r>
      <w:r>
        <w:rPr>
          <w:rFonts w:ascii="Times New Roman" w:hAnsi="Times New Roman" w:cs="Times New Roman" w:eastAsia="宋体"/>
          <w:sz w:val="24"/>
          <w:szCs w:val="24"/>
          <w:lang w:eastAsia="zh-CN"/>
        </w:rPr>
        <w:t>CSIL在K=5/10且新类数为1或3时seen_new_acc为0；MoPC-HR在K=5或10、新类数为1时也为0。</w:t>
      </w:r>
    </w:p>
    <w:p w14:paraId="3882A832">
      <w:pPr>
        <w:pStyle w:val="19"/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b/>
          <w:color w:val="C00000"/>
          <w:sz w:val="24"/>
          <w:szCs w:val="24"/>
          <w:lang w:eastAsia="zh-CN"/>
        </w:rPr>
        <w:t>MoPC-HR的可塑性更强，但会牺牲旧类。</w:t>
      </w:r>
      <w:r>
        <w:rPr>
          <w:rFonts w:ascii="Times New Roman" w:hAnsi="Times New Roman" w:cs="Times New Roman" w:eastAsia="宋体"/>
          <w:sz w:val="24"/>
          <w:szCs w:val="24"/>
          <w:lang w:eastAsia="zh-CN"/>
        </w:rPr>
        <w:t>K=20、新类数1时seen_new_acc为96.53%，H_old_new为72.69%；与此同时，old_acc_after降至60.76%，forgetting为26.71个百分点。</w:t>
      </w:r>
    </w:p>
    <w:p w14:paraId="077B4A81">
      <w:pPr>
        <w:pStyle w:val="19"/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b/>
          <w:color w:val="C00000"/>
          <w:sz w:val="24"/>
          <w:szCs w:val="24"/>
          <w:lang w:eastAsia="zh-CN"/>
        </w:rPr>
        <w:t>新类规模扩大后联合性能下降。</w:t>
      </w:r>
      <w:r>
        <w:rPr>
          <w:rFonts w:ascii="Times New Roman" w:hAnsi="Times New Roman" w:cs="Times New Roman" w:eastAsia="宋体"/>
          <w:sz w:val="24"/>
          <w:szCs w:val="24"/>
          <w:lang w:eastAsia="zh-CN"/>
        </w:rPr>
        <w:t>MoPC-HR在K=20时，新类数从1增加到25，seen_new_acc从96.53%降至27.86%，old_acc_after也从60.76%降至36.66%。</w:t>
      </w:r>
    </w:p>
    <w:p w14:paraId="1FE5DD27">
      <w:pPr>
        <w:pStyle w:val="19"/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b/>
          <w:color w:val="C00000"/>
          <w:sz w:val="24"/>
          <w:szCs w:val="24"/>
          <w:lang w:eastAsia="zh-CN"/>
        </w:rPr>
        <w:t>CSIL呈现明显的稳定性—可塑性极端。</w:t>
      </w:r>
      <w:r>
        <w:rPr>
          <w:rFonts w:ascii="Times New Roman" w:hAnsi="Times New Roman" w:cs="Times New Roman" w:eastAsia="宋体"/>
          <w:sz w:val="24"/>
          <w:szCs w:val="24"/>
          <w:lang w:eastAsia="zh-CN"/>
        </w:rPr>
        <w:t>小规模时旧类几乎完全保留但新类不注册；部分较大规模或高K切片中，新类开始被学习，却伴随旧类显著下降。</w:t>
      </w:r>
    </w:p>
    <w:p w14:paraId="5061F40A">
      <w:pPr>
        <w:pStyle w:val="5"/>
        <w:rPr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t>4.5.3ERTB-IDR与类增量方法的共同LEO切片对照</w:t>
      </w:r>
    </w:p>
    <w:p w14:paraId="58DBF96D">
      <w:pPr>
        <w:pStyle w:val="19"/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sz w:val="24"/>
          <w:szCs w:val="24"/>
          <w:lang w:eastAsia="zh-CN"/>
        </w:rPr>
        <w:t xml:space="preserve">ERTB-IDR完成125/125个任务和375/375个LEO场景，失败数为0。以下五张配置表在K1/new20、K5/new20、K10/new5、K10/new10和K10/new20五个共同切片上，对照ERTB-IDR与CSIL、MoPC-HR官方流程的三场景平均结果。CSIL和MoPC-HR使用seed 713101–713105，ERTB-IDR使用713102–713106； </w:t>
      </w:r>
    </w:p>
    <w:p w14:paraId="09FCA39E">
      <w:pPr>
        <w:keepNext/>
        <w:keepLines/>
        <w:spacing w:before="140" w:after="60"/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b/>
          <w:color w:val="1F4E79"/>
          <w:szCs w:val="24"/>
          <w:lang w:eastAsia="zh-CN"/>
          <w:sz w:val="24"/>
        </w:rPr>
        <w:t>共同切片：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K=1</m:t>
        </m:r>
      </m:oMath>
      <w:r>
        <w:rPr>
          <w:rFonts w:ascii="Times New Roman" w:hAnsi="Times New Roman" w:cs="Times New Roman" w:eastAsia="宋体"/>
          <w:b/>
          <w:color w:val="1F4E79"/>
          <w:szCs w:val="24"/>
          <w:lang w:eastAsia="zh-CN"/>
          <w:sz w:val="24"/>
        </w:rPr>
        <w:t>，新类数=20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502"/>
        <w:gridCol w:w="1414"/>
        <w:gridCol w:w="1414"/>
        <w:gridCol w:w="1306"/>
        <w:gridCol w:w="1306"/>
        <w:gridCol w:w="1418"/>
      </w:tblGrid>
      <w:tr w14:paraId="10BEAC50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C1D8FC8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方法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5521CC03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bCs/>
                <w:sz w:val="20"/>
                <w:szCs w:val="20"/>
                <w:color w:val="1F4E79"/>
              </w:rPr>
              <w:t>初始状态</w:t>
            </w: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C9C7F90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AD65D13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CBD90B9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F65D58F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168B1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DE538F9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ERTB-IDR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DC7A656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68.144%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F451113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44.033%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7ACEBF5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27.150%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FE4D89E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33.410%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956EB3A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24.111pp</w:t>
            </w:r>
          </w:p>
        </w:tc>
      </w:tr>
      <w:tr w14:paraId="55573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71A58C09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CSIL官方流程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76FA1985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42.833%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73B20504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42.833%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F77547B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0.000%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FF0A70E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0.000%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7E45C303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0.000pp</w:t>
            </w:r>
          </w:p>
        </w:tc>
      </w:tr>
      <w:tr w14:paraId="5C4F5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F1504A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MoPC-HR官方流程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460414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45.322%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BB4122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40.722%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628930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1.363%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D9DEE0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2.603%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EC1651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4.600pp</w:t>
            </w:r>
          </w:p>
        </w:tc>
      </w:tr>
    </w:tbl>
    <w:p w14:paraId="6BE06B49">
      <w:pPr>
        <w:keepNext/>
        <w:keepLines/>
        <w:spacing w:before="140" w:after="60"/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b/>
          <w:color w:val="1F4E79"/>
          <w:szCs w:val="24"/>
          <w:lang w:eastAsia="zh-CN"/>
          <w:sz w:val="24"/>
        </w:rPr>
        <w:t>共同切片：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K=5</m:t>
        </m:r>
      </m:oMath>
      <w:r>
        <w:rPr>
          <w:rFonts w:ascii="Times New Roman" w:hAnsi="Times New Roman" w:cs="Times New Roman" w:eastAsia="宋体"/>
          <w:b/>
          <w:color w:val="1F4E79"/>
          <w:szCs w:val="24"/>
          <w:lang w:eastAsia="zh-CN"/>
          <w:sz w:val="24"/>
        </w:rPr>
        <w:t>，新类数=20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502"/>
        <w:gridCol w:w="1414"/>
        <w:gridCol w:w="1414"/>
        <w:gridCol w:w="1306"/>
        <w:gridCol w:w="1306"/>
        <w:gridCol w:w="1418"/>
      </w:tblGrid>
      <w:tr w14:paraId="5B9D2755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1B80B0C7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方法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30A9371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bCs/>
                <w:sz w:val="20"/>
                <w:szCs w:val="20"/>
                <w:color w:val="1F4E79"/>
              </w:rPr>
              <w:t>初始状态</w:t>
            </w: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7C72507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DE44240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8CE80BE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552DDDA7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6FDD1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6FAD5A6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ERTB-IDR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FE31F1D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81.267%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72D8542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63.711%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85E1A22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58.883%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D1D4612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60.955%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715F177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17.556pp</w:t>
            </w:r>
          </w:p>
        </w:tc>
      </w:tr>
      <w:tr w14:paraId="7675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093870C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CSIL官方流程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6B09F85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42.833%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0E461B8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0.200%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485B6B9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5.557%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8BF99BE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0.316%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979F341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42.633pp</w:t>
            </w:r>
          </w:p>
        </w:tc>
      </w:tr>
      <w:tr w14:paraId="6DBBC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F6BA1C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MoPC-HR官方流程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F2A09C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45.322%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AC7451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13.511%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9B20C4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17.433%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E8DA48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14.309%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AECE93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31.811pp</w:t>
            </w:r>
          </w:p>
        </w:tc>
      </w:tr>
    </w:tbl>
    <w:p w14:paraId="5724EC00">
      <w:pPr>
        <w:keepNext/>
        <w:keepLines/>
        <w:spacing w:before="140" w:after="60"/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b/>
          <w:color w:val="1F4E79"/>
          <w:szCs w:val="24"/>
          <w:lang w:eastAsia="zh-CN"/>
          <w:sz w:val="24"/>
        </w:rPr>
        <w:t>共同切片：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K=10</m:t>
        </m:r>
      </m:oMath>
      <w:r>
        <w:rPr>
          <w:rFonts w:ascii="Times New Roman" w:hAnsi="Times New Roman" w:cs="Times New Roman" w:eastAsia="宋体"/>
          <w:b/>
          <w:color w:val="1F4E79"/>
          <w:szCs w:val="24"/>
          <w:lang w:eastAsia="zh-CN"/>
          <w:sz w:val="24"/>
        </w:rPr>
        <w:t>，新类数=5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502"/>
        <w:gridCol w:w="1414"/>
        <w:gridCol w:w="1414"/>
        <w:gridCol w:w="1306"/>
        <w:gridCol w:w="1306"/>
        <w:gridCol w:w="1418"/>
      </w:tblGrid>
      <w:tr w14:paraId="3A759315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E7EB16A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方法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1D68FB30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bCs/>
                <w:sz w:val="20"/>
                <w:szCs w:val="20"/>
                <w:color w:val="1F4E79"/>
              </w:rPr>
              <w:t>初始状态</w:t>
            </w: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5F792572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59E6B6B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98BBC03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0B8BE9E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2E714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B9864BF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ERTB-IDR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05DBE3E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86.111%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758159C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76.189%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941C748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74.133%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B86E52E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74.803%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112EF4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9.922pp</w:t>
            </w:r>
          </w:p>
        </w:tc>
      </w:tr>
      <w:tr w14:paraId="6EA3C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AA71405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CSIL官方流程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6B7D08C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42.833%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54C83E56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0.689%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210C3AEB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20.413%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D3CFC65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1.264%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57ABA347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42.144pp</w:t>
            </w:r>
          </w:p>
        </w:tc>
      </w:tr>
      <w:tr w14:paraId="45BF5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CF8D2A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MoPC-HR官方流程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0B4FEC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45.322%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A9F943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9.322%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7055C4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49.547%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3B2751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14.947%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0422CD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36.000pp</w:t>
            </w:r>
          </w:p>
        </w:tc>
      </w:tr>
    </w:tbl>
    <w:p w14:paraId="5976651C">
      <w:pPr>
        <w:keepNext/>
        <w:keepLines/>
        <w:spacing w:before="140" w:after="60"/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b/>
          <w:color w:val="1F4E79"/>
          <w:szCs w:val="24"/>
          <w:lang w:eastAsia="zh-CN"/>
          <w:sz w:val="24"/>
        </w:rPr>
        <w:t>共同切片：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K=10</m:t>
        </m:r>
      </m:oMath>
      <w:r>
        <w:rPr>
          <w:rFonts w:ascii="Times New Roman" w:hAnsi="Times New Roman" w:cs="Times New Roman" w:eastAsia="宋体"/>
          <w:b/>
          <w:color w:val="1F4E79"/>
          <w:szCs w:val="24"/>
          <w:lang w:eastAsia="zh-CN"/>
          <w:sz w:val="24"/>
        </w:rPr>
        <w:t>，新类数=10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502"/>
        <w:gridCol w:w="1414"/>
        <w:gridCol w:w="1414"/>
        <w:gridCol w:w="1306"/>
        <w:gridCol w:w="1306"/>
        <w:gridCol w:w="1418"/>
      </w:tblGrid>
      <w:tr w14:paraId="566F8D1E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2E11DBA8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方法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7E2498DD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bCs/>
                <w:sz w:val="20"/>
                <w:szCs w:val="20"/>
                <w:color w:val="1F4E79"/>
              </w:rPr>
              <w:t>初始状态</w:t>
            </w: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5D095882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A9567BD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0B9A8CE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D8DDD4C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1F459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0858FF1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ERTB-IDR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EEFD46F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86.111%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1B595E6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72.533%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E44378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66.353%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A120405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69.106%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030E81D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13.578pp</w:t>
            </w:r>
          </w:p>
        </w:tc>
      </w:tr>
      <w:tr w14:paraId="45192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BF812A2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CSIL官方流程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6EFAA2B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42.833%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35FFAE1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0.000%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428599E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10.460%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B02A7A4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0.000%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FE5FC9E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42.833pp</w:t>
            </w:r>
          </w:p>
        </w:tc>
      </w:tr>
      <w:tr w14:paraId="7C8D3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04E427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MoPC-HR官方流程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55812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45.322%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EC92D3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9.500%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6D90DA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32.900%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FED4B4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13.770%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D6DE8E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35.822pp</w:t>
            </w:r>
          </w:p>
        </w:tc>
      </w:tr>
    </w:tbl>
    <w:p w14:paraId="50B37744">
      <w:pPr>
        <w:keepNext/>
        <w:keepLines/>
        <w:spacing w:before="140" w:after="60"/>
        <w:rPr>
          <w:sz w:val="24"/>
          <w:szCs w:val="24"/>
          <w:lang w:eastAsia="zh-CN"/>
        </w:rPr>
      </w:pPr>
      <w:r>
        <w:rPr>
          <w:rFonts w:ascii="Times New Roman" w:hAnsi="Times New Roman" w:cs="Times New Roman" w:eastAsia="宋体"/>
          <w:b/>
          <w:color w:val="1F4E79"/>
          <w:szCs w:val="24"/>
          <w:lang w:eastAsia="zh-CN"/>
          <w:sz w:val="24"/>
        </w:rPr>
        <w:t>共同切片：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K=10</m:t>
        </m:r>
      </m:oMath>
      <w:r>
        <w:rPr>
          <w:rFonts w:ascii="Times New Roman" w:hAnsi="Times New Roman" w:cs="Times New Roman" w:eastAsia="宋体"/>
          <w:b/>
          <w:color w:val="1F4E79"/>
          <w:szCs w:val="24"/>
          <w:lang w:eastAsia="zh-CN"/>
          <w:sz w:val="24"/>
        </w:rPr>
        <w:t>，新类数=20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502"/>
        <w:gridCol w:w="1414"/>
        <w:gridCol w:w="1414"/>
        <w:gridCol w:w="1306"/>
        <w:gridCol w:w="1306"/>
        <w:gridCol w:w="1418"/>
      </w:tblGrid>
      <w:tr w14:paraId="7A77C549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FF35654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>方法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5439A34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 w:eastAsia="宋体"/>
                <w:b/>
                <w:bCs/>
                <w:sz w:val="20"/>
                <w:szCs w:val="20"/>
                <w:color w:val="1F4E79"/>
              </w:rPr>
              <w:t>初始状态</w:t>
            </w:r>
            <w:r>
              <w:rPr>
                <w:rFonts w:ascii="Times New Roman" w:hAnsi="Times New Roman" w:cs="Times New Roman" w:eastAsia="宋体"/>
                <w:b/>
                <w:sz w:val="20"/>
                <w:szCs w:val="20"/>
                <w:bCs/>
                <w:color w:val="1F4E79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D7F6D86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C995CBB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528774D5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199F5CF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1E788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FD87F79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ERTB-IDR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F9F2BD6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86.111%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8617347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71.333%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D905005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68.150%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45AB8DE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69.555%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772E99A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14.778pp</w:t>
            </w:r>
          </w:p>
        </w:tc>
      </w:tr>
      <w:tr w14:paraId="535BD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00638D4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CSIL官方流程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59BED12A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42.833%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86B2249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38.222%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10EFED3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1.660%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7528FE4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2.979%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566C9E4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4.611pp</w:t>
            </w:r>
          </w:p>
        </w:tc>
      </w:tr>
      <w:tr w14:paraId="4CC8A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60C85F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MoPC-HR官方流程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97B3E0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45.322%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80847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7.611%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0B922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25.187%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96C89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10.695%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3E96B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37.711pp</w:t>
            </w:r>
          </w:p>
        </w:tc>
      </w:tr>
    </w:tbl>
    <w:p w14:paraId="5D945F3B">
      <w:pPr>
        <w:pStyle w:val="19"/>
        <w:rPr>
          <w:sz w:val="24"/>
          <w:szCs w:val="24"/>
          <w:lang w:eastAsia="zh-CN"/>
        </w:rPr>
      </w:pPr>
      <w:bookmarkStart w:id="17" w:name="X31943cb66b4f1a5bd38bc2ce323d836de6d2278"/>
    </w:p>
    <w:p w14:paraId="6F29C419">
      <w:pPr>
        <w:pStyle w:val="19"/>
        <w:rPr>
          <w:sz w:val="24"/>
          <w:szCs w:val="24"/>
          <w:lang w:eastAsia="zh-CN"/>
        </w:rPr>
      </w:pPr>
    </w:p>
    <w:p w14:paraId="4617487E">
      <w:pPr>
        <w:pStyle w:val="19"/>
        <w:rPr>
          <w:sz w:val="24"/>
          <w:szCs w:val="24"/>
          <w:lang w:eastAsia="zh-CN"/>
        </w:rPr>
      </w:pPr>
    </w:p>
    <w:p w14:paraId="0DC298D1">
      <w:pPr>
        <w:pStyle w:val="19"/>
        <w:rPr>
          <w:sz w:val="24"/>
          <w:szCs w:val="24"/>
          <w:lang w:eastAsia="zh-CN"/>
        </w:rPr>
      </w:pPr>
    </w:p>
    <w:p w14:paraId="078D288D">
      <w:pPr>
        <w:pStyle w:val="19"/>
        <w:rPr>
          <w:rFonts w:hint="eastAsia"/>
          <w:sz w:val="24"/>
          <w:szCs w:val="24"/>
          <w:lang w:eastAsia="zh-CN"/>
        </w:rPr>
      </w:pPr>
    </w:p>
    <w:bookmarkEnd w:id="6"/>
    <w:bookmarkEnd w:id="17"/>
    <w:p w14:paraId="0508F8DD">
      <w:pPr>
        <w:pStyle w:val="3"/>
        <w:rPr>
          <w:sz w:val="36"/>
          <w:szCs w:val="32"/>
          <w:lang w:eastAsia="zh-CN"/>
        </w:rPr>
      </w:pPr>
      <w:r>
        <w:rPr>
          <w:rFonts w:ascii="Times New Roman" w:hAnsi="Times New Roman" w:eastAsia="宋体" w:cs="Times New Roman"/>
          <w:sz w:val="36"/>
          <w:szCs w:val="36"/>
          <w:lang w:eastAsia="zh-CN"/>
        </w:rPr>
        <w:t>5.参考文献</w:t>
      </w:r>
    </w:p>
    <w:p w14:paraId="443FE318">
      <w:pPr>
        <w:rPr>
          <w:sz w:val="24"/>
          <w:szCs w:val="24"/>
        </w:rPr>
      </w:pPr>
      <w:r>
        <w:rPr>
          <w:rFonts w:ascii="Times New Roman" w:hAnsi="Times New Roman" w:cs="Times New Roman" w:eastAsia="宋体"/>
          <w:sz w:val="24"/>
          <w:szCs w:val="24"/>
        </w:rPr>
        <w:t xml:space="preserve">[1] SNELL J, SWERSKY K, ZEMEL R S. Prototypical Networks for Few-shot Learning[C]//Advances in Neural Information Processing Systems 30. 2017. </w:t>
      </w:r>
      <w:r>
        <w:rPr>
          <w:rFonts w:ascii="Times New Roman" w:hAnsi="Times New Roman" w:cs="Times New Roman" w:eastAsia="宋体"/>
          <w:sz w:val="24"/>
          <w:szCs w:val="24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</w:rPr>
        <w:instrText xml:space="preserve"> HYPERLINK "https://papers.nips.cc/paper/6996-prototypical-networks-for-few-shot-learning" \h </w:instrText>
      </w:r>
      <w:r>
        <w:rPr>
          <w:rFonts w:ascii="Times New Roman" w:hAnsi="Times New Roman" w:cs="Times New Roman" w:eastAsia="宋体"/>
          <w:sz w:val="24"/>
          <w:szCs w:val="24"/>
        </w:rPr>
        <w:fldChar w:fldCharType="separate"/>
      </w:r>
      <w:r>
        <w:rPr>
          <w:rFonts w:ascii="Times New Roman" w:hAnsi="Times New Roman" w:cs="Times New Roman" w:eastAsia="宋体"/>
          <w:sz w:val="24"/>
          <w:szCs w:val="24"/>
        </w:rPr>
        <w:t>https://papers.nips.cc/paper/6996-prototypical-networks-for-few-shot-learning</w:t>
      </w:r>
      <w:r>
        <w:rPr>
          <w:rFonts w:ascii="Times New Roman" w:hAnsi="Times New Roman" w:cs="Times New Roman" w:eastAsia="宋体"/>
          <w:sz w:val="24"/>
          <w:szCs w:val="24"/>
        </w:rPr>
        <w:fldChar w:fldCharType="end"/>
      </w:r>
      <w:r>
        <w:rPr>
          <w:rFonts w:ascii="Times New Roman" w:hAnsi="Times New Roman" w:cs="Times New Roman" w:eastAsia="宋体"/>
          <w:sz w:val="24"/>
          <w:szCs w:val="24"/>
        </w:rPr>
        <w:t>（IEEE是Institute of Electrical and Electronics Engineers，即电气电子工程师学会；DOI是Digital Object Identifier，即数字对象唯一标识符；参考文献类型标识[J]表示期刊论文，[C]表示会议论文）</w:t>
      </w:r>
    </w:p>
    <w:p w14:paraId="61F7DB05">
      <w:pPr>
        <w:pStyle w:val="19"/>
        <w:rPr>
          <w:sz w:val="24"/>
          <w:szCs w:val="24"/>
        </w:rPr>
      </w:pPr>
      <w:r>
        <w:rPr>
          <w:rFonts w:ascii="Times New Roman" w:hAnsi="Times New Roman" w:cs="Times New Roman" w:eastAsia="宋体"/>
          <w:sz w:val="24"/>
          <w:szCs w:val="24"/>
        </w:rPr>
        <w:t>[2] YANG L, LI Q, REN X, et al. Mitigating Receiver Impact on Radio Frequency Fingerprint Identification via Domain Adaptation[J]. IEEE Internet of Things Journal, 2024, 11(13):24024-24034. DOI:10.1109/JIOT.2024.3389491.</w:t>
      </w:r>
    </w:p>
    <w:p w14:paraId="7C9A3DB5">
      <w:pPr>
        <w:pStyle w:val="19"/>
        <w:rPr>
          <w:sz w:val="24"/>
          <w:szCs w:val="24"/>
        </w:rPr>
      </w:pPr>
      <w:r>
        <w:rPr>
          <w:rFonts w:ascii="Times New Roman" w:hAnsi="Times New Roman" w:cs="Times New Roman" w:eastAsia="宋体"/>
          <w:sz w:val="24"/>
          <w:szCs w:val="24"/>
        </w:rPr>
        <w:t>[3] FENG J, FANG S, FAN Y. Cross-Receiver Radio Frequency Fingerprint Identification Based on Domain Adaptation With Dynamic Distribution Alignment[J]. IEEE Internet of Things Journal, 2025, 12(16):33202-33214. DOI:10.1109/JIOT.2025.3573713.</w:t>
      </w:r>
    </w:p>
    <w:p w14:paraId="443E425D">
      <w:pPr>
        <w:pStyle w:val="19"/>
        <w:rPr>
          <w:sz w:val="24"/>
          <w:szCs w:val="24"/>
        </w:rPr>
      </w:pPr>
      <w:r>
        <w:rPr>
          <w:rFonts w:ascii="Times New Roman" w:hAnsi="Times New Roman" w:cs="Times New Roman" w:eastAsia="宋体"/>
          <w:sz w:val="24"/>
          <w:szCs w:val="24"/>
        </w:rPr>
        <w:t>[4] LIU Y, WANG J, LI J, NIU S, SONG H. Class-Incremental Learning for Wireless Device Identification in IoT[J]. IEEE Internet of Things Journal, 2021, 8(23):17227-17235. DOI:10.1109/JIOT.2021.3078407.</w:t>
      </w:r>
    </w:p>
    <w:p w14:paraId="2384BC22">
      <w:pPr>
        <w:pStyle w:val="19"/>
        <w:rPr>
          <w:sz w:val="24"/>
          <w:szCs w:val="24"/>
        </w:rPr>
      </w:pPr>
      <w:r>
        <w:rPr>
          <w:rFonts w:ascii="Times New Roman" w:hAnsi="Times New Roman" w:cs="Times New Roman" w:eastAsia="宋体"/>
          <w:sz w:val="24"/>
          <w:szCs w:val="24"/>
        </w:rPr>
        <w:t>[5] LI D, CHEN Z, SHAO M, et al. Non-Exemplar Class-Incremental Learning via Prototype Correction and Hierarchical Regularization for Specific Emitter Identification[J]. IEEE Transactions on Intelligent Transportation Systems, 2025, 26(8):12632-12646. DOI:10.1109/TITS.2025.3559174.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980B04">
    <w:pPr>
      <w:pStyle w:val="24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47F7BA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034871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22E62F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935C0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F3464C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5BF0"/>
    <w:rsid w:val="002312FC"/>
    <w:rsid w:val="0023753D"/>
    <w:rsid w:val="00396905"/>
    <w:rsid w:val="00871946"/>
    <w:rsid w:val="009F5BF0"/>
    <w:rsid w:val="00B902FD"/>
    <w:rsid w:val="00BF68E6"/>
    <w:rsid w:val="00DC702A"/>
    <w:rsid w:val="00EA4432"/>
    <w:rsid w:val="00EF0C7E"/>
    <w:rsid w:val="2A5266D7"/>
    <w:rsid w:val="2FE013F4"/>
    <w:rsid w:val="3AD057FF"/>
    <w:rsid w:val="4946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  <w:sz w:val="24"/>
        <w:szCs w:val="24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Times New Roman" w:hAnsi="Times New Roman" w:eastAsia="宋体" w:cs="Times New Roman"/>
      <w:color w:val="1F1F1F"/>
      <w:sz w:val="24"/>
      <w:szCs w:val="24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="Times New Roman" w:hAnsi="Times New Roman" w:cs="Times New Roman" w:eastAsia="宋体"/>
      <w:b/>
      <w:bCs/>
      <w:color w:val="1F4E79"/>
      <w:sz w:val="36"/>
      <w:szCs w:val="36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/>
      <w:outlineLvl w:val="1"/>
    </w:pPr>
    <w:rPr>
      <w:rFonts w:ascii="Times New Roman" w:hAnsi="Times New Roman" w:cs="Times New Roman" w:eastAsia="宋体"/>
      <w:b/>
      <w:bCs/>
      <w:color w:val="1F4E79"/>
      <w:sz w:val="28"/>
      <w:szCs w:val="28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="Times New Roman" w:hAnsi="Times New Roman" w:cs="Times New Roman" w:eastAsia="宋体"/>
      <w:b/>
      <w:bCs/>
      <w:color w:val="404040"/>
      <w:sz w:val="24"/>
      <w:szCs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="Times New Roman" w:hAnsi="Times New Roman" w:cs="Times New Roman"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="Times New Roman" w:hAnsi="Times New Roman" w:cs="Times New Roman" w:eastAsia="宋体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="Times New Roman" w:hAnsi="Times New Roman" w:cs="Times New Roman" w:eastAsia="宋体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="Times New Roman" w:hAnsi="Times New Roman" w:cs="Times New Roman" w:eastAsia="宋体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="Times New Roman" w:hAnsi="Times New Roman" w:cs="Times New Roman" w:eastAsia="宋体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="Times New Roman" w:hAnsi="Times New Roman" w:cs="Times New Roman" w:eastAsia="宋体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  <w:rPr>
      <w:rFonts w:ascii="Times New Roman" w:hAnsi="Times New Roman" w:cs="Times New Roman" w:eastAsia="宋体"/>
    </w:rPr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宋体"/>
    </w:r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eastAsia="宋体" w:cs="Times New Roman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ascii="Times New Roman" w:hAnsi="Times New Roman" w:cs="Times New Roman" w:eastAsia="宋体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Times New Roman" w:hAnsi="Times New Roman" w:cs="Times New Roman" w:eastAsia="宋体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160" w:line="280" w:lineRule="auto"/>
      <w:ind w:left="720"/>
      <w:contextualSpacing/>
    </w:pPr>
    <w:rPr>
      <w:rFonts w:ascii="Times New Roman" w:hAnsi="Times New Roman" w:cs="Times New Roman" w:eastAsia="宋体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before="80" w:after="80" w:line="240" w:lineRule="auto"/>
    </w:pPr>
    <w:rPr>
      <w:rFonts w:ascii="Times New Roman" w:hAnsi="Times New Roman" w:cs="Times New Roman" w:eastAsia="宋体"/>
      <w:b/>
      <w:bCs/>
      <w:color w:val="666666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160" w:line="280" w:lineRule="auto"/>
      <w:ind w:left="720"/>
      <w:contextualSpacing/>
    </w:pPr>
    <w:rPr>
      <w:rFonts w:ascii="Times New Roman" w:hAnsi="Times New Roman" w:cs="Times New Roman" w:eastAsia="宋体"/>
    </w:rPr>
  </w:style>
  <w:style w:type="paragraph" w:styleId="17">
    <w:name w:val="Body Text 3"/>
    <w:basedOn w:val="1"/>
    <w:link w:val="146"/>
    <w:unhideWhenUsed/>
    <w:qFormat/>
    <w:uiPriority w:val="99"/>
    <w:rPr>
      <w:rFonts w:ascii="Times New Roman" w:hAnsi="Times New Roman" w:cs="Times New Roman" w:eastAsia="宋体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Times New Roman" w:hAnsi="Times New Roman" w:cs="Times New Roman" w:eastAsia="宋体"/>
    </w:rPr>
  </w:style>
  <w:style w:type="paragraph" w:styleId="19">
    <w:name w:val="Body Text"/>
    <w:basedOn w:val="1"/>
    <w:link w:val="144"/>
    <w:unhideWhenUsed/>
    <w:qFormat/>
    <w:uiPriority w:val="99"/>
    <w:rPr>
      <w:rFonts w:ascii="Times New Roman" w:hAnsi="Times New Roman" w:cs="Times New Roman" w:eastAsia="宋体"/>
      <w:sz w:val="24"/>
      <w:szCs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ascii="Times New Roman" w:hAnsi="Times New Roman" w:cs="Times New Roman" w:eastAsia="宋体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Times New Roman" w:hAnsi="Times New Roman" w:cs="Times New Roman" w:eastAsia="宋体"/>
    </w:rPr>
  </w:style>
  <w:style w:type="paragraph" w:styleId="22">
    <w:name w:val="List Continue"/>
    <w:basedOn w:val="1"/>
    <w:unhideWhenUsed/>
    <w:qFormat/>
    <w:uiPriority w:val="99"/>
    <w:pPr>
      <w:ind w:left="360"/>
      <w:contextualSpacing/>
    </w:pPr>
    <w:rPr>
      <w:rFonts w:ascii="Times New Roman" w:hAnsi="Times New Roman" w:cs="Times New Roman" w:eastAsia="宋体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Times New Roman" w:hAnsi="Times New Roman" w:cs="Times New Roman" w:eastAsia="宋体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宋体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宋体"/>
    </w:rPr>
  </w:style>
  <w:style w:type="paragraph" w:styleId="26">
    <w:name w:val="Subtitle"/>
    <w:basedOn w:val="1"/>
    <w:next w:val="1"/>
    <w:link w:val="142"/>
    <w:qFormat/>
    <w:uiPriority w:val="11"/>
    <w:rPr>
      <w:rFonts w:ascii="Times New Roman" w:hAnsi="Times New Roman" w:cs="Times New Roman" w:eastAsia="宋体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ascii="Times New Roman" w:hAnsi="Times New Roman" w:cs="Times New Roman" w:eastAsia="宋体"/>
    </w:rPr>
  </w:style>
  <w:style w:type="paragraph" w:styleId="28">
    <w:name w:val="Body Text 2"/>
    <w:basedOn w:val="1"/>
    <w:link w:val="145"/>
    <w:unhideWhenUsed/>
    <w:uiPriority w:val="99"/>
    <w:pPr>
      <w:spacing w:line="480" w:lineRule="auto"/>
    </w:pPr>
    <w:rPr>
      <w:rFonts w:ascii="Times New Roman" w:hAnsi="Times New Roman" w:cs="Times New Roman" w:eastAsia="宋体"/>
    </w:rPr>
  </w:style>
  <w:style w:type="paragraph" w:styleId="29">
    <w:name w:val="List Continue 2"/>
    <w:basedOn w:val="1"/>
    <w:unhideWhenUsed/>
    <w:qFormat/>
    <w:uiPriority w:val="99"/>
    <w:pPr>
      <w:ind w:left="720"/>
      <w:contextualSpacing/>
    </w:pPr>
    <w:rPr>
      <w:rFonts w:ascii="Times New Roman" w:hAnsi="Times New Roman" w:cs="Times New Roman" w:eastAsia="宋体"/>
    </w:rPr>
  </w:style>
  <w:style w:type="paragraph" w:styleId="30">
    <w:name w:val="List Continue 3"/>
    <w:basedOn w:val="1"/>
    <w:unhideWhenUsed/>
    <w:qFormat/>
    <w:uiPriority w:val="99"/>
    <w:pPr>
      <w:ind w:left="1080"/>
      <w:contextualSpacing/>
    </w:pPr>
    <w:rPr>
      <w:rFonts w:ascii="Times New Roman" w:hAnsi="Times New Roman" w:cs="Times New Roman" w:eastAsia="宋体"/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Times New Roman" w:hAnsi="Times New Roman" w:cs="Times New Roman" w:eastAsia="宋体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rPr>
      <w:rFonts w:ascii="Times New Roman" w:hAnsi="Times New Roman" w:eastAsia="宋体" w:cs="Times New Roman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rPr>
      <w:rFonts w:ascii="Times New Roman" w:hAnsi="Times New Roman" w:eastAsia="宋体" w:cs="Times New Roman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rPr>
      <w:rFonts w:ascii="Times New Roman" w:hAnsi="Times New Roman" w:eastAsia="宋体" w:cs="Times New Roman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rPr>
      <w:rFonts w:ascii="Times New Roman" w:hAnsi="Times New Roman" w:eastAsia="宋体" w:cs="Times New Roman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rPr>
      <w:rFonts w:ascii="Times New Roman" w:hAnsi="Times New Roman" w:eastAsia="宋体" w:cs="Times New Roman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rPr>
      <w:rFonts w:ascii="Times New Roman" w:hAnsi="Times New Roman" w:eastAsia="宋体" w:cs="Times New Roman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rPr>
      <w:rFonts w:ascii="Times New Roman" w:hAnsi="Times New Roman" w:eastAsia="宋体" w:cs="Times New Roman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rPr>
      <w:rFonts w:ascii="Times New Roman" w:hAnsi="Times New Roman" w:eastAsia="宋体" w:cs="Times New Roman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rPr>
      <w:rFonts w:ascii="Times New Roman" w:hAnsi="Times New Roman" w:eastAsia="宋体" w:cs="Times New Roman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rPr>
      <w:rFonts w:ascii="Times New Roman" w:hAnsi="Times New Roman" w:eastAsia="宋体" w:cs="Times New Roman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rPr>
      <w:rFonts w:ascii="Times New Roman" w:hAnsi="Times New Roman" w:eastAsia="宋体" w:cs="Times New Roman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rPr>
      <w:rFonts w:ascii="Times New Roman" w:hAnsi="Times New Roman" w:eastAsia="宋体" w:cs="Times New Roman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rPr>
      <w:rFonts w:ascii="Times New Roman" w:hAnsi="Times New Roman" w:eastAsia="宋体" w:cs="Times New Roman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rPr>
      <w:rFonts w:ascii="Times New Roman" w:hAnsi="Times New Roman" w:eastAsia="宋体" w:cs="Times New Roman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rPr>
      <w:rFonts w:ascii="Times New Roman" w:hAnsi="Times New Roman" w:eastAsia="宋体" w:cs="Times New Roman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rPr>
      <w:rFonts w:ascii="Times New Roman" w:hAnsi="Times New Roman" w:eastAsia="宋体" w:cs="Times New Roman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rPr>
      <w:rFonts w:ascii="Times New Roman" w:hAnsi="Times New Roman" w:eastAsia="宋体" w:cs="Times New Roman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rPr>
      <w:rFonts w:ascii="Times New Roman" w:hAnsi="Times New Roman" w:eastAsia="宋体" w:cs="Times New Roman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rPr>
      <w:rFonts w:ascii="Times New Roman" w:hAnsi="Times New Roman" w:eastAsia="宋体" w:cs="Times New Roman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rPr>
      <w:rFonts w:ascii="Times New Roman" w:hAnsi="Times New Roman" w:eastAsia="宋体" w:cs="Times New Roman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rPr>
      <w:rFonts w:ascii="Times New Roman" w:hAnsi="Times New Roman" w:eastAsia="宋体" w:cs="Times New Roman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rPr>
      <w:rFonts w:ascii="Times New Roman" w:hAnsi="Times New Roman" w:eastAsia="宋体" w:cs="Times New Roman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rPr>
      <w:rFonts w:ascii="Times New Roman" w:hAnsi="Times New Roman" w:eastAsia="宋体" w:cs="Times New Roman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rPr>
      <w:rFonts w:ascii="Times New Roman" w:hAnsi="Times New Roman" w:eastAsia="宋体" w:cs="Times New Roman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rPr>
      <w:rFonts w:ascii="Times New Roman" w:hAnsi="Times New Roman" w:eastAsia="宋体" w:cs="Times New Roman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rPr>
      <w:rFonts w:ascii="Times New Roman" w:hAnsi="Times New Roman" w:eastAsia="宋体" w:cs="Times New Roman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rPr>
      <w:rFonts w:ascii="Times New Roman" w:hAnsi="Times New Roman" w:eastAsia="宋体" w:cs="Times New Roman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rPr>
      <w:rFonts w:ascii="Times New Roman" w:hAnsi="Times New Roman" w:eastAsia="宋体" w:cs="Times New Roman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rPr>
      <w:rFonts w:ascii="Times New Roman" w:hAnsi="Times New Roman" w:cs="Times New Roman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rPr>
      <w:rFonts w:ascii="Times New Roman" w:hAnsi="Times New Roman" w:cs="Times New Roman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rPr>
      <w:rFonts w:ascii="Times New Roman" w:hAnsi="Times New Roman" w:cs="Times New Roman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rPr>
      <w:rFonts w:ascii="Times New Roman" w:hAnsi="Times New Roman" w:cs="Times New Roman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rPr>
      <w:rFonts w:ascii="Times New Roman" w:hAnsi="Times New Roman" w:cs="Times New Roman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rPr>
      <w:rFonts w:ascii="Times New Roman" w:hAnsi="Times New Roman" w:cs="Times New Roman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rPr>
      <w:rFonts w:ascii="Times New Roman" w:hAnsi="Times New Roman" w:cs="Times New Roman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rPr>
      <w:rFonts w:ascii="Times New Roman" w:hAnsi="Times New Roman" w:eastAsia="宋体" w:cs="Times New Roman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rPr>
      <w:rFonts w:ascii="Times New Roman" w:hAnsi="Times New Roman" w:eastAsia="宋体" w:cs="Times New Roman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rPr>
      <w:rFonts w:ascii="Times New Roman" w:hAnsi="Times New Roman" w:eastAsia="宋体" w:cs="Times New Roman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rPr>
      <w:rFonts w:ascii="Times New Roman" w:hAnsi="Times New Roman" w:eastAsia="宋体" w:cs="Times New Roman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rPr>
      <w:rFonts w:ascii="Times New Roman" w:hAnsi="Times New Roman" w:eastAsia="宋体" w:cs="Times New Roman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rPr>
      <w:rFonts w:ascii="Times New Roman" w:hAnsi="Times New Roman" w:eastAsia="宋体" w:cs="Times New Roman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rPr>
      <w:rFonts w:ascii="Times New Roman" w:hAnsi="Times New Roman" w:eastAsia="宋体" w:cs="Times New Roman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rPr>
      <w:rFonts w:ascii="Times New Roman" w:hAnsi="Times New Roman" w:cs="Times New Roman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rPr>
      <w:rFonts w:ascii="Times New Roman" w:hAnsi="Times New Roman" w:cs="Times New Roman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rPr>
      <w:rFonts w:ascii="Times New Roman" w:hAnsi="Times New Roman" w:cs="Times New Roman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rPr>
      <w:rFonts w:ascii="Times New Roman" w:hAnsi="Times New Roman" w:cs="Times New Roman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rPr>
      <w:rFonts w:ascii="Times New Roman" w:hAnsi="Times New Roman" w:cs="Times New Roman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rPr>
      <w:rFonts w:ascii="Times New Roman" w:hAnsi="Times New Roman" w:cs="Times New Roman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rPr>
      <w:rFonts w:ascii="Times New Roman" w:hAnsi="Times New Roman" w:cs="Times New Roman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Times New Roman" w:hAnsi="Times New Roman" w:eastAsia="宋体" w:cs="Times New Roman"/>
      <w:b/>
      <w:bCs/>
    </w:rPr>
  </w:style>
  <w:style w:type="character" w:styleId="134">
    <w:name w:val="Emphasis"/>
    <w:basedOn w:val="132"/>
    <w:qFormat/>
    <w:uiPriority w:val="20"/>
    <w:rPr>
      <w:rFonts w:ascii="Times New Roman" w:hAnsi="Times New Roman" w:eastAsia="宋体" w:cs="Times New Roman"/>
      <w:i/>
      <w:iCs/>
    </w:rPr>
  </w:style>
  <w:style w:type="character" w:customStyle="1" w:styleId="135">
    <w:name w:val="页眉 字符"/>
    <w:basedOn w:val="132"/>
    <w:link w:val="25"/>
    <w:qFormat/>
    <w:uiPriority w:val="99"/>
    <w:rPr>
      <w:rFonts w:ascii="Times New Roman" w:hAnsi="Times New Roman" w:eastAsia="宋体" w:cs="Times New Roman"/>
    </w:rPr>
  </w:style>
  <w:style w:type="character" w:customStyle="1" w:styleId="136">
    <w:name w:val="页脚 字符"/>
    <w:basedOn w:val="132"/>
    <w:link w:val="24"/>
    <w:qFormat/>
    <w:uiPriority w:val="99"/>
    <w:rPr>
      <w:rFonts w:ascii="Times New Roman" w:hAnsi="Times New Roman" w:eastAsia="宋体" w:cs="Times New Roman"/>
    </w:rPr>
  </w:style>
  <w:style w:type="paragraph" w:styleId="137">
    <w:name w:val="No Spacing"/>
    <w:qFormat/>
    <w:uiPriority w:val="1"/>
    <w:rPr>
      <w:rFonts w:ascii="Times New Roman" w:hAnsi="Times New Roman" w:eastAsia="宋体" w:cs="Times New Roman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="Times New Roman" w:hAnsi="Times New Roman" w:cs="Times New Roman" w:eastAsia="宋体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="Times New Roman" w:hAnsi="Times New Roman" w:cs="Times New Roman" w:eastAsia="宋体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="Times New Roman" w:hAnsi="Times New Roman" w:cs="Times New Roman" w:eastAsia="宋体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="Times New Roman" w:hAnsi="Times New Roman" w:cs="Times New Roman" w:eastAsia="宋体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="Times New Roman" w:hAnsi="Times New Roman" w:cs="Times New Roman" w:eastAsia="宋体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Times New Roman" w:hAnsi="Times New Roman" w:cs="Times New Roman" w:eastAsia="宋体"/>
    </w:rPr>
  </w:style>
  <w:style w:type="character" w:customStyle="1" w:styleId="144">
    <w:name w:val="正文文本 字符"/>
    <w:basedOn w:val="132"/>
    <w:link w:val="19"/>
    <w:uiPriority w:val="99"/>
    <w:rPr>
      <w:rFonts w:ascii="Times New Roman" w:hAnsi="Times New Roman" w:eastAsia="宋体" w:cs="Times New Roman"/>
    </w:rPr>
  </w:style>
  <w:style w:type="character" w:customStyle="1" w:styleId="145">
    <w:name w:val="正文文本 2 字符"/>
    <w:basedOn w:val="132"/>
    <w:link w:val="28"/>
    <w:qFormat/>
    <w:uiPriority w:val="99"/>
    <w:rPr>
      <w:rFonts w:ascii="Times New Roman" w:hAnsi="Times New Roman" w:eastAsia="宋体" w:cs="Times New Roman"/>
    </w:rPr>
  </w:style>
  <w:style w:type="character" w:customStyle="1" w:styleId="146">
    <w:name w:val="正文文本 3 字符"/>
    <w:basedOn w:val="132"/>
    <w:link w:val="17"/>
    <w:qFormat/>
    <w:uiPriority w:val="99"/>
    <w:rPr>
      <w:rFonts w:ascii="Times New Roman" w:hAnsi="Times New Roman" w:eastAsia="宋体" w:cs="Times New Roman"/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Times New Roman" w:hAnsi="Times New Roman" w:eastAsia="宋体" w:cs="Times New Roman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Times New Roman" w:hAnsi="Times New Roman" w:cs="Times New Roman" w:eastAsia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rFonts w:ascii="Times New Roman" w:hAnsi="Times New Roman" w:eastAsia="宋体" w:cs="Times New Roman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="Times New Roman" w:hAnsi="Times New Roman" w:cs="Times New Roman"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="Times New Roman" w:hAnsi="Times New Roman" w:cs="Times New Roman" w:eastAsia="宋体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="Times New Roman" w:hAnsi="Times New Roman" w:cs="Times New Roman" w:eastAsia="宋体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="Times New Roman" w:hAnsi="Times New Roman" w:cs="Times New Roman" w:eastAsia="宋体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="Times New Roman" w:hAnsi="Times New Roman" w:cs="Times New Roman" w:eastAsia="宋体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="Times New Roman" w:hAnsi="Times New Roman" w:cs="Times New Roman" w:eastAsia="宋体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Times New Roman" w:hAnsi="Times New Roman" w:cs="Times New Roman"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不明显强调1"/>
    <w:basedOn w:val="132"/>
    <w:qFormat/>
    <w:uiPriority w:val="19"/>
    <w:rPr>
      <w:rFonts w:ascii="Times New Roman" w:hAnsi="Times New Roman" w:eastAsia="宋体" w:cs="Times New Roman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明显强调1"/>
    <w:basedOn w:val="132"/>
    <w:qFormat/>
    <w:uiPriority w:val="21"/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参考1"/>
    <w:basedOn w:val="132"/>
    <w:qFormat/>
    <w:uiPriority w:val="31"/>
    <w:rPr>
      <w:rFonts w:ascii="Times New Roman" w:hAnsi="Times New Roman" w:eastAsia="宋体" w:cs="Times New Roman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明显参考1"/>
    <w:basedOn w:val="132"/>
    <w:qFormat/>
    <w:uiPriority w:val="32"/>
    <w:rPr>
      <w:rFonts w:ascii="Times New Roman" w:hAnsi="Times New Roman" w:eastAsia="宋体" w:cs="Times New Roman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书籍标题1"/>
    <w:basedOn w:val="132"/>
    <w:qFormat/>
    <w:uiPriority w:val="33"/>
    <w:rPr>
      <w:rFonts w:ascii="Times New Roman" w:hAnsi="Times New Roman" w:eastAsia="宋体" w:cs="Times New Roman"/>
      <w:b/>
      <w:bCs/>
      <w:smallCaps/>
      <w:spacing w:val="5"/>
    </w:rPr>
  </w:style>
  <w:style w:type="paragraph" w:customStyle="1" w:styleId="163">
    <w:name w:val="TOC 标题1"/>
    <w:basedOn w:val="3"/>
    <w:next w:val="1"/>
    <w:semiHidden/>
    <w:unhideWhenUsed/>
    <w:qFormat/>
    <w:uiPriority w:val="39"/>
    <w:pPr>
      <w:outlineLvl w:val="9"/>
    </w:pPr>
    <w:rPr>
      <w:rFonts w:ascii="Times New Roman" w:hAnsi="Times New Roman" w:eastAsia="宋体" w:cs="Times New Roman"/>
    </w:rPr>
  </w:style>
  <w:style w:type="paragraph" w:customStyle="1" w:styleId="164">
    <w:name w:val="Equation"/>
    <w:qFormat/>
    <w:uiPriority w:val="0"/>
    <w:pPr>
      <w:keepLines/>
      <w:spacing w:before="100" w:after="160" w:line="276" w:lineRule="auto"/>
      <w:jc w:val="center"/>
    </w:pPr>
    <w:rPr>
      <w:rFonts w:ascii="Times New Roman" w:hAnsi="Times New Roman" w:eastAsia="宋体" w:cs="Times New Roman"/>
      <w:color w:val="1F4D78"/>
      <w:sz w:val="21"/>
      <w:szCs w:val="22"/>
      <w:lang w:val="en-US" w:eastAsia="en-US" w:bidi="ar-SA"/>
    </w:rPr>
  </w:style>
  <w:style w:type="paragraph" w:customStyle="1" w:styleId="165">
    <w:name w:val="Source Code"/>
    <w:basedOn w:val="1"/>
    <w:qFormat/>
    <w:uiPriority w:val="0"/>
    <w:pPr>
      <w:wordWrap w:val="0"/>
    </w:pPr>
    <w:rPr>
      <w:rFonts w:ascii="Times New Roman" w:hAnsi="Times New Roman" w:cs="Times New Roman" w:eastAsia="宋体"/>
    </w:rPr>
  </w:style>
  <w:style w:type="character" w:customStyle="1" w:styleId="166">
    <w:name w:val="KeywordTok"/>
    <w:qFormat/>
    <w:uiPriority w:val="0"/>
    <w:rPr>
      <w:rFonts w:ascii="Times New Roman" w:hAnsi="Times New Roman" w:eastAsia="宋体" w:cs="Times New Roman"/>
      <w:b/>
      <w:color w:val="007020"/>
    </w:rPr>
  </w:style>
  <w:style w:type="character" w:customStyle="1" w:styleId="167">
    <w:name w:val="DataTypeTok"/>
    <w:qFormat/>
    <w:uiPriority w:val="0"/>
    <w:rPr>
      <w:rFonts w:ascii="Times New Roman" w:hAnsi="Times New Roman" w:eastAsia="宋体" w:cs="Times New Roman"/>
      <w:color w:val="902000"/>
    </w:rPr>
  </w:style>
  <w:style w:type="character" w:customStyle="1" w:styleId="168">
    <w:name w:val="DecValTok"/>
    <w:qFormat/>
    <w:uiPriority w:val="0"/>
    <w:rPr>
      <w:rFonts w:ascii="Times New Roman" w:hAnsi="Times New Roman" w:eastAsia="宋体" w:cs="Times New Roman"/>
      <w:color w:val="40A070"/>
    </w:rPr>
  </w:style>
  <w:style w:type="character" w:customStyle="1" w:styleId="169">
    <w:name w:val="BaseNTok"/>
    <w:qFormat/>
    <w:uiPriority w:val="0"/>
    <w:rPr>
      <w:rFonts w:ascii="Times New Roman" w:hAnsi="Times New Roman" w:eastAsia="宋体" w:cs="Times New Roman"/>
      <w:color w:val="40A070"/>
    </w:rPr>
  </w:style>
  <w:style w:type="character" w:customStyle="1" w:styleId="170">
    <w:name w:val="FloatTok"/>
    <w:qFormat/>
    <w:uiPriority w:val="0"/>
    <w:rPr>
      <w:rFonts w:ascii="Times New Roman" w:hAnsi="Times New Roman" w:eastAsia="宋体" w:cs="Times New Roman"/>
      <w:color w:val="40A070"/>
    </w:rPr>
  </w:style>
  <w:style w:type="character" w:customStyle="1" w:styleId="171">
    <w:name w:val="ConstantTok"/>
    <w:qFormat/>
    <w:uiPriority w:val="0"/>
    <w:rPr>
      <w:rFonts w:ascii="Times New Roman" w:hAnsi="Times New Roman" w:eastAsia="宋体" w:cs="Times New Roman"/>
      <w:color w:val="880000"/>
    </w:rPr>
  </w:style>
  <w:style w:type="character" w:customStyle="1" w:styleId="172">
    <w:name w:val="CharTok"/>
    <w:qFormat/>
    <w:uiPriority w:val="0"/>
    <w:rPr>
      <w:rFonts w:ascii="Times New Roman" w:hAnsi="Times New Roman" w:eastAsia="宋体" w:cs="Times New Roman"/>
      <w:color w:val="4070A0"/>
    </w:rPr>
  </w:style>
  <w:style w:type="character" w:customStyle="1" w:styleId="173">
    <w:name w:val="SpecialCharTok"/>
    <w:qFormat/>
    <w:uiPriority w:val="0"/>
    <w:rPr>
      <w:rFonts w:ascii="Times New Roman" w:hAnsi="Times New Roman" w:eastAsia="宋体" w:cs="Times New Roman"/>
      <w:color w:val="4070A0"/>
    </w:rPr>
  </w:style>
  <w:style w:type="character" w:customStyle="1" w:styleId="174">
    <w:name w:val="StringTok"/>
    <w:qFormat/>
    <w:uiPriority w:val="0"/>
    <w:rPr>
      <w:rFonts w:ascii="Times New Roman" w:hAnsi="Times New Roman" w:eastAsia="宋体" w:cs="Times New Roman"/>
      <w:color w:val="4070A0"/>
    </w:rPr>
  </w:style>
  <w:style w:type="character" w:customStyle="1" w:styleId="175">
    <w:name w:val="VerbatimStringTok"/>
    <w:qFormat/>
    <w:uiPriority w:val="0"/>
    <w:rPr>
      <w:rFonts w:ascii="Times New Roman" w:hAnsi="Times New Roman" w:eastAsia="宋体" w:cs="Times New Roman"/>
      <w:color w:val="4070A0"/>
    </w:rPr>
  </w:style>
  <w:style w:type="character" w:customStyle="1" w:styleId="176">
    <w:name w:val="SpecialStringTok"/>
    <w:qFormat/>
    <w:uiPriority w:val="0"/>
    <w:rPr>
      <w:rFonts w:ascii="Times New Roman" w:hAnsi="Times New Roman" w:eastAsia="宋体" w:cs="Times New Roman"/>
      <w:color w:val="BB6688"/>
    </w:rPr>
  </w:style>
  <w:style w:type="character" w:customStyle="1" w:styleId="177">
    <w:name w:val="ImportTok"/>
    <w:qFormat/>
    <w:uiPriority w:val="0"/>
    <w:rPr>
      <w:rFonts w:ascii="Times New Roman" w:hAnsi="Times New Roman" w:eastAsia="宋体" w:cs="Times New Roman"/>
      <w:b/>
      <w:color w:val="008000"/>
    </w:rPr>
  </w:style>
  <w:style w:type="character" w:customStyle="1" w:styleId="178">
    <w:name w:val="CommentTok"/>
    <w:qFormat/>
    <w:uiPriority w:val="0"/>
    <w:rPr>
      <w:rFonts w:ascii="Times New Roman" w:hAnsi="Times New Roman" w:eastAsia="宋体" w:cs="Times New Roman"/>
      <w:i/>
      <w:color w:val="60A0B0"/>
    </w:rPr>
  </w:style>
  <w:style w:type="character" w:customStyle="1" w:styleId="179">
    <w:name w:val="DocumentationTok"/>
    <w:qFormat/>
    <w:uiPriority w:val="0"/>
    <w:rPr>
      <w:rFonts w:ascii="Times New Roman" w:hAnsi="Times New Roman" w:eastAsia="宋体" w:cs="Times New Roman"/>
      <w:i/>
      <w:color w:val="BA2121"/>
    </w:rPr>
  </w:style>
  <w:style w:type="character" w:customStyle="1" w:styleId="180">
    <w:name w:val="Annotation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81">
    <w:name w:val="CommentVar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82">
    <w:name w:val="OtherTok"/>
    <w:qFormat/>
    <w:uiPriority w:val="0"/>
    <w:rPr>
      <w:rFonts w:ascii="Times New Roman" w:hAnsi="Times New Roman" w:eastAsia="宋体" w:cs="Times New Roman"/>
      <w:color w:val="007020"/>
    </w:rPr>
  </w:style>
  <w:style w:type="character" w:customStyle="1" w:styleId="183">
    <w:name w:val="FunctionTok"/>
    <w:qFormat/>
    <w:uiPriority w:val="0"/>
    <w:rPr>
      <w:rFonts w:ascii="Times New Roman" w:hAnsi="Times New Roman" w:eastAsia="宋体" w:cs="Times New Roman"/>
      <w:color w:val="06287E"/>
    </w:rPr>
  </w:style>
  <w:style w:type="character" w:customStyle="1" w:styleId="184">
    <w:name w:val="VariableTok"/>
    <w:qFormat/>
    <w:uiPriority w:val="0"/>
    <w:rPr>
      <w:rFonts w:ascii="Times New Roman" w:hAnsi="Times New Roman" w:eastAsia="宋体" w:cs="Times New Roman"/>
      <w:color w:val="19177C"/>
    </w:rPr>
  </w:style>
  <w:style w:type="character" w:customStyle="1" w:styleId="185">
    <w:name w:val="ControlFlowTok"/>
    <w:qFormat/>
    <w:uiPriority w:val="0"/>
    <w:rPr>
      <w:rFonts w:ascii="Times New Roman" w:hAnsi="Times New Roman" w:eastAsia="宋体" w:cs="Times New Roman"/>
      <w:b/>
      <w:color w:val="007020"/>
    </w:rPr>
  </w:style>
  <w:style w:type="character" w:customStyle="1" w:styleId="186">
    <w:name w:val="OperatorTok"/>
    <w:qFormat/>
    <w:uiPriority w:val="0"/>
    <w:rPr>
      <w:rFonts w:ascii="Times New Roman" w:hAnsi="Times New Roman" w:eastAsia="宋体" w:cs="Times New Roman"/>
      <w:color w:val="666666"/>
    </w:rPr>
  </w:style>
  <w:style w:type="character" w:customStyle="1" w:styleId="187">
    <w:name w:val="BuiltInTok"/>
    <w:qFormat/>
    <w:uiPriority w:val="0"/>
    <w:rPr>
      <w:rFonts w:ascii="Times New Roman" w:hAnsi="Times New Roman" w:eastAsia="宋体" w:cs="Times New Roman"/>
      <w:color w:val="008000"/>
    </w:rPr>
  </w:style>
  <w:style w:type="character" w:customStyle="1" w:styleId="188">
    <w:name w:val="ExtensionTok"/>
    <w:qFormat/>
    <w:uiPriority w:val="0"/>
    <w:rPr>
      <w:rFonts w:ascii="Times New Roman" w:hAnsi="Times New Roman" w:eastAsia="宋体" w:cs="Times New Roman"/>
    </w:rPr>
  </w:style>
  <w:style w:type="character" w:customStyle="1" w:styleId="189">
    <w:name w:val="PreprocessorTok"/>
    <w:qFormat/>
    <w:uiPriority w:val="0"/>
    <w:rPr>
      <w:rFonts w:ascii="Times New Roman" w:hAnsi="Times New Roman" w:eastAsia="宋体" w:cs="Times New Roman"/>
      <w:color w:val="BC7A00"/>
    </w:rPr>
  </w:style>
  <w:style w:type="character" w:customStyle="1" w:styleId="190">
    <w:name w:val="AttributeTok"/>
    <w:qFormat/>
    <w:uiPriority w:val="0"/>
    <w:rPr>
      <w:rFonts w:ascii="Times New Roman" w:hAnsi="Times New Roman" w:eastAsia="宋体" w:cs="Times New Roman"/>
      <w:color w:val="7D9029"/>
    </w:rPr>
  </w:style>
  <w:style w:type="character" w:customStyle="1" w:styleId="191">
    <w:name w:val="RegionMarkerTok"/>
    <w:qFormat/>
    <w:uiPriority w:val="0"/>
    <w:rPr>
      <w:rFonts w:ascii="Times New Roman" w:hAnsi="Times New Roman" w:eastAsia="宋体" w:cs="Times New Roman"/>
    </w:rPr>
  </w:style>
  <w:style w:type="character" w:customStyle="1" w:styleId="192">
    <w:name w:val="Information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93">
    <w:name w:val="Warning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94">
    <w:name w:val="AlertTok"/>
    <w:qFormat/>
    <w:uiPriority w:val="0"/>
    <w:rPr>
      <w:rFonts w:ascii="Times New Roman" w:hAnsi="Times New Roman" w:eastAsia="宋体" w:cs="Times New Roman"/>
      <w:b/>
      <w:color w:val="FF0000"/>
    </w:rPr>
  </w:style>
  <w:style w:type="character" w:customStyle="1" w:styleId="195">
    <w:name w:val="ErrorTok"/>
    <w:qFormat/>
    <w:uiPriority w:val="0"/>
    <w:rPr>
      <w:rFonts w:ascii="Times New Roman" w:hAnsi="Times New Roman" w:eastAsia="宋体" w:cs="Times New Roman"/>
      <w:b/>
      <w:color w:val="FF0000"/>
    </w:rPr>
  </w:style>
  <w:style w:type="character" w:customStyle="1" w:styleId="196">
    <w:name w:val="NormalTok"/>
    <w:qFormat/>
    <w:uiPriority w:val="0"/>
    <w:rPr>
      <w:rFonts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12436</Words>
  <Characters>21757</Characters>
  <Lines>1254</Lines>
  <Paragraphs>1314</Paragraphs>
  <TotalTime>40</TotalTime>
  <ScaleCrop>false</ScaleCrop>
  <LinksUpToDate>false</LinksUpToDate>
  <CharactersWithSpaces>22126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2026-07-30T14:28:00Z</dcterms:created>
  <dc:creator>李辉</dc:creator>
  <dc:description>符号统一；实验数值、17张表、153行记录和5条对比方法参考文献保持不变。</dc:description>
  <cp:lastModifiedBy>李辉</cp:lastModifiedBy>
  <dcterms:modified xsi:type="dcterms:W3CDTF">2026-08-17T08:55:52Z</dcterms:modified>
  <dc:subject>统一集合、域、状态、概率、prototype和损失记号</dc:subject>
  <dc:title>CVS-RFFI Phase2详细复现报告（符号统一版）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eyJoZGlkIjoiY2VkNGZhNDQ4M2E4NDkzZTUxZGVmZDE0NjVmZmUzMTkiLCJ1c2VySWQiOiIxNjU3Njg2OTA1In0=</vt:lpwstr>
  </property>
  <property fmtid="{D5CDD505-2E9C-101B-9397-08002B2CF9AE}" pid="3" name="KSOProductBuildVer">
    <vt:lpwstr>2052-12.1.0.28022</vt:lpwstr>
  </property>
  <property fmtid="{D5CDD505-2E9C-101B-9397-08002B2CF9AE}" pid="4" name="ICV">
    <vt:lpwstr>A967D93A6B5F4FDDBB02C945A65FE2EA_12</vt:lpwstr>
  </property>
</Properties>
</file>