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pageBreakBefore w:val="0"/>
      </w:pPr>
      <w:r>
        <w:rPr>
          <w:rFonts w:ascii="Times New Roman" w:hAnsi="Times New Roman" w:cs="Times New Roman" w:eastAsia="宋体"/>
          <w:color w:val="1F4E79"/>
        </w:rPr>
        <w:t>1.核心概念与Phase2阶段定位</w:t>
      </w:r>
    </w:p>
    <w:p w14:paraId="67C76557">
      <w:pPr>
        <w:pStyle w:val="4"/>
        <w:keepNext/>
      </w:pPr>
      <w:r>
        <w:rPr>
          <w:rFonts w:ascii="Times New Roman" w:hAnsi="Times New Roman" w:cs="Times New Roman" w:eastAsia="宋体"/>
        </w:rPr>
        <w:t>1.1RFFI任务的三轴谱系</w:t>
      </w:r>
    </w:p>
    <w:p w14:paraId="3736C261">
      <w:r>
        <w:rPr>
          <w:rFonts w:ascii="Times New Roman" w:hAnsi="Times New Roman" w:eastAsia="宋体" w:cs="Times New Roman"/>
          <w:sz w:val="22"/>
        </w:rPr>
        <w:t>为避免把“样本少”“域变化”和“类别逐步增加”混成同一问题，表1从三个相互独立的轴定位RFFI任务：类别轴描述训练、测试及增量阶段的类别关系；域轴描述接收机、信道或采集条件是否变化；时间轴描述任务是否顺序到达，以及更新后的模型状态是否持续保存。</w:t>
      </w:r>
    </w:p>
    <w:p w14:paraId="6BA709E1">
      <w:pPr>
        <w:pStyle w:val="19"/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读表原则：K-shot只描述监督预算，不单独决定任务类型。只有类别轴、域轴和时间轴同时确定后，才能判断一个任务属于闭集低样本分类、FSL、域适应、CIL还是跨域FSCIL。</w:t>
      </w:r>
    </w:p>
    <w:p w14:paraId="2A41BFCD">
      <w:pPr>
        <w:pStyle w:val="19"/>
        <w:keepNext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support，对应跨域单步FSCIL与新类注册，连续执行多个增量session后才构成完整FSCIL；Phase3才扩展到未注册unknown拒识。</w:t>
      </w:r>
    </w:p>
    <w:bookmarkEnd w:id="0"/>
    <w:p w14:paraId="38068436">
      <w:pPr>
        <w:pStyle w:val="4"/>
        <w:keepNext/>
      </w:pPr>
      <w:r>
        <w:rPr>
          <w:rFonts w:ascii="Times New Roman" w:hAnsi="Times New Roman" w:cs="Times New Roman" w:eastAsia="宋体"/>
        </w:rPr>
        <w:t>1.2少样本学习的严格任务定义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bookmarkEnd w:id="2"/>
    <w:p w14:paraId="05CFD8F0">
      <w:pPr>
        <w:pStyle w:val="4"/>
        <w:keepNext/>
      </w:pPr>
      <w:r>
        <w:rPr>
          <w:rFonts w:ascii="Times New Roman" w:hAnsi="Times New Roman" w:cs="Times New Roman" w:eastAsia="宋体"/>
        </w:rPr>
        <w:t>1.3域适应及Stage2-B定位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bookmarkEnd w:id="3"/>
    <w:p w14:paraId="5CB6D9C4">
      <w:pPr>
        <w:pStyle w:val="4"/>
        <w:keepNext/>
      </w:pPr>
      <w:r>
        <w:rPr>
          <w:rFonts w:ascii="Times New Roman" w:hAnsi="Times New Roman" w:cs="Times New Roman" w:eastAsia="宋体"/>
        </w:rPr>
        <w:t>1.4类增量、FSCIL与新类注册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bookmarkEnd w:id="4"/>
    <w:p w14:paraId="1A9932D9">
      <w:pPr>
        <w:pStyle w:val="4"/>
        <w:keepNext/>
      </w:pPr>
      <w:r>
        <w:rPr>
          <w:rFonts w:ascii="Times New Roman" w:hAnsi="Times New Roman" w:cs="Times New Roman" w:eastAsia="宋体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687"/>
        <w:gridCol w:w="768"/>
        <w:gridCol w:w="1825"/>
        <w:gridCol w:w="3607"/>
        <w:gridCol w:w="1844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  <w:tr w14:paraId="587C8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7F8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Phase3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085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07A4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可能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991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unknown无真值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278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开集拒识与开放世界扩展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203B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旧类＋已注册新类＋未注册unknown</w:t>
            </w:r>
          </w:p>
        </w:tc>
      </w:tr>
    </w:tbl>
    <w:p w14:paraId="5DFCBF5A">
      <w:pPr>
        <w:pStyle w:val="19"/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Stage2-A不属于K-shot学习；Stage2-B类别不增加，不是标准novel-class FSL；Stage2-C同时扩大标签空间并要求旧新统一竞争，是少样本类增量任务。</w:t>
      </w:r>
    </w:p>
    <w:bookmarkEnd w:id="5"/>
    <w:p w14:paraId="2D7736A1">
      <w:pPr>
        <w:pStyle w:val="4"/>
        <w:keepNext/>
      </w:pPr>
      <w:r>
        <w:rPr>
          <w:rFonts w:ascii="Times New Roman" w:hAnsi="Times New Roman" w:cs="Times New Roman" w:eastAsia="宋体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C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bookmarkEnd w:id="1"/>
    <w:bookmarkEnd w:id="6"/>
    <w:p w14:paraId="7735C441">
      <w:pPr>
        <w:pStyle w:val="3"/>
        <w:keepNext/>
        <w:pageBreakBefore w:val="0"/>
      </w:pPr>
      <w:bookmarkStart w:id="7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8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 w:cs="Times New Roman"/>
          <w:sz w:val="22"/>
        </w:rPr>
        <w:t>两轮实验统一使用ADV3B02地面域泛化checkpoint，避免backbone差异干扰方法比较。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</w:tbl>
    <w:p w14:paraId="122DE619">
      <w:pPr>
        <w:pStyle w:val="19"/>
      </w:pPr>
      <w:r>
        <w:rPr>
          <w:rFonts w:ascii="Times New Roman" w:hAnsi="Times New Roman" w:eastAsia="宋体" w:cs="Times New Roman"/>
          <w:sz w:val="22"/>
        </w:rPr>
        <w:t>p2_min_v1主方法不能在Phase2运行时读取clean/raw/source样本、source feature/cache/replay或其他可影响决策的外部source状态。外部论文对比若使用更宽权限，必须单独标注，不能反向证明主方法满足协议。</w:t>
      </w:r>
    </w:p>
    <w:bookmarkEnd w:id="8"/>
    <w:p w14:paraId="560F91F1">
      <w:pPr>
        <w:pStyle w:val="4"/>
        <w:keepNext/>
      </w:pPr>
      <w:r>
        <w:rPr>
          <w:rFonts w:ascii="Times New Roman" w:hAnsi="Times New Roman" w:cs="Times New Roman" w:eastAsia="宋体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2813"/>
        <w:gridCol w:w="2856"/>
        <w:gridCol w:w="1678"/>
        <w:gridCol w:w="1605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 w:eastAsia="宋体"/>
                <w:sz w:val="18"/>
              </w:rPr>
              <w:t>K∈{5,10,20}；新类数按两种方法的周报实验配置展开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 w:eastAsia="宋体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 w:eastAsia="宋体"/>
                <w:sz w:val="18"/>
              </w:rPr>
              <w:t>与周报正式结果按配置配对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 w:eastAsia="宋体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bookmarkEnd w:id="9"/>
    </w:tbl>
    <w:p w14:paraId="3340DDFA">
      <w:pPr>
        <w:pStyle w:val="4"/>
        <w:keepNext/>
      </w:pPr>
      <w:r>
        <w:rPr>
          <w:rFonts w:ascii="Times New Roman" w:hAnsi="Times New Roman" w:cs="Times New Roman" w:eastAsia="宋体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1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分别表示适应/注册前后的预测，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pre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</w:p>
    <w:p w14:paraId="0C7737E3">
      <w:pPr>
        <w:pStyle w:val="5"/>
        <w:keepNext/>
      </w:pPr>
      <w:r>
        <w:rPr>
          <w:rFonts w:ascii="Times New Roman" w:hAnsi="Times New Roman" w:cs="Times New Roman" w:eastAsia="宋体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bookmarkEnd w:id="11"/>
    <w:p w14:paraId="2B192C9A">
      <w:pPr>
        <w:pStyle w:val="5"/>
        <w:keepNext/>
      </w:pPr>
      <w:r>
        <w:rPr>
          <w:rFonts w:ascii="Times New Roman" w:hAnsi="Times New Roman" w:cs="Times New Roman" w:eastAsia="宋体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bookmarkEnd w:id="12"/>
    <w:p w14:paraId="6D693737">
      <w:pPr>
        <w:pStyle w:val="5"/>
        <w:keepNext/>
      </w:pPr>
      <w:r>
        <w:rPr>
          <w:rFonts w:ascii="Times New Roman" w:hAnsi="Times New Roman" w:cs="Times New Roman" w:eastAsia="宋体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bookmarkEnd w:id="10"/>
    <w:bookmarkEnd w:id="13"/>
    <w:p w14:paraId="22804EA8">
      <w:pPr>
        <w:pStyle w:val="4"/>
        <w:keepNext/>
      </w:pPr>
      <w:r>
        <w:rPr>
          <w:rFonts w:ascii="Times New Roman" w:hAnsi="Times New Roman" w:cs="Times New Roman" w:eastAsia="宋体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7"/>
      <w:bookmarkEnd w:id="14"/>
    </w:tbl>
    <w:p w14:paraId="1268748D">
      <w:pPr>
        <w:pStyle w:val="3"/>
        <w:keepNext/>
        <w:pageBreakBefore w:val="0"/>
      </w:pPr>
      <w:bookmarkStart w:id="15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16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 w:cs="Times New Roman"/>
          <w:sz w:val="22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同一ADV3B02地面域泛化checkpoint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16"/>
    </w:tbl>
    <w:p w14:paraId="46104BF3">
      <w:pPr>
        <w:pStyle w:val="4"/>
        <w:keepNext/>
      </w:pPr>
      <w:r>
        <w:rPr>
          <w:rFonts w:ascii="Times New Roman" w:hAnsi="Times New Roman" w:cs="Times New Roman" w:eastAsia="宋体"/>
        </w:rPr>
        <w:t>3.2ProtoNet CDA：原型式K-shot目标域校准基线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加载ADV3B02的160维身份特征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p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p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cs="Times New Roman" w:ascii="Times New Roman" w:hAnsi="Times New Roman" w:eastAsia="宋体"/>
          <w:sz w:val="22"/>
          <w:lang w:val="en-US" w:eastAsia="zh-CN"/>
        </w:rPr>
        <w:t>效果较差。</w:t>
      </w:r>
    </w:p>
    <w:bookmarkEnd w:id="17"/>
    <w:p w14:paraId="161AE093">
      <w:pPr>
        <w:pStyle w:val="4"/>
        <w:keepNext/>
      </w:pPr>
      <w:bookmarkStart w:id="18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Yang等人的MRIOR原本属于单源无监督域适应[2]。CVS版本用真实target-old support标签替代伪标签，形成监督式域适应。其特点是用可学习的DV-KL估计网络对齐source与target，同时更新完整ADV3B02身份backbone。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p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ϵ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ϵ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ADV3B02的外层优化目标为：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18"/>
    <w:p w14:paraId="7D54DB0A">
      <w:pPr>
        <w:pStyle w:val="4"/>
        <w:keepNext/>
      </w:pPr>
      <w:bookmarkStart w:id="19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ss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ϵ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数据与MRIOR-SDA相同；更新完整ADV3B02身份backbone和旧类分类输出。SGD初始学习率为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19"/>
    <w:p w14:paraId="7513F33E">
      <w:pPr>
        <w:pStyle w:val="4"/>
        <w:keepNext/>
      </w:pPr>
      <w:r>
        <w:rPr>
          <w:rFonts w:ascii="Times New Roman" w:hAnsi="Times New Roman" w:cs="Times New Roman" w:eastAsia="宋体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15"/>
      <w:bookmarkEnd w:id="20"/>
    </w:tbl>
    <w:p>
      <w:pPr>
        <w:pStyle w:val="4"/>
        <w:keepNext/>
      </w:pPr>
      <w:r>
        <w:rPr>
          <w:rFonts w:ascii="Times New Roman" w:hAnsi="Times New Roman" w:cs="Times New Roman" w:eastAsia="宋体"/>
        </w:rPr>
        <w:t>3.6对比方法复现实验结果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3.6.1总体性能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>
        <w:trPr>
          <w:tblHeader w:val="true"/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方法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适应后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正/负迁移任务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平均时延</w:t>
            </w:r>
          </w:p>
        </w:tc>
        <w:tc>
          <w:tcPr>
            <w:tcW w:type="dxa" w:w="13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backbone更新</w:t>
            </w:r>
          </w:p>
        </w:tc>
      </w:tr>
      <w:tr>
        <w:trPr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MRIOR-SDA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73.60%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82.58%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+8.98pp</w:t>
            </w:r>
          </w:p>
        </w:tc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105/20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17.90s</w:t>
            </w:r>
          </w:p>
        </w:tc>
        <w:tc>
          <w:tcPr>
            <w:tcW w:type="dxa" w:w="13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600</w:t>
            </w:r>
          </w:p>
        </w:tc>
      </w:tr>
      <w:tr>
        <w:trPr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DADDA-SDA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73.60%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78.35%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+4.75pp</w:t>
            </w:r>
          </w:p>
        </w:tc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99/26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14.62s</w:t>
            </w:r>
          </w:p>
        </w:tc>
        <w:tc>
          <w:tcPr>
            <w:tcW w:type="dxa" w:w="13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600</w:t>
            </w:r>
          </w:p>
        </w:tc>
      </w:tr>
      <w:tr>
        <w:trPr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ProtoNet CDA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73.60%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66.85%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−6.75pp</w:t>
            </w:r>
          </w:p>
        </w:tc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10/115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0.046s</w:t>
            </w:r>
          </w:p>
        </w:tc>
        <w:tc>
          <w:tcPr>
            <w:tcW w:type="dxa" w:w="13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3.6.2不同K-shot下的结果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"/>
        <w:gridCol w:w="2106"/>
        <w:gridCol w:w="2106"/>
        <w:gridCol w:w="2059"/>
        <w:gridCol w:w="215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K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直接ADV3B02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MRIOR-SDA</w:t>
            </w:r>
          </w:p>
        </w:tc>
        <w:tc>
          <w:tcPr>
            <w:tcW w:type="dxa" w:w="20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DADDA-SDA</w:t>
            </w:r>
          </w:p>
        </w:tc>
        <w:tc>
          <w:tcPr>
            <w:tcW w:type="dxa" w:w="21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ProtoNet CDA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73.60%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77.22%</w:t>
            </w:r>
          </w:p>
        </w:tc>
        <w:tc>
          <w:tcPr>
            <w:tcW w:type="dxa" w:w="20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74.94%</w:t>
            </w:r>
          </w:p>
        </w:tc>
        <w:tc>
          <w:tcPr>
            <w:tcW w:type="dxa" w:w="21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58.67%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73.60%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79.51%</w:t>
            </w:r>
          </w:p>
        </w:tc>
        <w:tc>
          <w:tcPr>
            <w:tcW w:type="dxa" w:w="20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76.14%</w:t>
            </w:r>
          </w:p>
        </w:tc>
        <w:tc>
          <w:tcPr>
            <w:tcW w:type="dxa" w:w="21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64.70%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73.60%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82.59%</w:t>
            </w:r>
          </w:p>
        </w:tc>
        <w:tc>
          <w:tcPr>
            <w:tcW w:type="dxa" w:w="20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78.19%</w:t>
            </w:r>
          </w:p>
        </w:tc>
        <w:tc>
          <w:tcPr>
            <w:tcW w:type="dxa" w:w="21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68.98%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73.60%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85.82%</w:t>
            </w:r>
          </w:p>
        </w:tc>
        <w:tc>
          <w:tcPr>
            <w:tcW w:type="dxa" w:w="20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80.31%</w:t>
            </w:r>
          </w:p>
        </w:tc>
        <w:tc>
          <w:tcPr>
            <w:tcW w:type="dxa" w:w="21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70.42%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20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73.60%</w:t>
            </w:r>
          </w:p>
        </w:tc>
        <w:tc>
          <w:tcPr>
            <w:tcW w:type="dxa" w:w="21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87.74%</w:t>
            </w:r>
          </w:p>
        </w:tc>
        <w:tc>
          <w:tcPr>
            <w:tcW w:type="dxa" w:w="205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82.16%</w:t>
            </w:r>
          </w:p>
        </w:tc>
        <w:tc>
          <w:tcPr>
            <w:tcW w:type="dxa" w:w="215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71.48%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K从1增加到20时，MRIOR-SDA与DADDA-SDA持续受益，说明更多target support提高了梯度估计和类条件分布估计的稳定性。ProtoNet CDA也随K增加而改善，但K=20时仍低于直接ADV3B02。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3.6.3不同target receiver下的结果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84"/>
        <w:gridCol w:w="1918"/>
        <w:gridCol w:w="1918"/>
        <w:gridCol w:w="1918"/>
        <w:gridCol w:w="1922"/>
      </w:tblGrid>
      <w:tr>
        <w:trPr>
          <w:tblHeader w:val="true"/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target receiver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直接ADV3B02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MRIOR-SDA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DADDA-SDA</w:t>
            </w:r>
          </w:p>
        </w:tc>
        <w:tc>
          <w:tcPr>
            <w:tcW w:type="dxa" w:w="192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7"/>
              </w:rPr>
              <w:t>ProtoNet CDA</w:t>
            </w:r>
          </w:p>
        </w:tc>
      </w:tr>
      <w:tr>
        <w:trPr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20-1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64.61%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83.43%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75.91%</w:t>
            </w:r>
          </w:p>
        </w:tc>
        <w:tc>
          <w:tcPr>
            <w:tcW w:type="dxa" w:w="192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60.98%</w:t>
            </w:r>
          </w:p>
        </w:tc>
      </w:tr>
      <w:tr>
        <w:trPr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3-19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60.33%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69.06%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65.31%</w:t>
            </w:r>
          </w:p>
        </w:tc>
        <w:tc>
          <w:tcPr>
            <w:tcW w:type="dxa" w:w="192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48.50%</w:t>
            </w:r>
          </w:p>
        </w:tc>
      </w:tr>
      <w:tr>
        <w:trPr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7-14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90.06%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89.93%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89.93%</w:t>
            </w:r>
          </w:p>
        </w:tc>
        <w:tc>
          <w:tcPr>
            <w:tcW w:type="dxa" w:w="192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83.53%</w:t>
            </w:r>
          </w:p>
        </w:tc>
      </w:tr>
      <w:tr>
        <w:trPr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7-7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80.22%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86.78%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82.49%</w:t>
            </w:r>
          </w:p>
        </w:tc>
        <w:tc>
          <w:tcPr>
            <w:tcW w:type="dxa" w:w="192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74.81%</w:t>
            </w:r>
          </w:p>
        </w:tc>
      </w:tr>
      <w:tr>
        <w:trPr>
          <w:cantSplit/>
        </w:trPr>
        <w:tc>
          <w:tcPr>
            <w:tcW w:type="dxa" w:w="16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8-8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72.78%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83.69%</w:t>
            </w:r>
          </w:p>
        </w:tc>
        <w:tc>
          <w:tcPr>
            <w:tcW w:type="dxa" w:w="19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78.10%</w:t>
            </w:r>
          </w:p>
        </w:tc>
        <w:tc>
          <w:tcPr>
            <w:tcW w:type="dxa" w:w="192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7"/>
              </w:rPr>
              <w:t>66.42%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3.6.4结果边界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</w:t>
      </w:r>
    </w:p>
    <w:p w14:paraId="25988F7C">
      <w:pPr>
        <w:pStyle w:val="3"/>
        <w:keepNext/>
        <w:pageBreakBefore w:val="0"/>
      </w:pPr>
      <w:bookmarkStart w:id="21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22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 w14:paraId="0572DD72">
      <w:r>
        <w:rPr>
          <w:rFonts w:ascii="Times New Roman" w:hAnsi="Times New Roman" w:eastAsia="宋体" w:cs="Times New Roman"/>
          <w:sz w:val="22"/>
        </w:rPr>
        <w:t>Stage2-C在同一target receiver中注册新类，并要求旧类与新类在同一输出空间统一竞争，因此它是跨域FSCIL。本轮每个cell只执行一次新类集合注册，编码器接口替换为ADV3B02的160维，其余训练器、损失和更新范围按官方实现保留。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807"/>
        <w:gridCol w:w="321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 w:eastAsia="宋体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 w:eastAsia="宋体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22"/>
    <w:p w14:paraId="2965CDD7">
      <w:pPr>
        <w:pStyle w:val="4"/>
        <w:keepNext/>
      </w:pPr>
      <w:bookmarkStart w:id="23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Liu等人提出的CSIL属于无exemplar、结构扩展型类增量方法[4]。其特点是冻结ADV3B02 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进入Phase2前，5879条source样本训练fc_bf_fp→zero-bias Fingerprints基座，2521条互斥source样本估计Fisher。Phase2只用target-new support训练；ADV3B02冻结，fc只更新新增行和bias，fingerprint只允许old-old与new-new块更新，两个交叉块保持为0。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q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0.01t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23"/>
    <w:p w14:paraId="20EDCCBB">
      <w:pPr>
        <w:pStyle w:val="4"/>
        <w:keepNext/>
      </w:pPr>
      <w:bookmarkStart w:id="24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Li等人提出的MoPC-HR属于无exemplar、prototype校正型类增量方法[5]。其特点是允许完整ADV3B02随新类support更新，同时用旧prototype伪特征和分层参数正则限制遗忘。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。ADV3B02 backbone和Linear classifier均更新。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ϵ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τ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τ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ℓ−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L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ℓ=</m:t>
              </m:r>
              <m:r>
                <m:rPr/>
                <m:t>1</m:t>
              </m:r>
            </m:sub>
            <m:sup>
              <m:r>
                <m:rPr/>
                <m:t>L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24"/>
    <w:p w14:paraId="48787FDB">
      <w:pPr>
        <w:pStyle w:val="4"/>
        <w:keepNext/>
      </w:pPr>
      <w:bookmarkStart w:id="25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ADV3B02增量更新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25"/>
    </w:tbl>
    <w:p w14:paraId="2FA595CC">
      <w:pPr>
        <w:pStyle w:val="4"/>
        <w:keepNext/>
      </w:pPr>
      <w:r>
        <w:rPr>
          <w:rFonts w:ascii="Times New Roman" w:hAnsi="Times New Roman" w:cs="Times New Roman" w:eastAsia="宋体"/>
        </w:rPr>
        <w:t>4.5正式LEO弱信道逐配置结果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4.5.1逐配置结果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下表直接采用《学习进展情况+7.24》中的正式LEO结果，按K-shot、方法和新类数逐项展开。旧类与新类query只用于冻结后评价；表内数值保持周报原口径，不再汇总为跨条件总均值，也不跨行拼接“最佳指标”。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42"/>
        <w:gridCol w:w="1310"/>
        <w:gridCol w:w="936"/>
        <w:gridCol w:w="1591"/>
        <w:gridCol w:w="1591"/>
        <w:gridCol w:w="1591"/>
        <w:gridCol w:w="1499"/>
      </w:tblGrid>
      <w:tr>
        <w:trPr>
          <w:tblHeader w:val="true"/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K-shot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方法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新类数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83.70%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83.70%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0.78%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0.54%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82.92%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87.47%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87.47%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0.02%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0.04%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77.44%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25.65%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37.97%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10.02%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63.80%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22.08%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32.30%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23.67%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58.73%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14.82%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23.43%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28.73%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83.70%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83.70%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8.33%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5.49%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3.17%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75.37%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87.47%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66.78%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50.40%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56.78%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20.69%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47.38%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50.52%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48.05%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40.09%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44.69%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33.15%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37.57%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42.78%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44.99%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22.31%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29.32%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42.48%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83.70%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34.04%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0.14%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83.62%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59.84%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5.64%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9.96%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23.86%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60.76%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96.53%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72.69%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26.71%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48.96%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71.47%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57.23%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38.51%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33.28%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61.31%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41.09%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54.19%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34.07%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41.36%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35.48%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53.40%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36.66%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27.86%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30.23%</w:t>
            </w:r>
          </w:p>
        </w:tc>
        <w:tc>
          <w:tcPr>
            <w:tcW w:type="dxa" w:w="14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50.81%</w:t>
            </w:r>
          </w:p>
        </w:tc>
      </w:tr>
    </w:tbl>
    <w:p>
      <w:pPr>
        <w:pStyle w:val="5"/>
        <w:keepNext/>
      </w:pPr>
      <w:r>
        <w:rPr>
          <w:rFonts w:ascii="Times New Roman" w:hAnsi="Times New Roman" w:cs="Times New Roman" w:eastAsia="宋体"/>
        </w:rPr>
        <w:t>4.5.2主要现象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  <w:b/>
          <w:color w:val="C00000"/>
        </w:rPr>
        <w:t>低K、少新类时存在零注册。</w:t>
      </w:r>
      <w:r>
        <w:rPr>
          <w:rFonts w:ascii="Times New Roman" w:hAnsi="Times New Roman" w:cs="Times New Roman" w:eastAsia="宋体"/>
          <w:b w:val="0"/>
        </w:rPr>
        <w:t>CSIL在K=5/10且新类数为1或3时seen_new_acc为0；MoPC-HR在K=5或10、新类数为1时也为0。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  <w:b/>
          <w:color w:val="C00000"/>
        </w:rPr>
        <w:t>MoPC-HR的可塑性更强，但会牺牲旧类。</w:t>
      </w:r>
      <w:r>
        <w:rPr>
          <w:rFonts w:ascii="Times New Roman" w:hAnsi="Times New Roman" w:cs="Times New Roman" w:eastAsia="宋体"/>
          <w:b w:val="0"/>
        </w:rPr>
        <w:t>K=20、新类数1时seen_new_acc为96.53%，H_old_new为72.69%；与此同时，old_acc_after降至60.76%，forgetting为26.71个百分点。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  <w:b/>
          <w:color w:val="C00000"/>
        </w:rPr>
        <w:t>新类规模扩大后联合性能下降。</w:t>
      </w:r>
      <w:r>
        <w:rPr>
          <w:rFonts w:ascii="Times New Roman" w:hAnsi="Times New Roman" w:cs="Times New Roman" w:eastAsia="宋体"/>
          <w:b w:val="0"/>
        </w:rPr>
        <w:t>MoPC-HR在K=20时，新类数从1增加到25，seen_new_acc从96.53%降至27.86%，old_acc_after也从60.76%降至36.66%。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  <w:b/>
          <w:color w:val="C00000"/>
        </w:rPr>
        <w:t>CSIL呈现明显的稳定性—可塑性极端。</w:t>
      </w:r>
      <w:r>
        <w:rPr>
          <w:rFonts w:ascii="Times New Roman" w:hAnsi="Times New Roman" w:cs="Times New Roman" w:eastAsia="宋体"/>
          <w:b w:val="0"/>
        </w:rPr>
        <w:t>小规模时旧类几乎完全保留但新类不注册；部分较大规模或高K切片中，新类开始被学习，却伴随旧类显著下降。</w:t>
      </w:r>
    </w:p>
    <w:p w14:paraId="7042E6F0">
      <w:pPr>
        <w:pStyle w:val="4"/>
        <w:keepNext/>
      </w:pPr>
      <w:r>
        <w:rPr>
          <w:rFonts w:ascii="Times New Roman" w:hAnsi="Times New Roman" w:cs="Times New Roman" w:eastAsia="宋体"/>
        </w:rPr>
        <w:t>4.6matched无LEO新类归因诊断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4.6.1逐配置结果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该诊断保持方法、物理样本ID、support/query划分、K-shot和旧类评测条件一致，只把新类support/query替换为未叠加LEO的同一物理记录。结果永久标记为DIAGNOSTIC_NEW_CLASS_NO_LEO_NON_FORMAL。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42"/>
        <w:gridCol w:w="1310"/>
        <w:gridCol w:w="936"/>
        <w:gridCol w:w="1872"/>
        <w:gridCol w:w="1497"/>
        <w:gridCol w:w="1497"/>
        <w:gridCol w:w="1406"/>
      </w:tblGrid>
      <w:tr>
        <w:trPr>
          <w:tblHeader w:val="true"/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K-shot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方法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新类数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+0.00pp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+0.00pp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8.05%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+2.88pp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-0.78pp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-0.54pp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-0.02pp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+0.00pp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-0.04pp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54.33%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+28.68pp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-33.44pp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+6.75pp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63.29%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+41.21pp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-38.09pp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+3.56pp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51.02%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+36.20pp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-40.32pp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+3.23pp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0.00%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+0.00pp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+0.00pp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4.98%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-0.50pp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+48.69pp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+3.10pp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63.04%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+12.64pp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-12.68pp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-0.98pp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90.91%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+40.39pp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-19.80pp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-6.12pp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75.63%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+42.48pp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-29.12pp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-12.28pp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64.38%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+42.07pp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-35.71pp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-13.64pp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45.09%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+11.04pp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-0.08pp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-0.14pp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CSIL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5.03%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-0.61pp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+2.00pp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-0.98pp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95.64%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+24.18pp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+5.46pp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+10.85pp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94.85%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+33.55pp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-10.28pp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-4.69pp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81.81%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+40.45pp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-20.38pp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-12.51pp</w:t>
            </w:r>
          </w:p>
        </w:tc>
      </w:tr>
      <w:tr>
        <w:trPr>
          <w:cantSplit/>
        </w:trPr>
        <w:tc>
          <w:tcPr>
            <w:tcW w:type="dxa" w:w="84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MoPC-HR</w:t>
            </w:r>
          </w:p>
        </w:tc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70.26%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+42.40pp</w:t>
            </w:r>
          </w:p>
        </w:tc>
        <w:tc>
          <w:tcPr>
            <w:tcW w:type="dxa" w:w="149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-29.78pp</w:t>
            </w:r>
          </w:p>
        </w:tc>
        <w:tc>
          <w:tcPr>
            <w:tcW w:type="dxa" w:w="14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-18.16pp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Δ表示无LEO诊断相对正式LEO结果的变化。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4.6.2诊断解读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29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cs="Times New Roman" w:eastAsia="宋体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cs="Times New Roman" w:eastAsia="宋体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21"/>
    <w:bookmarkEnd w:id="29"/>
    <w:p w14:paraId="2B02D57B">
      <w:pPr>
        <w:pStyle w:val="3"/>
        <w:keepNext/>
        <w:pageBreakBefore w:val="0"/>
      </w:pPr>
      <w:r>
        <w:rPr>
          <w:rFonts w:ascii="Times New Roman" w:hAnsi="Times New Roman" w:cs="Times New Roman" w:eastAsia="宋体"/>
        </w:rPr>
        <w:t>5.参考文献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cs="Times New Roman" w:eastAsia="宋体"/>
        </w:rPr>
        <w:fldChar w:fldCharType="begin"/>
      </w:r>
      <w:r>
        <w:rPr>
          <w:rFonts w:ascii="Times New Roman" w:hAnsi="Times New Roman" w:cs="Times New Roman" w:eastAsia="宋体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cs="Times New Roman" w:eastAsia="宋体"/>
        </w:rPr>
        <w:fldChar w:fldCharType="separate"/>
      </w:r>
      <w:r>
        <w:rPr>
          <w:rFonts w:ascii="Times New Roman" w:hAnsi="Times New Roman" w:cs="Times New Roman" w:eastAsia="宋体"/>
        </w:rPr>
        <w:t>https://papers.nips.cc/paper/6996-prototypical-networks-for-few-shot-learning</w:t>
      </w:r>
      <w:r>
        <w:rPr>
          <w:rFonts w:ascii="Times New Roman" w:hAnsi="Times New Roman" w:cs="Times New Roman" w:eastAsia="宋体"/>
        </w:rPr>
        <w:fldChar w:fldCharType="end"/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bookmarkEnd w:id="3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10348</Words>
  <Characters>17591</Characters>
  <Lines>0</Lines>
  <Paragraphs>0</Paragraphs>
  <TotalTime>21</TotalTime>
  <ScaleCrop>false</ScaleCrop>
  <LinksUpToDate>false</LinksUpToDate>
  <CharactersWithSpaces>17909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cp:lastModifiedBy>李辉</cp:lastModifiedBy>
  <dcterms:modified xsi:type="dcterms:W3CDTF">2026-07-30T17:16:39Z</dcterms:modified>
  <dc:subject>Phase2概念、对比方法、分阶段仿真实验与逐配置结果</dc:subject>
  <dc:title>CVS-RFFI Phase2阶段工作详细报告（标题与分阶段结果修订版）</dc:title>
  <dc:description>标题序号已连续化；Stage2-B与Stage2-C结果表分别采用7.16和7.24周报原表。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