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5E624">
      <w:pPr>
        <w:pStyle w:val="3"/>
        <w:rPr>
          <w:sz w:val="36"/>
          <w:szCs w:val="32"/>
        </w:rPr>
      </w:pPr>
      <w:r>
        <w:rPr>
          <w:rFonts w:ascii="Times New Roman" w:hAnsi="Times New Roman" w:eastAsia="宋体" w:cs="Times New Roman"/>
          <w:sz w:val="36"/>
          <w:szCs w:val="32"/>
        </w:rPr>
        <w:t>1.核心概念与Phase2阶段定位</w:t>
      </w:r>
    </w:p>
    <w:p w14:paraId="2A1AA79B">
      <w:pPr>
        <w:keepNext/>
        <w:keepLines/>
        <w:spacing w:after="30"/>
        <w:rPr>
          <w:sz w:val="24"/>
          <w:szCs w:val="24"/>
        </w:rPr>
      </w:pPr>
      <w:r>
        <w:rPr>
          <w:b/>
          <w:color w:val="C00000"/>
          <w:sz w:val="24"/>
          <w:szCs w:val="24"/>
        </w:rPr>
        <w:t>项目名称：星地跨域少样本持续射频指纹识别（Ground-to-Satellite Cross-Domain Few-Shot Continual Radio-Frequency Fingerprint Identification, CVS-RFFI）</w:t>
      </w:r>
    </w:p>
    <w:p w14:paraId="2E3AB0B8">
      <w:pPr>
        <w:keepNext/>
        <w:keepLines/>
        <w:spacing w:after="30"/>
        <w:rPr>
          <w:b/>
          <w:color w:val="C00000"/>
          <w:sz w:val="20"/>
          <w:szCs w:val="24"/>
        </w:rPr>
      </w:pPr>
      <w:r>
        <w:rPr>
          <w:b/>
          <w:color w:val="C00000"/>
          <w:sz w:val="20"/>
          <w:szCs w:val="24"/>
        </w:rPr>
        <w:t>Phase1方法：</w:t>
      </w:r>
      <w:r>
        <w:rPr>
          <w:rFonts w:hint="eastAsia"/>
          <w:b/>
          <w:color w:val="C00000"/>
          <w:sz w:val="20"/>
          <w:szCs w:val="24"/>
        </w:rPr>
        <w:t>半监督物理感知域对抗泛化射频指纹表征方法</w:t>
      </w:r>
      <w:r>
        <w:rPr>
          <w:rFonts w:hint="eastAsia"/>
          <w:b/>
          <w:color w:val="C00000"/>
          <w:sz w:val="20"/>
          <w:szCs w:val="24"/>
          <w:lang w:eastAsia="zh-CN"/>
        </w:rPr>
        <w:t>（</w:t>
      </w:r>
      <w:r>
        <w:rPr>
          <w:rFonts w:hint="eastAsia"/>
          <w:b/>
          <w:color w:val="C00000"/>
          <w:sz w:val="20"/>
          <w:szCs w:val="24"/>
        </w:rPr>
        <w:t>Semi-supervised Physics-Aware Adversarial Domain-Generalized Embedding for RFFI</w:t>
      </w:r>
      <w:r>
        <w:rPr>
          <w:rFonts w:hint="eastAsia"/>
          <w:b/>
          <w:color w:val="C00000"/>
          <w:sz w:val="20"/>
          <w:szCs w:val="24"/>
          <w:lang w:eastAsia="zh-CN"/>
        </w:rPr>
        <w:t>，</w:t>
      </w:r>
      <w:r>
        <w:rPr>
          <w:rFonts w:hint="eastAsia"/>
          <w:b/>
          <w:color w:val="C00000"/>
          <w:sz w:val="20"/>
          <w:szCs w:val="24"/>
        </w:rPr>
        <w:t>SPADE-RFFI）</w:t>
      </w:r>
    </w:p>
    <w:p w14:paraId="1807CF37">
      <w:pPr>
        <w:keepNext/>
        <w:keepLines/>
        <w:spacing w:after="30"/>
        <w:rPr>
          <w:sz w:val="24"/>
          <w:szCs w:val="24"/>
        </w:rPr>
      </w:pPr>
      <w:r>
        <w:rPr>
          <w:b/>
          <w:color w:val="C00000"/>
          <w:sz w:val="20"/>
          <w:szCs w:val="24"/>
        </w:rPr>
        <w:t>Phase2方法：高效稳健任务均衡增量判别注册方法（Efficient Robust Task-Balanced Incremental Discriminant Registration, ERTB-IDR）</w:t>
      </w:r>
      <w:bookmarkStart w:id="18" w:name="_GoBack"/>
      <w:bookmarkEnd w:id="18"/>
    </w:p>
    <w:p w14:paraId="7EA531CA">
      <w:pPr>
        <w:keepLines/>
        <w:rPr>
          <w:sz w:val="24"/>
          <w:szCs w:val="24"/>
        </w:rPr>
      </w:pPr>
      <w:r>
        <w:rPr>
          <w:b/>
          <w:color w:val="C00000"/>
          <w:szCs w:val="24"/>
        </w:rPr>
        <w:t>核心任务：Phase1学习跨接收机稳定表征；Phase2在LEO信道下使用少量target support，同时完成旧类域适应与新类增量注册。</w:t>
      </w:r>
    </w:p>
    <w:p w14:paraId="2274172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1.1RFFI任务的三轴谱系</w:t>
      </w:r>
    </w:p>
    <w:p w14:paraId="5AA92E46">
      <w:pPr>
        <w:rPr>
          <w:sz w:val="24"/>
          <w:szCs w:val="24"/>
        </w:rPr>
      </w:pPr>
      <w:r>
        <w:rPr>
          <w:sz w:val="24"/>
          <w:szCs w:val="24"/>
        </w:rPr>
        <w:t>FSL是Few-Shot Learning，即少样本学习；DA是Domain Adaptation，即域适应；CIL是Class-Incremental Learning，即类增量学习；FSCIL是Few-Shot Class-Incremental Learning，即少样本类增量学习；UDA是Unsupervised Domain Adaptation，即无监督域适应。</w:t>
      </w:r>
      <w:r>
        <w:rPr>
          <w:sz w:val="24"/>
          <w:szCs w:val="24"/>
          <w:lang w:eastAsia="zh-CN"/>
        </w:rPr>
        <w:t>IQ是In-phase/Quadrature，即同相/正交基带采样；LEO是Low Earth Orbit，即低地球轨道；TX是transmitter，即发射机；CVS-RFFI是本项目的名称，（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Y</m:t>
        </m:r>
      </m:oMath>
      <w:r>
        <w:rPr>
          <w:sz w:val="24"/>
          <w:szCs w:val="24"/>
          <w:lang w:eastAsia="zh-CN"/>
        </w:rPr>
        <w:t>表示发射机类别集合，物理上每个类别对应一台发射机身份；下标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B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src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,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tgt</m:t>
        </m:r>
      </m:oMath>
      <w:r>
        <w:rPr>
          <w:sz w:val="24"/>
          <w:szCs w:val="24"/>
          <w:lang w:eastAsia="zh-CN"/>
        </w:rPr>
        <w:t>依次表示base（基类）、novel（新类）、source（源域）和target（目标域）。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d</m:t>
        </m:r>
      </m:oMath>
      <w:r>
        <w:rPr>
          <w:sz w:val="24"/>
          <w:szCs w:val="24"/>
          <w:lang w:eastAsia="zh-CN"/>
        </w:rPr>
        <w:t>表示观测域，物理上由接收机链路、采集条件和信道共同决定；因此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≠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表示源接收机域与目标接收机域不同。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sz w:val="24"/>
          <w:szCs w:val="24"/>
        </w:rPr>
        <w:t>表示增量session序号，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 xml:space="preserve">表示截至session </w:t>
      </w:r>
      <m:oMath>
        <m:r>
          <m:rPr/>
          <w:rPr>
            <w:rFonts w:ascii="Cambria Math" w:hAnsi="Cambria Math"/>
            <w:sz w:val="24"/>
            <w:szCs w:val="24"/>
          </w:rPr>
          <m:t>t</m:t>
        </m:r>
      </m:oMath>
      <w:r>
        <w:rPr>
          <w:sz w:val="24"/>
          <w:szCs w:val="24"/>
        </w:rPr>
        <w:t>已注册的全部类别，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unknown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表示尚未注册的发射机。</w:t>
      </w:r>
      <m:oMath>
        <m:r>
          <m:rPr/>
          <w:rPr>
            <w:rFonts w:ascii="Cambria Math" w:hAnsi="Cambria Math"/>
            <w:sz w:val="24"/>
            <w:szCs w:val="24"/>
          </w:rPr>
          <m:t>K</m:t>
        </m:r>
      </m:oMath>
      <w:r>
        <w:rPr>
          <w:sz w:val="24"/>
          <w:szCs w:val="24"/>
        </w:rPr>
        <w:t>是每类互不重复的物理support观测数；</w:t>
      </w:r>
    </w:p>
    <w:p w14:paraId="27611DFB">
      <w:pPr>
        <w:pStyle w:val="19"/>
        <w:keepNext/>
        <w:jc w:val="center"/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表1 RFFI任务在类别轴、域轴和时间轴上的定位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91"/>
        <w:gridCol w:w="1497"/>
        <w:gridCol w:w="1029"/>
        <w:gridCol w:w="1497"/>
        <w:gridCol w:w="1684"/>
        <w:gridCol w:w="2062"/>
      </w:tblGrid>
      <w:tr w14:paraId="76B304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3C7E4E6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任务类型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36A526AB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类别轴</w:t>
            </w:r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8C94329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域轴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C228251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时间轴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32EE322C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监督预算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707862B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冻结后推理类别空间</w:t>
            </w:r>
          </w:p>
        </w:tc>
      </w:tr>
      <w:tr w14:paraId="1F8AC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CC8223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标准RFFI-FSL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4D574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=⌀</m:t>
                </m:r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BD293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8615D7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episodic；episode间不累积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A4BEAD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novel类每类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D7DD61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当前episode的novel类</w:t>
            </w:r>
          </w:p>
        </w:tc>
      </w:tr>
      <w:tr w14:paraId="7A7CEE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AFA9A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RFFI域适应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B096CB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39BBA5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8484EC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单次迁移；类别不扩展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9032AD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target标签可为0、少量或充分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98E7D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与source相同的发射机集合</w:t>
            </w:r>
          </w:p>
        </w:tc>
      </w:tr>
      <w:tr w14:paraId="70BDF4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5CAF45E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b/>
                <w:color w:val="C00000"/>
                <w:sz w:val="18"/>
                <w:szCs w:val="24"/>
                <w:lang w:eastAsia="zh-CN"/>
              </w:rPr>
              <w:t>RFFI少样本域适应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60D8BE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0BCB0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src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1CDDB7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单次迁移；类别不扩展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169B1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每个已知类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个target 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EC6EE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与source相同的发射机集合</w:t>
            </w:r>
          </w:p>
        </w:tc>
      </w:tr>
      <w:tr w14:paraId="2785E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26AF34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跨域RFFI-FSL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C03E5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∩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=⌀</m:t>
                </m:r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C8094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tgt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BBFE26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episodic；通常不持久化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B5D3B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target novel类每类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2B3D1D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标准FSL为novel类；</w:t>
            </w:r>
          </w:p>
        </w:tc>
      </w:tr>
      <w:tr w14:paraId="74A4A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7761F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RFFI-CIL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99FCF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2DB7E2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通常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983C70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session顺序到达；状态持续保存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F784DF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新增类标签数量不限定为少样本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553A31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全部累计已注册类</w:t>
            </w:r>
          </w:p>
        </w:tc>
      </w:tr>
      <w:tr w14:paraId="01B29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C09A4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RFFI-FSCIL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8FD41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6BF03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通常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8EAF91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session顺序到达；状态持续保存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962FCB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每个增量新类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584C62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全部累计已注册类</w:t>
            </w:r>
          </w:p>
        </w:tc>
      </w:tr>
      <w:tr w14:paraId="20619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F0D2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C00000"/>
                <w:sz w:val="18"/>
                <w:szCs w:val="24"/>
              </w:rPr>
              <w:t>跨域RFFI-FSCIL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3CE01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−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⊂</m:t>
                </m:r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  <m:scr m:val="script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Y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p>
                    <m:d>
                      <m:d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≤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p>
              </m:oMath>
            </m:oMathPara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1178CE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≠</m:t>
                </m:r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−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F85494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session顺序到达；状态持续保存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7589D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target新类每类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</m:oMath>
            <w:r>
              <w:rPr>
                <w:sz w:val="18"/>
                <w:szCs w:val="24"/>
              </w:rPr>
              <w:t>个support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D95A18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全部累计已注册旧类与新类</w:t>
            </w:r>
          </w:p>
        </w:tc>
      </w:tr>
      <w:tr w14:paraId="41EF1E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91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A2AF66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18"/>
                <w:szCs w:val="24"/>
              </w:rPr>
              <w:t>开放世界跨域RFFI-FSCIL（扩展）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D3C60B4">
            <w:pPr>
              <w:spacing w:after="0" w:line="240" w:lineRule="auto"/>
              <w:jc w:val="center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类别增长且存在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unknown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029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056C09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域随部署阶段变化</w:t>
            </w:r>
          </w:p>
        </w:tc>
        <w:tc>
          <w:tcPr>
            <w:tcW w:w="1497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B26591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注册与拒识顺序执行；状态持续保存</w:t>
            </w:r>
          </w:p>
        </w:tc>
        <w:tc>
          <w:tcPr>
            <w:tcW w:w="1684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93475BC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已注册新类为K-shot；unknown无标签</w:t>
            </w:r>
          </w:p>
        </w:tc>
        <w:tc>
          <w:tcPr>
            <w:tcW w:w="2062" w:type="dxa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C9597D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18"/>
                <w:szCs w:val="24"/>
                <w:lang w:eastAsia="zh-CN"/>
              </w:rPr>
              <w:t>已注册旧类与新类，并拒识未注册unknown</w:t>
            </w:r>
          </w:p>
        </w:tc>
      </w:tr>
    </w:tbl>
    <w:p w14:paraId="0D797BCB">
      <w:pPr>
        <w:pStyle w:val="19"/>
        <w:rPr>
          <w:sz w:val="24"/>
          <w:szCs w:val="24"/>
          <w:lang w:eastAsia="zh-CN"/>
        </w:rPr>
      </w:pPr>
      <w:r>
        <w:rPr>
          <w:b/>
          <w:bCs/>
          <w:color w:val="C00000"/>
          <w:sz w:val="24"/>
          <w:szCs w:val="24"/>
        </w:rPr>
        <w:t>CVS阶段定位：Stage2-A是零标签target迁移参考；Stage2-B对应RFFI少样本监督域适应；Stage2-C在同一row中提供旧类与新类K-shot target support，对应跨域单步FSCIL与新类注册，连续执行多个增量session后才构成完整FSCIL</w:t>
      </w:r>
      <w:r>
        <w:rPr>
          <w:rFonts w:hint="eastAsia"/>
          <w:b/>
          <w:bCs/>
          <w:color w:val="C00000"/>
          <w:sz w:val="24"/>
          <w:szCs w:val="24"/>
          <w:lang w:eastAsia="zh-CN"/>
        </w:rPr>
        <w:t>。</w:t>
      </w:r>
    </w:p>
    <w:p w14:paraId="088EC82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1.2少样本学习的定义</w:t>
      </w:r>
    </w:p>
    <w:p w14:paraId="68A15CD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少样本学习是指模型已经从base数据或预训练状态中获得先验，在目标任务每类只有少量带标签样本时，仍能泛化到未参与适配的query。</w:t>
      </w:r>
    </w:p>
    <w:p w14:paraId="11740B7D">
      <w:pPr>
        <w:pStyle w:val="19"/>
        <w:rPr>
          <w:sz w:val="24"/>
          <w:szCs w:val="24"/>
        </w:rPr>
      </w:pPr>
      <w:r>
        <w:rPr>
          <w:sz w:val="24"/>
          <w:szCs w:val="24"/>
          <w:lang w:eastAsia="zh-CN"/>
        </w:rPr>
        <w:t>一次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sz w:val="24"/>
          <w:szCs w:val="24"/>
          <w:lang w:eastAsia="zh-CN"/>
        </w:rPr>
        <w:t xml:space="preserve">-way 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-shot任务记为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τ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=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S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Q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τ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。support包含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sz w:val="24"/>
          <w:szCs w:val="24"/>
          <w:lang w:eastAsia="zh-CN"/>
        </w:rPr>
        <w:t>个类别，每类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个独立带标签样本：（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τ</m:t>
        </m:r>
      </m:oMath>
      <w:r>
        <w:rPr>
          <w:sz w:val="24"/>
          <w:szCs w:val="24"/>
          <w:lang w:eastAsia="zh-CN"/>
        </w:rPr>
        <w:t>是一次独立少样本任务；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分别是该任务的support集合与query集合。support是允许建立或更新模型状态的带标签样本，query只用于冻结后的测试。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N</m:t>
        </m:r>
      </m:oMath>
      <w:r>
        <w:rPr>
          <w:sz w:val="24"/>
          <w:szCs w:val="24"/>
          <w:lang w:eastAsia="zh-CN"/>
        </w:rPr>
        <w:t>是任务中的类别数，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是每类support数，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是任务类别集合；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是类别索引，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是类内样本索引，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</m:oMath>
      <w:r>
        <w:rPr>
          <w:sz w:val="24"/>
          <w:szCs w:val="24"/>
          <w:lang w:eastAsia="zh-CN"/>
        </w:rPr>
        <w:t>个固定接收IQ观测。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⋅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表示集合基数，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⋃</m:t>
        </m:r>
      </m:oMath>
      <w:r>
        <w:rPr>
          <w:sz w:val="24"/>
          <w:szCs w:val="24"/>
        </w:rPr>
        <w:t>表示把各类样本合并为support集合）</w:t>
      </w:r>
    </w:p>
    <w:p w14:paraId="2BE96A4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⋃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,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,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d>
            <m:dPr>
              <m:begChr m:val="|"/>
              <m:endChr m:val="|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NK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49F7558">
      <w:pPr>
        <w:rPr>
          <w:sz w:val="24"/>
          <w:szCs w:val="24"/>
        </w:rPr>
      </w:pPr>
      <w:r>
        <w:rPr>
          <w:sz w:val="24"/>
          <w:szCs w:val="24"/>
        </w:rPr>
        <w:t>学习算法读取先验状态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Ω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和support，生成当前任务预测器：（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Ω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是任务开始前的冻结先验状态，例如Phase1 deployment bundle；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A</m:t>
        </m:r>
      </m:oMath>
      <w:r>
        <w:rPr>
          <w:sz w:val="24"/>
          <w:szCs w:val="24"/>
        </w:rPr>
        <w:t>是只读取先验状态和support的适配/注册算法；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是由它生成的当前任务预测器。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是单个query观测，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是真实发射机标签，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是模型预测；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x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  <w:lang w:eastAsia="zh-CN"/>
                      </w:rPr>
                      <m:t>q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是query属于类别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的分数。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argmax</m:t>
        </m:r>
      </m:oMath>
      <w:r>
        <w:rPr>
          <w:sz w:val="24"/>
          <w:szCs w:val="24"/>
        </w:rPr>
        <w:t>表示选择分数最大的类别。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Q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τ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=⌀</m:t>
        </m:r>
      </m:oMath>
      <w:r>
        <w:rPr>
          <w:sz w:val="24"/>
          <w:szCs w:val="24"/>
        </w:rPr>
        <w:t>表示support与query不能共享同一物理样本）</w:t>
      </w:r>
    </w:p>
    <w:p w14:paraId="6465905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  <m:scr m:val="script"/>
            </m:rPr>
            <w:rPr>
              <w:rFonts w:ascii="Cambria Math" w:hAnsi="Cambria Math"/>
              <w:sz w:val="24"/>
              <w:szCs w:val="24"/>
            </w:rPr>
            <m:t>=A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;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Ω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75FAF4E">
      <w:pPr>
        <w:rPr>
          <w:sz w:val="24"/>
          <w:szCs w:val="24"/>
        </w:rPr>
      </w:pPr>
      <w:r>
        <w:rPr>
          <w:sz w:val="24"/>
          <w:szCs w:val="24"/>
        </w:rPr>
        <w:t>support与query必须样本级互斥：</w:t>
      </w:r>
    </w:p>
    <w:p w14:paraId="1CD4F85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S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∩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Q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=⌀.</m:t>
          </m:r>
        </m:oMath>
      </m:oMathPara>
    </w:p>
    <w:p w14:paraId="3146D8A6">
      <w:pPr>
        <w:rPr>
          <w:sz w:val="24"/>
          <w:szCs w:val="24"/>
        </w:rPr>
      </w:pPr>
      <w:r>
        <w:rPr>
          <w:sz w:val="24"/>
          <w:szCs w:val="24"/>
        </w:rPr>
        <w:t>标准novel-class FSL还要求base类与novel类互斥，query通常只在当前novel类中竞争。若训练与测试类别相同，只是每类样本较少，更准确的名称是low-shot closed-set classification。</w:t>
      </w:r>
    </w:p>
    <w:p w14:paraId="05F22C01">
      <w:pPr>
        <w:pStyle w:val="19"/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K-shot统计的是每类K个独立物理IQ记录；同一IQ的FFT、裁剪、均衡或数据增强view均不增加K。query只用于冻结后评价，不能训练、调参、早停、设阈值或回滚。</w:t>
      </w:r>
    </w:p>
    <w:p w14:paraId="368ED1B8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1.3域适应及Stage2-B定位</w:t>
      </w:r>
    </w:p>
    <w:p w14:paraId="201051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source域与target域可写为（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D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分别表示源域与目标域数据分布；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sz w:val="24"/>
          <w:szCs w:val="24"/>
          <w:lang w:eastAsia="zh-CN"/>
        </w:rPr>
        <w:t>是接收IQ的输入空间，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Y</m:t>
        </m:r>
      </m:oMath>
      <w:r>
        <w:rPr>
          <w:sz w:val="24"/>
          <w:szCs w:val="24"/>
          <w:lang w:eastAsia="zh-CN"/>
        </w:rPr>
        <w:t>是发射机标签空间。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是两个域中的联合分布，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P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∣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表示给定同一发射机身份时观测到某种IQ波形的条件分布。CVS中的物理含义是发射机身份不变，但目标接收机与LEO信道使波形分布改变）</w:t>
      </w:r>
    </w:p>
    <w:p w14:paraId="2D226DB3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CD725A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跨接收机RFFI保持旧类标签空间不变，但类别条件分布发生变化：</w:t>
      </w:r>
    </w:p>
    <w:p w14:paraId="04CC1EE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≠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∣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5CB713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域适应的目标是利用source知识和允许读取的target数据，降低（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是预测器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h</m:t>
        </m:r>
      </m:oMath>
      <w:r>
        <w:rPr>
          <w:sz w:val="24"/>
          <w:szCs w:val="24"/>
          <w:lang w:eastAsia="zh-CN"/>
        </w:rPr>
        <w:t>在目标接收机域上的期望分类风险；</w:t>
      </w:r>
      <m:oMath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  <w:lang w:eastAsia="zh-CN"/>
          </w:rPr>
          <m:t>l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是单个样本的分类损失；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double-struck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E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,</m:t>
                </m:r>
                <m:r>
                  <m:rPr>
                    <m:scr m:val="script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Y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∼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P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tgt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⋅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表示对目标域分布中的样本取数学期望。物理上，降低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就是减少目标卫星接收机上旧发射机的平均识别错误）</w:t>
      </w:r>
    </w:p>
    <w:p w14:paraId="08C251C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tgt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double-struck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1C6EA46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Stage2-B每个旧类仅提供K个target-old support，因此属于</w:t>
      </w:r>
      <w:r>
        <w:rPr>
          <w:b/>
          <w:bCs/>
          <w:sz w:val="24"/>
          <w:szCs w:val="24"/>
        </w:rPr>
        <w:t>少样本监督域适应</w:t>
      </w:r>
      <w:r>
        <w:rPr>
          <w:sz w:val="24"/>
          <w:szCs w:val="24"/>
        </w:rPr>
        <w:t xml:space="preserve"> ：少样本描述target标签预算，域适应才是任务本质。Phase1域泛化训练不能读取未来target receiver；Phase2域适应发生在部署以后，可以读取协议允许的target support。</w:t>
      </w:r>
      <w:r>
        <w:rPr>
          <w:sz w:val="24"/>
          <w:szCs w:val="24"/>
          <w:lang w:eastAsia="zh-CN"/>
        </w:rPr>
        <w:t>是否接触target数据，是DG与DA的关键边界。</w:t>
      </w:r>
    </w:p>
    <w:p w14:paraId="671649C2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1.4类增量、FSCIL与新类注册</w:t>
      </w:r>
    </w:p>
    <w:p w14:paraId="5D18788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类增量学习要求新类按阶段到达，并把更新后的状态持续保存：（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−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1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  <w:lang w:eastAsia="zh-CN"/>
        </w:rPr>
        <w:t>是进入第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sz w:val="24"/>
          <w:szCs w:val="24"/>
          <w:lang w:eastAsia="zh-CN"/>
        </w:rPr>
        <w:t>次增量前已经注册的类别，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是本次到达并获得合法support的新发射机，二者并集构成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≤</m:t>
                </m:r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t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  <w:lang w:eastAsia="zh-CN"/>
        </w:rPr>
        <w:t>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是完成第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</m:t>
        </m:r>
      </m:oMath>
      <w:r>
        <w:rPr>
          <w:sz w:val="24"/>
          <w:szCs w:val="24"/>
          <w:lang w:eastAsia="zh-CN"/>
        </w:rPr>
        <w:t>次更新后持续保存的预测器，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h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d>
              <m:d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d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eastAsia="zh-CN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d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是观测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sz w:val="24"/>
          <w:szCs w:val="24"/>
          <w:lang w:eastAsia="zh-CN"/>
        </w:rPr>
        <w:t>对类别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的分类分数。统一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argmax</m:t>
        </m:r>
      </m:oMath>
      <w:r>
        <w:rPr>
          <w:sz w:val="24"/>
          <w:szCs w:val="24"/>
          <w:lang w:eastAsia="zh-CN"/>
        </w:rPr>
        <w:t>意味着旧类和已注册新类在同一候选空间竞争）</w:t>
      </w:r>
    </w:p>
    <w:p w14:paraId="0ED3F5B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≤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∪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</m:t>
          </m:r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ac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max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≤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h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748507F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推理时不提供task ID，模型必须让旧类与新类在同一标签空间竞争。当每个增量新类只有K个support时，任务成为FSCIL。一次新类集合注册只能评价single-session/one-step类扩展；若要声明持续FSCIL，还需连续执行多个增量session，并在每个session后评价累计类别和遗忘。</w:t>
      </w:r>
    </w:p>
    <w:p w14:paraId="2E8FCDA6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CVS中的“新类注册”是部署操作：利用带标签新类support建立prototype、分类权重、adapter或其他持久状态，使该身份从未注册unknown转为seen-new class。应严格区分</w:t>
      </w:r>
    </w:p>
    <w:p w14:paraId="5DD12C40">
      <w:pPr>
        <w:pStyle w:val="19"/>
        <w:rPr>
          <w:sz w:val="24"/>
          <w:szCs w:val="24"/>
          <w:lang w:eastAsia="zh-CN"/>
        </w:rPr>
      </w:pPr>
      <m:oMathPara>
        <m:oMathParaPr>
          <m:jc m:val="center"/>
        </m:oMathParaPr>
        <m:oMath>
          <m:r>
            <m:rPr>
              <m:nor/>
              <m:sty m:val="p"/>
            </m:rPr>
            <w:rPr>
              <w:sz w:val="24"/>
              <w:szCs w:val="24"/>
              <w:lang w:eastAsia="zh-CN"/>
            </w:rPr>
            <m:t>unknown rejection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eastAsia="zh-CN"/>
            </w:rPr>
            <m:t>≠</m:t>
          </m:r>
          <m:r>
            <m:rPr>
              <m:nor/>
              <m:sty m:val="p"/>
            </m:rPr>
            <w:rPr>
              <w:sz w:val="24"/>
              <w:szCs w:val="24"/>
              <w:lang w:eastAsia="zh-CN"/>
            </w:rPr>
            <m:t>new-class registration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  <w:lang w:eastAsia="zh-CN"/>
            </w:rPr>
            <m:t>.</m:t>
          </m:r>
        </m:oMath>
      </m:oMathPara>
    </w:p>
    <w:p w14:paraId="3C9B700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unknown尚未获得可信标签，不能直接进入注册集合；只有获得合法标签和support后，才能成为已注册新类。</w:t>
      </w:r>
    </w:p>
    <w:p w14:paraId="3224F7FC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1.5与CVS-RFFI Phase2阶段的对应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873"/>
        <w:gridCol w:w="713"/>
        <w:gridCol w:w="797"/>
        <w:gridCol w:w="1836"/>
        <w:gridCol w:w="3810"/>
        <w:gridCol w:w="1511"/>
      </w:tblGrid>
      <w:tr w14:paraId="10DAD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F4A50AB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20"/>
                <w:szCs w:val="24"/>
                <w:bCs/>
                <w:color w:val="1F4E79"/>
              </w:rPr>
              <w:t>阶段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1058CF4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20"/>
                <w:szCs w:val="24"/>
                <w:bCs/>
                <w:color w:val="1F4E79"/>
              </w:rPr>
              <w:t>域是否变化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CFD6EDD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20"/>
                <w:szCs w:val="24"/>
                <w:bCs/>
                <w:color w:val="1F4E79"/>
              </w:rPr>
              <w:t>类别是否增加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19308CD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20"/>
                <w:szCs w:val="24"/>
                <w:bCs/>
                <w:color w:val="1F4E79"/>
              </w:rPr>
              <w:t>可用target标签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0C56556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20"/>
                <w:szCs w:val="24"/>
                <w:bCs/>
                <w:color w:val="1F4E79"/>
              </w:rPr>
              <w:t>准确任务定位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FCD44F2">
            <w:pPr>
              <w:spacing w:after="0" w:line="240" w:lineRule="auto"/>
              <w:rPr>
                <w:sz w:val="24"/>
                <w:szCs w:val="24"/>
                <w:lang w:eastAsia="zh-CN"/>
              </w:rPr>
              <w:jc w:val="center"/>
            </w:pPr>
            <w:r>
              <w:rPr>
                <w:b/>
                <w:sz w:val="20"/>
                <w:szCs w:val="24"/>
                <w:lang w:eastAsia="zh-CN"/>
                <w:bCs/>
                <w:color w:val="1F4E79"/>
              </w:rPr>
              <w:t>冻结后query范围</w:t>
            </w:r>
          </w:p>
        </w:tc>
      </w:tr>
      <w:tr w14:paraId="727C32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60F66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C00000"/>
                <w:sz w:val="20"/>
                <w:szCs w:val="24"/>
              </w:rPr>
              <w:t>Stage2-A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7D7CAB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C87C34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F5ACEC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9BCC3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zero-label transfer/reference；仅在实际使用无标签target更新时才属于UDA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9A7B9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旧类target query</w:t>
            </w:r>
          </w:p>
        </w:tc>
      </w:tr>
      <w:tr w14:paraId="695334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1A5C60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C00000"/>
                <w:sz w:val="20"/>
                <w:szCs w:val="24"/>
              </w:rPr>
              <w:t>Stage2-B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FAAA7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0F1525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4F121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旧类K-shot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190F86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少样本监督域适应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19698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旧类target query</w:t>
            </w:r>
          </w:p>
        </w:tc>
      </w:tr>
      <w:tr w14:paraId="250326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808C18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color w:val="C00000"/>
                <w:sz w:val="20"/>
                <w:szCs w:val="24"/>
              </w:rPr>
              <w:t>Stage2-C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2F489E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5ADE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B1F327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旧类与新类均为K-shot target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6DF5E6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跨域单步FSCIL/新类注册；连续多session时为完整FSCIL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235CCE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旧类＋已注册新类统一query</w:t>
            </w:r>
          </w:p>
        </w:tc>
      </w:tr>
    </w:tbl>
    <w:p w14:paraId="04FBAD07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1.6样本角色与成功条件</w:t>
      </w:r>
    </w:p>
    <w:p w14:paraId="46299559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旧类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b/>
          <w:bCs/>
          <w:sz w:val="24"/>
          <w:szCs w:val="24"/>
        </w:rPr>
        <w:t>：</w:t>
      </w:r>
      <w:r>
        <w:rPr>
          <w:sz w:val="24"/>
          <w:szCs w:val="24"/>
        </w:rPr>
        <w:t xml:space="preserve"> Phase1已经见过的发射机；更换receiver不改变其身份。</w:t>
      </w:r>
    </w:p>
    <w:p w14:paraId="44534CD3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新类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Y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b/>
          <w:bCs/>
          <w:sz w:val="24"/>
          <w:szCs w:val="24"/>
        </w:rPr>
        <w:t>：</w:t>
      </w:r>
      <w:r>
        <w:rPr>
          <w:sz w:val="24"/>
          <w:szCs w:val="24"/>
        </w:rPr>
        <w:t xml:space="preserve"> Phase1未见、在Stage2-C通过合法support注册的发射机。</w:t>
      </w:r>
    </w:p>
    <w:p w14:paraId="4AB71E28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未注册unknown：</w:t>
      </w:r>
      <w:r>
        <w:rPr>
          <w:sz w:val="24"/>
          <w:szCs w:val="24"/>
          <w:lang w:eastAsia="zh-CN"/>
        </w:rPr>
        <w:t xml:space="preserve"> 尚未获得可信标签或尚未加入已注册类别集合的发射机。</w:t>
      </w:r>
    </w:p>
    <w:p w14:paraId="6E0CC6C2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support：</w:t>
      </w:r>
      <w:r>
        <w:rPr>
          <w:sz w:val="24"/>
          <w:szCs w:val="24"/>
          <w:lang w:eastAsia="zh-CN"/>
        </w:rPr>
        <w:t xml:space="preserve"> 唯一允许参与适应、注册和状态更新的带标签样本。</w:t>
      </w:r>
    </w:p>
    <w:p w14:paraId="7B3205B2">
      <w:pPr>
        <w:numPr>
          <w:ilvl w:val="0"/>
          <w:numId w:val="7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query：</w:t>
      </w:r>
      <w:r>
        <w:rPr>
          <w:sz w:val="24"/>
          <w:szCs w:val="24"/>
        </w:rPr>
        <w:t xml:space="preserve"> 模型冻结后用于评价的独立样本，不得影响predictor。</w:t>
      </w:r>
    </w:p>
    <w:p w14:paraId="49117C5E">
      <w:pPr>
        <w:numPr>
          <w:ilvl w:val="0"/>
          <w:numId w:val="7"/>
        </w:num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K-shot：</w:t>
      </w:r>
      <w:r>
        <w:rPr>
          <w:sz w:val="24"/>
          <w:szCs w:val="24"/>
          <w:lang w:eastAsia="zh-CN"/>
        </w:rPr>
        <w:t xml:space="preserve"> 每类K个互不重复的物理接收观测。</w:t>
      </w:r>
    </w:p>
    <w:p w14:paraId="3EDD01FB">
      <w:pPr>
        <w:pStyle w:val="3"/>
        <w:rPr>
          <w:sz w:val="36"/>
          <w:szCs w:val="32"/>
          <w:lang w:eastAsia="zh-CN"/>
        </w:rPr>
      </w:pPr>
      <w:bookmarkStart w:id="0" w:name="Xa4b16eab3645cd06e297e8c59920ba7f89a3828"/>
      <w:r>
        <w:rPr>
          <w:rFonts w:ascii="Times New Roman" w:hAnsi="Times New Roman" w:eastAsia="宋体" w:cs="Times New Roman"/>
          <w:sz w:val="36"/>
          <w:szCs w:val="32"/>
          <w:lang w:eastAsia="zh-CN"/>
        </w:rPr>
        <w:t>2.数据、权限与评价框架</w:t>
      </w:r>
    </w:p>
    <w:p w14:paraId="3FA1E03C">
      <w:pPr>
        <w:pStyle w:val="4"/>
        <w:rPr>
          <w:sz w:val="28"/>
          <w:szCs w:val="28"/>
          <w:lang w:eastAsia="zh-CN"/>
        </w:rPr>
      </w:pPr>
      <w:bookmarkStart w:id="1" w:name="X8fa98ef5c1a5d93584cb015cb15574040e70ae8"/>
      <w:r>
        <w:rPr>
          <w:rFonts w:ascii="Times New Roman" w:hAnsi="Times New Roman" w:eastAsia="宋体" w:cs="Times New Roman"/>
          <w:sz w:val="28"/>
          <w:szCs w:val="28"/>
          <w:lang w:eastAsia="zh-CN"/>
        </w:rPr>
        <w:t>2.1从Phase1训练到Phase2部署</w:t>
      </w:r>
    </w:p>
    <w:p w14:paraId="402446C6">
      <w:pPr>
        <w:rPr>
          <w:sz w:val="24"/>
          <w:szCs w:val="24"/>
        </w:rPr>
      </w:pPr>
      <w:r>
        <w:rPr>
          <w:szCs w:val="24"/>
          <w:lang w:eastAsia="zh-CN"/>
        </w:rPr>
        <w:t>两轮实验统一使用Phase1方法——地面跨接收机域泛化射频指纹表征方法（以下简称Phase1域泛化基座）形成的冻结checkpoint（训练后冻结的模型参数快照）。deployment bundle是与checkpoint共同封存、可供Phase2只读使用的部署状态；backbone指把接收IQ映射为身份特征的主干网络，adapter是附加的小型可训练适配模块，prototype是某一发射机类别的特征中心。</w:t>
      </w:r>
      <w:r>
        <w:rPr>
          <w:szCs w:val="24"/>
        </w:rPr>
        <w:t>统一基座可避免backbone差异干扰方法比较。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260"/>
        <w:gridCol w:w="3182"/>
        <w:gridCol w:w="3261"/>
        <w:gridCol w:w="1837"/>
      </w:tblGrid>
      <w:tr w14:paraId="2C39F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ABBDFC3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环节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48420C5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可用数据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BE9F2BD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允许更新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912404F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输出</w:t>
            </w:r>
          </w:p>
        </w:tc>
      </w:tr>
      <w:tr w14:paraId="510053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6A2663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Phase1地面训练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F38E7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source数据及物理启发的LEO增强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507ED4D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身份backbone与训练状态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C2776A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不可变deployment bundle</w:t>
            </w:r>
          </w:p>
        </w:tc>
      </w:tr>
      <w:tr w14:paraId="4C848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49D312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Phase2适应/注册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D737B0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bundle、固定LEO target IQ、当前row的support标签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243E8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由方法声明的prototype、分类头、adapter或backbone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231D35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冻结后的目标域预测器</w:t>
            </w:r>
          </w:p>
        </w:tc>
      </w:tr>
      <w:tr w14:paraId="163C6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3F2B7A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独立评分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17CC2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prediction artifact与query真值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A372A7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不得回流到predictor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164E1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同一row评价指标</w:t>
            </w:r>
          </w:p>
        </w:tc>
      </w:tr>
      <w:bookmarkEnd w:id="1"/>
    </w:tbl>
    <w:p w14:paraId="26EE9019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2.2实验矩阵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26"/>
        <w:gridCol w:w="2509"/>
        <w:gridCol w:w="2374"/>
        <w:gridCol w:w="1586"/>
        <w:gridCol w:w="2545"/>
      </w:tblGrid>
      <w:tr w14:paraId="2AA5D4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91AC37F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工作包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2CAA802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基座与数据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339C0DC9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target设置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4C9AAEF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实验规模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7AF498F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输出</w:t>
            </w:r>
          </w:p>
        </w:tc>
      </w:tr>
      <w:tr w14:paraId="2A7975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6C396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872F3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Phase1域泛化基座＋target-old support/query；MRIOR/DADDA另读source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D07122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5个target receiver；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∈{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5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20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}</m:t>
              </m:r>
            </m:oMath>
            <w:r>
              <w:rPr>
                <w:sz w:val="20"/>
                <w:szCs w:val="24"/>
              </w:rPr>
              <w:t>；5个seed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350CC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5×5×5×3=375个方法任务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DC6B0CC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DA0_REG0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/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  <w:lang w:eastAsia="zh-CN"/>
              </w:rPr>
              <w:t>、正/负迁移、时延</w:t>
            </w:r>
          </w:p>
        </w:tc>
      </w:tr>
      <w:tr w14:paraId="4D30A7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09A9EF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新类注册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6D1C8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Phase1域泛化基座接口＋Phase2前base状态＋target-new support；old/new query只评分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905644A">
            <w:pPr>
              <w:spacing w:after="0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K∈{5,10,20}；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EE52E8B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24个正式LEO逐配置结果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9376529">
            <w:pPr>
              <w:spacing w:after="0" w:line="240" w:lineRule="auto"/>
              <w:rPr>
                <w:sz w:val="24"/>
                <w:szCs w:val="24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/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</w:tr>
      <w:tr w14:paraId="7E1E6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E965F3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信道归因诊断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9CED38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保持方法、物理ID、split、K、seed和旧类条件一致，仅替换新类IQ为无LEO版本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E9513F8">
            <w:pPr>
              <w:spacing w:after="0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K∈{5,10,20}；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82BE097">
            <w:pPr>
              <w:spacing w:after="0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18个matched无LEO逐配置结果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653F658">
            <w:pPr>
              <w:spacing w:after="0" w:line="240" w:lineRule="auto"/>
              <w:rPr>
                <w:sz w:val="24"/>
                <w:szCs w:val="24"/>
              </w:rPr>
            </w:pP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ΔH</m:t>
              </m:r>
            </m:oMath>
            <w:r>
              <w:rPr>
                <w:sz w:val="20"/>
                <w:szCs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</w:rPr>
              <w:t>、</w:t>
            </w: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</w:tr>
    </w:tbl>
    <w:p w14:paraId="6E6D4E49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2.3评价指标</w:t>
      </w:r>
    </w:p>
    <w:p>
      <w:pPr>
        <w:keepLines/>
        <w:spacing w:before="0" w:after="80" w:line="300" w:lineRule="auto"/>
        <w:jc w:val="left"/>
      </w:pPr>
      <w:r>
        <w:rPr>
          <w:rFonts w:ascii="Times New Roman" w:hAnsi="Times New Roman" w:eastAsia="宋体"/>
          <w:sz w:val="21"/>
          <w:szCs w:val="21"/>
        </w:rPr>
        <w:t>为避免符号、状态和结果字段混在一个段落中，以下按三类表格说明。状态名统一写为DAx_REGy：第一位DA表示是否完成域适应，第二位REG表示是否完成新类注册，0/1分别表示未完成/已完成。准确率与调和均值以%报告，差值以百分点（percentage points，pp）报告，运行时间以秒（second，s）报告；Δ表示相对正式LEO结果的变化量。</w:t>
      </w:r>
    </w:p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/>
          <w:b/>
          <w:bCs/>
          <w:color w:val="1F4E79"/>
          <w:sz w:val="21"/>
          <w:szCs w:val="21"/>
        </w:rPr>
        <w:t>（1）数据对象与基础符号</w:t>
      </w:r>
    </w:p>
    <w:tbl>
      <w:tblPr>
        <w:tblW w:w="9360" w:type="dxa"/>
        <w:tblInd w:w="12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800"/>
        <w:gridCol w:w="7560"/>
      </w:tblGrid>
      <w:tr>
        <w:trPr>
          <w:tblHeader/>
          <w:cantSplit/>
        </w:trPr>
        <w:tc>
          <w:tcPr>
            <w:tcW w:w="18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符号</w:t>
            </w:r>
          </w:p>
        </w:tc>
        <w:tc>
          <w:tcPr>
            <w:tcW w:w="756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定义与物理意义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rFonts w:ascii="Times New Roman" w:hAnsi="Times New Roman" w:eastAsia="宋体"/>
                <w:sz w:val="19"/>
                <w:szCs w:val="19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旧类query集合与新类query集合。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旧类c的query子集。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</m:oMath>
          </w:p>
        </w:tc>
        <w:tc>
          <w:tcPr>
            <w:tcW w:w="7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query样本索引。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第i个query样本的真实类别。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DA0_REG0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rFonts w:ascii="Times New Roman" w:hAnsi="Times New Roman" w:eastAsia="宋体"/>
                <w:sz w:val="19"/>
                <w:szCs w:val="19"/>
              </w:rPr>
              <w:t>、</w:t>
            </w: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acc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eastAsia="zh-CN"/>
                        </w:rPr>
                        <m:t>DA1_REG0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7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Stage2-B域适应前与域适应后的预测类别。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r>
                <m:rPr>
                  <m:sty m:val="p"/>
                  <m:scr m:val="double-struck"/>
                </m:rPr>
                <w:rPr>
                  <w:rFonts w:ascii="Cambria Math" w:hAnsi="Cambria Math"/>
                  <w:sz w:val="24"/>
                  <w:szCs w:val="24"/>
                  <w:lang w:eastAsia="zh-CN"/>
                </w:rPr>
                <m:t>I[⋅]</m:t>
              </m:r>
            </m:oMath>
          </w:p>
        </w:tc>
        <w:tc>
          <w:tcPr>
            <w:tcW w:w="7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指示函数：条件成立取1，否则取0。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7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Phase1已经注册的旧发射机类别集合。</w:t>
            </w:r>
          </w:p>
        </w:tc>
      </w:tr>
    </w:tbl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/>
          <w:b/>
          <w:bCs/>
          <w:color w:val="1F4E79"/>
          <w:sz w:val="21"/>
          <w:szCs w:val="21"/>
        </w:rPr>
        <w:t>（2）四状态编码</w:t>
      </w:r>
    </w:p>
    <w:tbl>
      <w:tblPr>
        <w:tblW w:w="9360" w:type="dxa"/>
        <w:tblInd w:w="12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500"/>
        <w:gridCol w:w="1400"/>
        <w:gridCol w:w="1500"/>
        <w:gridCol w:w="4960"/>
      </w:tblGrid>
      <w:tr>
        <w:trPr>
          <w:tblHeader/>
          <w:cantSplit/>
        </w:trPr>
        <w:tc>
          <w:tcPr>
            <w:tcW w:w="15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状态</w:t>
            </w:r>
          </w:p>
        </w:tc>
        <w:tc>
          <w:tcPr>
            <w:tcW w:w="14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完成域适应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完成新类注册</w:t>
            </w:r>
          </w:p>
        </w:tc>
        <w:tc>
          <w:tcPr>
            <w:tcW w:w="496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对应阶段与含义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DA0_REG0</w:t>
            </w:r>
          </w:p>
        </w:tc>
        <w:tc>
          <w:tcPr>
            <w:tcW w:w="14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否</w:t>
            </w:r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否</w:t>
            </w:r>
          </w:p>
        </w:tc>
        <w:tc>
          <w:tcPr>
            <w:tcW w:w="49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域适应前、注册前；Stage2-B的直接基座状态。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DA1_REG0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是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否</w:t>
            </w:r>
          </w:p>
        </w:tc>
        <w:tc>
          <w:tcPr>
            <w:tcW w:w="49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域适应后、注册前；Stage2-B的主要评价状态。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DA0_REG1</w:t>
            </w:r>
          </w:p>
        </w:tc>
        <w:tc>
          <w:tcPr>
            <w:tcW w:w="14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否</w:t>
            </w:r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是</w:t>
            </w:r>
          </w:p>
        </w:tc>
        <w:tc>
          <w:tcPr>
            <w:tcW w:w="49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域适应前、注册后；用于分离新类注册带来的变化。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DA1_REG1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是</w:t>
            </w:r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是</w:t>
            </w:r>
          </w:p>
        </w:tc>
        <w:tc>
          <w:tcPr>
            <w:tcW w:w="49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域适应后、注册后；Stage2-C的旧新联合评价状态。</w:t>
            </w:r>
          </w:p>
        </w:tc>
      </w:tr>
    </w:tbl>
    <w:p>
      <w:pPr>
        <w:keepNext/>
        <w:keepLines/>
        <w:spacing w:before="120" w:after="60" w:line="300" w:lineRule="auto"/>
        <w:jc w:val="left"/>
      </w:pPr>
      <w:r>
        <w:rPr>
          <w:rFonts w:ascii="Times New Roman" w:hAnsi="Times New Roman" w:eastAsia="宋体"/>
          <w:b/>
          <w:bCs/>
          <w:color w:val="1F4E79"/>
          <w:sz w:val="21"/>
          <w:szCs w:val="21"/>
        </w:rPr>
        <w:t>（3）核心评价指标</w:t>
      </w:r>
    </w:p>
    <w:tbl>
      <w:tblPr>
        <w:tblW w:w="9360" w:type="dxa"/>
        <w:tblInd w:w="12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4300"/>
        <w:gridCol w:w="1500"/>
        <w:gridCol w:w="3560"/>
      </w:tblGrid>
      <w:tr>
        <w:trPr>
          <w:tblHeader/>
          <w:cantSplit/>
        </w:trPr>
        <w:tc>
          <w:tcPr>
            <w:tcW w:w="43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指标与公式</w:t>
            </w:r>
          </w:p>
        </w:tc>
        <w:tc>
          <w:tcPr>
            <w:tcW w:w="150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结果字段</w:t>
            </w:r>
          </w:p>
        </w:tc>
        <w:tc>
          <w:tcPr>
            <w:tcW w:w="3560" w:type="dxa"/>
            <w:shd w:val="clear" w:color="auto" w:fill="D9E2F3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b/>
                <w:bCs/>
                <w:sz w:val="20"/>
                <w:szCs w:val="20"/>
                <w:color w:val="1F4E79"/>
              </w:rPr>
              <w:t>物理意义与判读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DA0_REG0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old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DA0_REG0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old_acc_before</w:t>
            </w:r>
          </w:p>
        </w:tc>
        <w:tc>
          <w:tcPr>
            <w:tcW w:w="3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Stage2-B域适应前（DA0_REG0）的旧类准确率；数值越大越好。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old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DA1_REG0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old_acc_after</w:t>
            </w:r>
          </w:p>
        </w:tc>
        <w:tc>
          <w:tcPr>
            <w:tcW w:w="3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Stage2-B域适应后（DA1_REG0）的旧类准确率；数值越大越好。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DA0_REG0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派生量</w:t>
            </w:r>
          </w:p>
        </w:tc>
        <w:tc>
          <w:tcPr>
            <w:tcW w:w="3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旧类适配收益。正值表示正迁移，负值表示适配损伤；数值越大越好。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new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DA1_REG1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seen_new_acc</w:t>
            </w:r>
          </w:p>
        </w:tc>
        <w:tc>
          <w:tcPr>
            <w:tcW w:w="3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已注册新类准确率；取0表示没有新类query被正确识别，数值越大越好。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sz w:val="24"/>
                      <w:szCs w:val="24"/>
                    </w:rPr>
                    <m:t>old,new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DA1_REG1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DA1_REG1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</m:oMath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H_old_new</w:t>
            </w:r>
          </w:p>
        </w:tc>
        <w:tc>
          <w:tcPr>
            <w:tcW w:w="3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旧类与新类准确率的调和均值；任一侧接近0时该值也接近0，数值越大越好。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DA1_REG0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</w:p>
        </w:tc>
        <w:tc>
          <w:tcPr>
            <w:tcW w:w="150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forgetting</w:t>
            </w:r>
          </w:p>
        </w:tc>
        <w:tc>
          <w:tcPr>
            <w:tcW w:w="3560" w:type="dxa"/>
            <w:shd w:val="clear" w:color="auto" w:fill="FFFFFF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注册新类前后旧类准确率之差；正值表示旧知识受损，数值越小越好。</w:t>
            </w:r>
          </w:p>
        </w:tc>
      </w:tr>
      <w:tr>
        <w:trPr>
          <w:cantSplit/>
        </w:trPr>
        <w:tc>
          <w:tcPr>
            <w:tcW w:w="43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Q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Q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  <m:scr m:val="double-struck"/>
                    </m:rP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DA1_REG1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</m:oMath>
          </w:p>
          <w:p>
            <w:pPr>
              <w:keepLines/>
              <w:spacing w:before="0" w:after="0" w:line="300" w:lineRule="auto"/>
              <w:jc w:val="center"/>
            </w:pP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min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li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cr m:val="script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old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lim>
              </m:limLow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50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19"/>
                <w:szCs w:val="19"/>
              </w:rPr>
              <w:t>min_old</w:t>
            </w:r>
          </w:p>
        </w:tc>
        <w:tc>
          <w:tcPr>
            <w:tcW w:w="3560" w:type="dxa"/>
            <w:shd w:val="clear" w:color="auto" w:fill="F7F9FC"/>
            <w:vAlign w:val="center"/>
          </w:tcPr>
          <w:p>
            <w:pPr>
              <w:keepLines/>
              <w:spacing w:before="0" w:after="0" w:line="300" w:lineRule="auto"/>
              <w:jc w:val="left"/>
            </w:pPr>
            <w:r>
              <w:rPr>
                <w:rFonts w:ascii="Times New Roman" w:hAnsi="Times New Roman" w:eastAsia="宋体"/>
                <w:sz w:val="19"/>
                <w:szCs w:val="19"/>
              </w:rPr>
              <w:t>全部旧发射机中的最低单类准确率，用于暴露局部类别崩塌；数值越大越好。</w:t>
            </w:r>
          </w:p>
        </w:tc>
      </w:tr>
    </w:tbl>
    <w:p w14:paraId="422E07D4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2.4统一输入、状态更新与输出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086"/>
        <w:gridCol w:w="2911"/>
        <w:gridCol w:w="2818"/>
        <w:gridCol w:w="2725"/>
      </w:tblGrid>
      <w:tr w14:paraId="2D2EBC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7AEF2F2C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阶段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4F19F0C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输入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46F7724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允许更新的状态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33A4325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输出</w:t>
            </w:r>
          </w:p>
        </w:tc>
      </w:tr>
      <w:tr w14:paraId="54B779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505674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直接基线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B5930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 bundle＋target query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7B869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无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8C33AE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旧类预测</w:t>
            </w:r>
          </w:p>
        </w:tc>
      </w:tr>
      <w:tr w14:paraId="6738AD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DABA5F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Stage2-B适应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D0BB29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 bundle＋target-old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4CE9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prototype、adapter或backbone，取决于方法权限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5BD38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冻结后的旧类预测器</w:t>
            </w:r>
          </w:p>
        </w:tc>
      </w:tr>
      <w:tr w14:paraId="27237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463B9C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Stage2-C注册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0D9B67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冻结/Stage2-B适应后状态＋target-new K-shot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B39EA8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旧类统计、新类prototype、分类头或受控参数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7E6AA6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面向旧类∪已注册新类的统一预测器</w:t>
            </w:r>
          </w:p>
        </w:tc>
      </w:tr>
      <w:tr w14:paraId="77250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63938D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独立评分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C46E1A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不可变prediction artifact＋query真值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64CABE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不得回流到predictor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66C632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DA1_REG1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</m:oMath>
            <w:r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H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,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  <w:lang w:eastAsia="zh-CN"/>
              </w:rPr>
              <w:t>、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  <w:lang w:eastAsia="zh-CN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  <w:r>
              <w:rPr>
                <w:sz w:val="20"/>
                <w:szCs w:val="24"/>
                <w:lang w:eastAsia="zh-CN"/>
              </w:rPr>
              <w:t>等指标</w:t>
            </w:r>
          </w:p>
        </w:tc>
      </w:tr>
      <w:bookmarkEnd w:id="0"/>
    </w:tbl>
    <w:p w14:paraId="61B18AEC">
      <w:pPr>
        <w:pStyle w:val="3"/>
        <w:rPr>
          <w:sz w:val="36"/>
          <w:szCs w:val="32"/>
          <w:lang w:eastAsia="zh-CN"/>
        </w:rPr>
      </w:pPr>
      <w:bookmarkStart w:id="2" w:name="Xacb617a5819318ce172e1d7a810126ba83372bc"/>
      <w:r>
        <w:rPr>
          <w:rFonts w:ascii="Times New Roman" w:hAnsi="Times New Roman" w:eastAsia="宋体" w:cs="Times New Roman"/>
          <w:sz w:val="36"/>
          <w:szCs w:val="32"/>
          <w:lang w:eastAsia="zh-CN"/>
        </w:rPr>
        <w:t>3.Stage2-B：跨接收机旧类域适应仿真实验</w:t>
      </w:r>
    </w:p>
    <w:p w14:paraId="732B669C">
      <w:pPr>
        <w:pStyle w:val="4"/>
        <w:rPr>
          <w:sz w:val="28"/>
          <w:szCs w:val="28"/>
          <w:lang w:eastAsia="zh-CN"/>
        </w:rPr>
      </w:pPr>
      <w:bookmarkStart w:id="3" w:name="X60a1c4ac91aed9a1a4fc1cbc6b86ab576c3e5cf"/>
      <w:r>
        <w:rPr>
          <w:rFonts w:ascii="Times New Roman" w:hAnsi="Times New Roman" w:eastAsia="宋体" w:cs="Times New Roman"/>
          <w:sz w:val="28"/>
          <w:szCs w:val="28"/>
          <w:lang w:eastAsia="zh-CN"/>
        </w:rPr>
        <w:t>3.1仿真问题与统一实验设置</w:t>
      </w:r>
    </w:p>
    <w:p w14:paraId="630C5792">
      <w:pPr>
        <w:rPr>
          <w:sz w:val="24"/>
          <w:szCs w:val="24"/>
        </w:rPr>
      </w:pPr>
      <w:r>
        <w:rPr>
          <w:b/>
          <w:color w:val="C00000"/>
          <w:szCs w:val="24"/>
        </w:rPr>
        <w:t>Stage2-B要回答的问题是：Phase1已经识别过的发射机换到未见target receiver后，少量target-old support能否恢复旧类识别能力？</w:t>
      </w:r>
    </w:p>
    <w:p w14:paraId="6B886144">
      <w:pPr>
        <w:pStyle w:val="19"/>
        <w:rPr>
          <w:sz w:val="24"/>
          <w:szCs w:val="24"/>
        </w:rPr>
      </w:pPr>
      <w:r>
        <w:rPr>
          <w:sz w:val="24"/>
          <w:szCs w:val="24"/>
        </w:rPr>
        <w:t>统一实验设置如下：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330"/>
        <w:gridCol w:w="4086"/>
      </w:tblGrid>
      <w:tr w14:paraId="3CB70F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6A0856C0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维度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CF4F710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设置</w:t>
            </w:r>
          </w:p>
        </w:tc>
      </w:tr>
      <w:tr w14:paraId="7D6301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5DCA6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基座模型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CE30C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同一Phase1域泛化基座checkpoint</w:t>
            </w:r>
          </w:p>
        </w:tc>
      </w:tr>
      <w:tr w14:paraId="35BF5D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A3AD9F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 receiver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EC990A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20-1、3-19、7-14、7-7、8-8</w:t>
            </w:r>
          </w:p>
        </w:tc>
      </w:tr>
      <w:tr w14:paraId="0B846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96E8F7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K-shot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18161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1、2、5、10、20</w:t>
            </w:r>
          </w:p>
        </w:tc>
      </w:tr>
      <w:tr w14:paraId="7A466B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18724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随机性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8A0C22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5个独立seed</w:t>
            </w:r>
          </w:p>
        </w:tc>
      </w:tr>
      <w:tr w14:paraId="10AC48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A96F2F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target观测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BF3526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support和query均为固定LEO信道接收IQ</w:t>
            </w:r>
          </w:p>
        </w:tc>
      </w:tr>
      <w:tr w14:paraId="678E85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C54FB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query权限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33C9E3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只测试，不训练、不调参、不回滚</w:t>
            </w:r>
          </w:p>
        </w:tc>
      </w:tr>
      <w:tr w14:paraId="21D5E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1B704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54276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ProtoNet CDA、MRIOR-SDA、DADDA-SDA</w:t>
            </w:r>
          </w:p>
        </w:tc>
      </w:tr>
      <w:bookmarkEnd w:id="3"/>
    </w:tbl>
    <w:p w14:paraId="2604385E">
      <w:pPr>
        <w:pStyle w:val="4"/>
        <w:rPr>
          <w:sz w:val="28"/>
          <w:szCs w:val="28"/>
        </w:rPr>
      </w:pPr>
      <w:r>
        <w:rPr>
          <w:rFonts w:ascii="Times New Roman" w:hAnsi="Times New Roman" w:eastAsia="宋体" w:cs="Times New Roman"/>
          <w:sz w:val="28"/>
          <w:szCs w:val="28"/>
        </w:rPr>
        <w:t>3.2ProtoNet CDA：原型式K-shot目标域校准基线</w:t>
      </w:r>
    </w:p>
    <w:p w14:paraId="0AF32539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Snell等人提出的Prototypical Networks（ProtoNet，即原型网络；CDA在本文中指Cross-Domain Adaptation，即跨域适配。</w:t>
      </w:r>
      <w:r>
        <w:rPr>
          <w:sz w:val="24"/>
          <w:szCs w:val="24"/>
          <w:lang w:eastAsia="zh-CN"/>
        </w:rPr>
        <w:t>该基线不更新backbone，只用目标接收机旧类support重新估计类别中心）原本面向训练阶段未见的新类别少样本分类[1]。本轮实验的support与query均属于Phase1已见旧类，类别不增加，只是receiver域发生变化。其特点是固定特征空间，只用target-old support闭式计算类别中心；不访问source、不反向传播。</w:t>
      </w:r>
    </w:p>
    <w:p w14:paraId="2CE7C297">
      <w:pPr>
        <w:pStyle w:val="19"/>
        <w:rPr>
          <w:sz w:val="24"/>
          <w:szCs w:val="24"/>
        </w:rPr>
      </w:pPr>
      <w:r>
        <w:rPr>
          <w:b/>
          <w:bCs/>
          <w:sz w:val="24"/>
          <w:szCs w:val="24"/>
        </w:rPr>
        <w:t>CVS数据与更新：</w:t>
      </w:r>
      <w:r>
        <w:rPr>
          <w:sz w:val="24"/>
          <w:szCs w:val="24"/>
        </w:rPr>
        <w:t xml:space="preserve"> 加载Phase1域泛化基座的160维身份特征</w:t>
      </w:r>
      <m:oMath>
        <m:r>
          <m:rPr/>
          <w:rPr>
            <w:rFonts w:ascii="Cambria Math" w:hAnsi="Cambria Math"/>
            <w:sz w:val="24"/>
            <w:szCs w:val="24"/>
          </w:rPr>
          <m:t>z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，每个场景只读取6个旧类的K-shot target-old support。对类别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sz w:val="24"/>
          <w:szCs w:val="24"/>
        </w:rPr>
        <w:t>的support集合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，prototype是类内平方距离最小化问题的闭式解：（</w:t>
      </w:r>
      <m:oMath>
        <m:r>
          <m:rPr/>
          <w:rPr>
            <w:rFonts w:ascii="Cambria Math" w:hAnsi="Cambria Math"/>
            <w:sz w:val="24"/>
            <w:szCs w:val="24"/>
          </w:rPr>
          <m:t>x</m:t>
        </m:r>
      </m:oMath>
      <w:r>
        <w:rPr>
          <w:sz w:val="24"/>
          <w:szCs w:val="24"/>
        </w:rPr>
        <w:t>是固定LEO接收IQ，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是参数为</w:t>
      </w:r>
      <m:oMath>
        <m:r>
          <m:rPr/>
          <w:rPr>
            <w:rFonts w:ascii="Cambria Math" w:hAnsi="Cambria Math"/>
            <w:sz w:val="24"/>
            <w:szCs w:val="24"/>
          </w:rPr>
          <m:t>θ</m:t>
        </m:r>
      </m:oMath>
      <w:r>
        <w:rPr>
          <w:sz w:val="24"/>
          <w:szCs w:val="24"/>
        </w:rPr>
        <w:t>的冻结身份编码器，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是第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>个support的160维身份特征。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的support集合，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μ</m:t>
        </m:r>
      </m:oMath>
      <w:r>
        <w:rPr>
          <w:sz w:val="24"/>
          <w:szCs w:val="24"/>
          <w:lang w:eastAsia="zh-CN"/>
        </w:rPr>
        <w:t>是待求中心，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是使类内平方欧氏距离最小的类别原型；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∥⋅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∥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2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表示平方L2范数。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argmin</m:t>
        </m:r>
      </m:oMath>
      <w:r>
        <w:rPr>
          <w:sz w:val="24"/>
          <w:szCs w:val="24"/>
        </w:rPr>
        <w:t>表示选择距离最小的中心或类别）</w:t>
      </w:r>
    </w:p>
    <w:p w14:paraId="5220EE40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z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r>
            <m:rPr/>
            <w:rPr>
              <w:rFonts w:ascii="Cambria Math" w:hAnsi="Cambria Math"/>
              <w:sz w:val="24"/>
              <w:szCs w:val="24"/>
            </w:rPr>
            <m:t>μ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</m:oMath>
      </m:oMathPara>
    </w:p>
    <w:p w14:paraId="5460ED75">
      <w:pPr>
        <w:rPr>
          <w:sz w:val="24"/>
          <w:szCs w:val="24"/>
        </w:rPr>
      </w:pPr>
      <w:r>
        <w:rPr>
          <w:sz w:val="24"/>
          <w:szCs w:val="24"/>
        </w:rPr>
        <w:t>模型锁定后，query按欧氏距离最近的prototype分类：</w:t>
      </w:r>
    </w:p>
    <w:p w14:paraId="2582840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y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acc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=arg</m:t>
          </m:r>
          <m:limLow>
            <m:limLowPr>
              <m:ctrlPr>
                <w:rPr>
                  <w:rFonts w:ascii="Cambria Math" w:hAnsi="Cambria Math"/>
                  <w:sz w:val="24"/>
                  <w:szCs w:val="24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min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lim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lim>
          </m:limLow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f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μ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</m:oMath>
      </m:oMathPara>
    </w:p>
    <w:p w14:paraId="1B1021A4">
      <w:p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核心局限：</w:t>
      </w:r>
      <w:r>
        <w:rPr>
          <w:sz w:val="24"/>
          <w:szCs w:val="24"/>
          <w:lang w:eastAsia="zh-CN"/>
        </w:rPr>
        <w:t xml:space="preserve"> 它只能移动类别参考点，不能修正接收机造成的特征旋转、拉伸或类内多峰，因此</w:t>
      </w:r>
      <w:r>
        <w:rPr>
          <w:rFonts w:hint="eastAsia"/>
          <w:sz w:val="24"/>
          <w:szCs w:val="24"/>
          <w:lang w:eastAsia="zh-CN"/>
        </w:rPr>
        <w:t>效果较差。</w:t>
      </w:r>
    </w:p>
    <w:p w14:paraId="54E75849">
      <w:pPr>
        <w:pStyle w:val="4"/>
        <w:rPr>
          <w:sz w:val="28"/>
          <w:szCs w:val="28"/>
        </w:rPr>
      </w:pPr>
      <w:bookmarkStart w:id="4" w:name="X079109effcc8a347f48bb306a110cf73124dc5d"/>
      <w:r>
        <w:rPr>
          <w:rFonts w:ascii="Times New Roman" w:hAnsi="Times New Roman" w:eastAsia="宋体" w:cs="Times New Roman"/>
          <w:sz w:val="28"/>
          <w:szCs w:val="28"/>
        </w:rPr>
        <w:t>3.3MRIOR-SDA：域对齐与target监督</w:t>
      </w:r>
    </w:p>
    <w:p w14:paraId="4A32BBD7">
      <w:pPr>
        <w:rPr>
          <w:sz w:val="24"/>
          <w:szCs w:val="24"/>
        </w:rPr>
      </w:pPr>
      <w:r>
        <w:rPr>
          <w:sz w:val="24"/>
          <w:szCs w:val="24"/>
        </w:rPr>
        <w:t>Yang等人的MRIOR（Mitigating Receiver Impact on Radio Frequency Fingerprint Identification via Domain Adaptation；SDA是Supervised Domain Adaptation，即监督域适应。CE是Cross-Entropy，即交叉熵；DV-KL是Donsker-Varadhan形式的Kullback-Leibler域差异估计，其中KL表示相对熵；Adam是Adaptive Moment Estimation优化器）原本属于单源无监督域适应[2]。CVS版本用真实target-old support标签替代伪标签，形成监督式域适应。其特点是用可学习的DV-KL估计网络对齐source与target，同时更新完整Phase1域泛化基座身份backbone。</w:t>
      </w:r>
    </w:p>
    <w:p w14:paraId="175D0059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为source和target-support 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|</m:t>
            </m:r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为旧类预测概率，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为根据target-support类别频数得到并归一化到均值1的类别权重：（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分别是源域batch与目标域support batch，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D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是域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</m:oMath>
      <w:r>
        <w:rPr>
          <w:sz w:val="24"/>
          <w:szCs w:val="24"/>
        </w:rPr>
        <w:t>的batch样本数；</w:t>
      </w:r>
      <m:oMath>
        <m:r>
          <m:rPr/>
          <w:rPr>
            <w:rFonts w:ascii="Cambria Math" w:hAnsi="Cambria Math"/>
            <w:sz w:val="24"/>
            <w:szCs w:val="24"/>
          </w:rPr>
          <m:t>D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∈{</m:t>
        </m:r>
        <m:r>
          <m:rPr/>
          <w:rPr>
            <w:rFonts w:ascii="Cambria Math" w:hAnsi="Cambria Math"/>
            <w:sz w:val="24"/>
            <w:szCs w:val="24"/>
          </w:rPr>
          <m:t>src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tgt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}</m:t>
        </m:r>
      </m:oMath>
      <w:r>
        <w:rPr>
          <w:sz w:val="24"/>
          <w:szCs w:val="24"/>
        </w:rPr>
        <w:t>表示公式同时用于source与target。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∣</m:t>
            </m:r>
            <m:r>
              <m:rPr/>
              <w:rPr>
                <w:rFonts w:ascii="Cambria Math" w:hAnsi="Cambria Math"/>
                <w:sz w:val="24"/>
                <w:szCs w:val="24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是模型把观测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x</m:t>
        </m:r>
      </m:oMath>
      <w:r>
        <w:rPr>
          <w:sz w:val="24"/>
          <w:szCs w:val="24"/>
          <w:lang w:eastAsia="zh-CN"/>
        </w:rPr>
        <w:t>判为旧类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的概率；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是目标support中类别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的样本数，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C</m:t>
        </m:r>
      </m:oMath>
      <w:r>
        <w:rPr>
          <w:sz w:val="24"/>
          <w:szCs w:val="24"/>
          <w:lang w:eastAsia="zh-CN"/>
        </w:rPr>
        <w:t>是旧类总数，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是逆频率类别权重，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ε₀</m:t>
        </m:r>
      </m:oMath>
      <w:r>
        <w:rPr>
          <w:sz w:val="24"/>
          <w:szCs w:val="24"/>
          <w:lang w:eastAsia="zh-CN"/>
        </w:rPr>
        <w:t>防止样本数为0时除零；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log</m:t>
        </m:r>
      </m:oMath>
      <w:r>
        <w:rPr>
          <w:sz w:val="24"/>
          <w:szCs w:val="24"/>
          <w:lang w:eastAsia="zh-CN"/>
        </w:rPr>
        <w:t>是自然对数） 本文各方法的分类概率统一记为上述符号。</w:t>
      </w:r>
    </w:p>
    <w:p w14:paraId="65E3169E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+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ε₀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ε₀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53E7A5C1">
      <w:pPr>
        <w:rPr>
          <w:sz w:val="24"/>
          <w:szCs w:val="24"/>
        </w:rPr>
      </w:pPr>
      <w:r>
        <w:rPr>
          <w:sz w:val="24"/>
          <w:szCs w:val="24"/>
        </w:rPr>
        <w:t>source和target的加权交叉熵为：</w:t>
      </w:r>
    </w:p>
    <w:p w14:paraId="78CECEB4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log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</m:t>
          </m:r>
          <m:r>
            <m:rPr/>
            <w:rPr>
              <w:rFonts w:ascii="Cambria Math" w:hAnsi="Cambria Math"/>
              <w:sz w:val="24"/>
              <w:szCs w:val="24"/>
            </w:rPr>
            <m:t>src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tgt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30DCB751">
      <w:pPr>
        <w:rPr>
          <w:sz w:val="24"/>
          <w:szCs w:val="24"/>
        </w:rPr>
      </w:pPr>
      <w:r>
        <w:rPr>
          <w:sz w:val="24"/>
          <w:szCs w:val="24"/>
        </w:rPr>
        <w:t>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为DV估计网络，域差异项为：（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z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是source样本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>与target-support样本</w:t>
      </w:r>
      <m:oMath>
        <m:r>
          <m:rPr/>
          <w:rPr>
            <w:rFonts w:ascii="Cambria Math" w:hAnsi="Cambria Math"/>
            <w:sz w:val="24"/>
            <w:szCs w:val="24"/>
          </w:rPr>
          <m:t>j</m:t>
        </m:r>
      </m:oMath>
      <w:r>
        <w:rPr>
          <w:sz w:val="24"/>
          <w:szCs w:val="24"/>
        </w:rPr>
        <w:t>的特征；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ϕ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是参数为</w:t>
      </w:r>
      <m:oMath>
        <m:r>
          <m:rPr/>
          <w:rPr>
            <w:rFonts w:ascii="Cambria Math" w:hAnsi="Cambria Math"/>
            <w:sz w:val="24"/>
            <w:szCs w:val="24"/>
          </w:rPr>
          <m:t>ϕ</m:t>
        </m:r>
      </m:oMath>
      <w:r>
        <w:rPr>
          <w:sz w:val="24"/>
          <w:szCs w:val="24"/>
        </w:rPr>
        <w:t>的DV域统计网络。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exp</m:t>
        </m:r>
      </m:oMath>
      <w:r>
        <w:rPr>
          <w:sz w:val="24"/>
          <w:szCs w:val="24"/>
          <w:lang w:eastAsia="zh-CN"/>
        </w:rPr>
        <w:t>是指数函数，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DV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KL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越大表示两个接收机域越可区分；训练采用内层最大化域差异估计、外层最小化分类与对齐目标。</w:t>
      </w:r>
      <w:r>
        <w:rPr>
          <w:sz w:val="24"/>
          <w:szCs w:val="24"/>
        </w:rPr>
        <w:t>总损失中的0.5、0.5和0.005分别是source分类、target-support分类和域差异项的固定权重）</w:t>
      </w:r>
    </w:p>
    <w:p w14:paraId="1E7175D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DV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KL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−log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tgt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∈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exp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nary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z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01C39E84">
      <w:pPr>
        <w:rPr>
          <w:sz w:val="24"/>
          <w:szCs w:val="24"/>
        </w:rPr>
      </w:pPr>
      <w:r>
        <w:rPr>
          <w:sz w:val="24"/>
          <w:szCs w:val="24"/>
        </w:rPr>
        <w:t>Phase1域泛化基座的外层优化目标为：</w:t>
      </w:r>
    </w:p>
    <w:p w14:paraId="48A4F1C3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MRIOR-SDA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0.5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0.5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wCE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tgt-support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0.005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DV-KL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7ADBAE70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每个场景使用封存source LEO信道标签缓存和6类K-shot target-old LEO support。</w:t>
      </w:r>
      <w:r>
        <w:rPr>
          <w:sz w:val="24"/>
          <w:szCs w:val="24"/>
          <w:lang w:eastAsia="zh-CN"/>
        </w:rPr>
        <w:t>先用7个内层step最大化DV估计，再更新backbone；两个Adam学习率均为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6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  <w:lang w:eastAsia="zh-CN"/>
        </w:rPr>
        <w:t>，每场景200个外层step。query只在训练结束后测试。该方法的代价是source replay和完整backbone更新，因此只作为宽权限机制对照。</w:t>
      </w:r>
    </w:p>
    <w:bookmarkEnd w:id="4"/>
    <w:p w14:paraId="58C00568">
      <w:pPr>
        <w:pStyle w:val="4"/>
        <w:rPr>
          <w:sz w:val="28"/>
          <w:szCs w:val="28"/>
          <w:lang w:eastAsia="zh-CN"/>
        </w:rPr>
      </w:pPr>
      <w:bookmarkStart w:id="5" w:name="X717cebba3d9acef3bce53d9629af69d7e648448"/>
      <w:r>
        <w:rPr>
          <w:rFonts w:ascii="Times New Roman" w:hAnsi="Times New Roman" w:eastAsia="宋体" w:cs="Times New Roman"/>
          <w:sz w:val="28"/>
          <w:szCs w:val="28"/>
          <w:lang w:eastAsia="zh-CN"/>
        </w:rPr>
        <w:t>3.4DADDA-SDA：全局与类条件动态分布对齐</w:t>
      </w:r>
    </w:p>
    <w:p w14:paraId="599C576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Feng等人的DADDA（Domain Adaptation with Dynamic Distribution Alignment，即动态分布对齐域适应；SDA仍表示监督域适应。MMD是Maximum Mean Discrepancy，即最大均值差异；LMMD是Local Maximum Mean Discrepancy，即按类别局部计算的最大均值差异；RBF是Radial Basis Function，即径向基函数核；SGD是Stochastic Gradient Descent，即随机梯度下降）属于基于统计距离的跨接收机域适应[3]。其特点是同时计算全局MMD和类条件LMMD，再用数据驱动的动态分配二者权重。</w:t>
      </w:r>
    </w:p>
    <w:p w14:paraId="5DD1BE1E">
      <w:pPr>
        <w:pStyle w:val="19"/>
        <w:rPr>
          <w:sz w:val="24"/>
          <w:szCs w:val="24"/>
        </w:rPr>
      </w:pPr>
      <w:r>
        <w:rPr>
          <w:sz w:val="24"/>
          <w:szCs w:val="24"/>
        </w:rPr>
        <w:t>source与target-support的监督分类项均采用标准交叉熵：</w:t>
      </w:r>
    </w:p>
    <w:p w14:paraId="52776B7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D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  D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∈{</m:t>
          </m:r>
          <m:r>
            <m:rPr/>
            <w:rPr>
              <w:rFonts w:ascii="Cambria Math" w:hAnsi="Cambria Math"/>
              <w:sz w:val="24"/>
              <w:szCs w:val="24"/>
            </w:rPr>
            <m:t>src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,</m:t>
          </m:r>
          <m:r>
            <m:rPr/>
            <w:rPr>
              <w:rFonts w:ascii="Cambria Math" w:hAnsi="Cambria Math"/>
              <w:sz w:val="24"/>
              <w:szCs w:val="24"/>
            </w:rPr>
            <m:t>tgt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}</m:t>
          </m:r>
        </m:oMath>
      </m:oMathPara>
    </w:p>
    <w:p w14:paraId="4A62F45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采用RBF核：（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v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是衡量两个特征向量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u</m:t>
        </m:r>
      </m:oMath>
      <w:r>
        <w:rPr>
          <w:sz w:val="24"/>
          <w:szCs w:val="24"/>
          <w:lang w:eastAsia="zh-CN"/>
        </w:rPr>
        <w:t>与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v</m:t>
        </m:r>
      </m:oMath>
      <w:r>
        <w:rPr>
          <w:sz w:val="24"/>
          <w:szCs w:val="24"/>
          <w:lang w:eastAsia="zh-CN"/>
        </w:rPr>
        <w:t>相似度的RBF核，距离越近核值越大；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σ</m:t>
        </m:r>
      </m:oMath>
      <w:r>
        <w:rPr>
          <w:sz w:val="24"/>
          <w:szCs w:val="24"/>
          <w:lang w:eastAsia="zh-CN"/>
        </w:rPr>
        <w:t>是核带宽，控制多大特征距离仍被视为相似。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n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分别是source与target-support样本数；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i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',</m:t>
        </m:r>
        <m:r>
          <m:rPr/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r>
          <m:rPr/>
          <w:rPr>
            <w:rFonts w:ascii="Cambria Math" w:hAnsi="Cambria Math"/>
            <w:sz w:val="24"/>
            <w:szCs w:val="24"/>
          </w:rPr>
          <m:t>j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'</m:t>
        </m:r>
      </m:oMath>
      <w:r>
        <w:rPr>
          <w:sz w:val="24"/>
          <w:szCs w:val="24"/>
        </w:rPr>
        <w:t>是两域中的样本索引。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MMD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比较两域整体特征分布，数值越小表示全局域差异越小）</w:t>
      </w:r>
    </w:p>
    <w:p w14:paraId="5144C9AE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v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=exp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∥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∥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56F9FFC3">
      <w:pPr>
        <w:rPr>
          <w:sz w:val="24"/>
          <w:szCs w:val="24"/>
        </w:rPr>
      </w:pPr>
      <w:r>
        <w:rPr>
          <w:sz w:val="24"/>
          <w:szCs w:val="24"/>
        </w:rPr>
        <w:t>全局MMD为：</w:t>
      </w:r>
    </w:p>
    <w:p w14:paraId="4FD5B6B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'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k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src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z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tgt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54CFE412">
      <w:pPr>
        <w:rPr>
          <w:sz w:val="24"/>
          <w:szCs w:val="24"/>
          <w:lang w:eastAsia="zh-CN"/>
        </w:rPr>
      </w:pPr>
      <w:r>
        <w:rPr>
          <w:sz w:val="24"/>
          <w:szCs w:val="24"/>
        </w:rPr>
        <w:t>对类别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sz w:val="24"/>
          <w:szCs w:val="24"/>
        </w:rPr>
        <w:t>，令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r>
          <m:rPr>
            <m:sty m:val="p"/>
          </m:rPr>
          <w:rPr>
            <w:rFonts w:ascii="Cambria Math" w:hAnsi="Cambria Math"/>
            <w:sz w:val="24"/>
            <w:szCs w:val="24"/>
          </w:rPr>
          <m:t>,</m:t>
        </m:r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为按该类样本数归一化的source/target-support权重，类条件LMMD为：（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是类别</w:t>
      </w:r>
      <m:oMath>
        <m:r>
          <m:rPr/>
          <w:rPr>
            <w:rFonts w:ascii="Cambria Math" w:hAnsi="Cambria Math"/>
            <w:sz w:val="24"/>
            <w:szCs w:val="24"/>
          </w:rPr>
          <m:t>c</m:t>
        </m:r>
      </m:oMath>
      <w:r>
        <w:rPr>
          <w:sz w:val="24"/>
          <w:szCs w:val="24"/>
        </w:rPr>
        <w:t>在source/target-support中的归一化样本权重向量；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src,src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、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tgt,tgt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src,tgt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分别是source内部、target内部以及source-target之间的核矩阵；上标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⊤</m:t>
        </m:r>
      </m:oMath>
      <w:r>
        <w:rPr>
          <w:sz w:val="24"/>
          <w:szCs w:val="24"/>
        </w:rPr>
        <w:t>表示转置。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=</m:t>
            </m:r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  <m:e>
            <m:r>
              <m:rPr/>
              <w:rPr>
                <w:rFonts w:ascii="Cambria Math" w:hAnsi="Cambria Math"/>
                <w:sz w:val="24"/>
                <w:szCs w:val="24"/>
              </w:rPr>
              <m:t>​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nary>
      </m:oMath>
      <w:r>
        <w:rPr>
          <w:sz w:val="24"/>
          <w:szCs w:val="24"/>
          <w:lang w:eastAsia="zh-CN"/>
        </w:rPr>
        <w:t>把所有旧发射机的类条件差异汇总为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LMMD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）</w:t>
      </w:r>
    </w:p>
    <w:p w14:paraId="466D72F6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LMMD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src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src,src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tgt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tgt,tgt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src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p>
                          </m:sSubSup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⊤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src,tgt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tgt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</m:oMath>
      </m:oMathPara>
    </w:p>
    <w:p w14:paraId="6FE01AD6">
      <w:pPr>
        <w:rPr>
          <w:sz w:val="24"/>
          <w:szCs w:val="24"/>
        </w:rPr>
      </w:pPr>
      <w:r>
        <w:rPr>
          <w:sz w:val="24"/>
          <w:szCs w:val="24"/>
          <w:lang w:eastAsia="zh-CN"/>
        </w:rPr>
        <w:t>动态系数和总损失分别为：（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α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,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是由当前batch自动计算的动态权重：全局MMD较大时更强调LMMD，反之更强调MMD；分母中的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ε₀</m:t>
        </m:r>
      </m:oMath>
      <w:r>
        <w:rPr>
          <w:sz w:val="24"/>
          <w:szCs w:val="24"/>
          <w:lang w:eastAsia="zh-CN"/>
        </w:rPr>
        <w:t>保证数值稳定。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CE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src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CE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tgt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support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</w:rPr>
        <w:t>分别监督源样本与目标support的发射机分类；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LMMD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sum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是各类LMMD项的求和；momentum是动量系数，weight decay是权重衰减）</w:t>
      </w:r>
    </w:p>
    <w:p w14:paraId="03726AEC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  <w:szCs w:val="24"/>
            </w:rPr>
            <m:t>α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  <m:scr m:val="script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LMMD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ε₀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</m:oMath>
      </m:oMathPara>
    </w:p>
    <w:p w14:paraId="577C97DB">
      <w:pPr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DADDA-SDA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src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tgt-support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α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MMD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α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LMMD-sum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61DA8845">
      <w:p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CVS执行：</w:t>
      </w:r>
      <w:r>
        <w:rPr>
          <w:sz w:val="24"/>
          <w:szCs w:val="24"/>
        </w:rPr>
        <w:t xml:space="preserve"> 数据与MRIOR-SDA相同；更新完整Phase1域泛化基座身份backbone和旧类分类输出。SGD初始学习率为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>、momentum为0.9、weight decay为</w:t>
      </w:r>
      <m:oMath>
        <m:r>
          <m:rPr/>
          <w:rPr>
            <w:rFonts w:ascii="Cambria Math" w:hAnsi="Cambria Math"/>
            <w:sz w:val="24"/>
            <w:szCs w:val="24"/>
          </w:rPr>
          <m:t>5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×</m:t>
        </m:r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10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−</m:t>
            </m:r>
            <m:r>
              <m:rPr/>
              <w:rPr>
                <w:rFonts w:ascii="Cambria Math" w:hAnsi="Cambria Math"/>
                <w:sz w:val="24"/>
                <w:szCs w:val="24"/>
              </w:rPr>
              <m:t>4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>，每场景200步。</w:t>
      </w:r>
      <w:r>
        <w:rPr>
          <w:sz w:val="24"/>
          <w:szCs w:val="24"/>
          <w:lang w:eastAsia="zh-CN"/>
        </w:rPr>
        <w:t>query不参与CE、MMD、LMMD或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α</m:t>
        </m:r>
      </m:oMath>
      <w:r>
        <w:rPr>
          <w:sz w:val="24"/>
          <w:szCs w:val="24"/>
          <w:lang w:eastAsia="zh-CN"/>
        </w:rPr>
        <w:t>估计。DADDA比MRIOR更直接地约束类条件分布，但K很小时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w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t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估计噪声较大，可能产生负迁移。</w:t>
      </w:r>
    </w:p>
    <w:bookmarkEnd w:id="5"/>
    <w:p w14:paraId="17AAA57F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3.5对比方法机制与权限对比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125"/>
        <w:gridCol w:w="1129"/>
        <w:gridCol w:w="1716"/>
        <w:gridCol w:w="1915"/>
        <w:gridCol w:w="907"/>
        <w:gridCol w:w="1702"/>
        <w:gridCol w:w="1046"/>
      </w:tblGrid>
      <w:tr w14:paraId="7EF77C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89BB83B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方法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58F760A9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方法分类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5441A33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部署输入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0ADD218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更新对象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6761CC11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source访问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DDE90DA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计算特点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E67CB85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本轮能否注册新类</w:t>
            </w:r>
          </w:p>
        </w:tc>
      </w:tr>
      <w:tr w14:paraId="00F704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76AEDD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ProtoNet CDA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C32A32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少样本监督DA基线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DAAC20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E14CD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prototype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04EDCC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C79A3D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0次backbone更新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18FB3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未评估</w:t>
            </w:r>
          </w:p>
        </w:tc>
      </w:tr>
      <w:tr w14:paraId="00505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F8428C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MRIOR-SDA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C1C256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模型更新型监督域适应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ED2BA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source LEO缓存＋target-old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543715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完整身份backbone＋DV-KL估计网络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760B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592D24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200步/场景，3场景合计600步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C99B8B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否，闭集旧类</w:t>
            </w:r>
          </w:p>
        </w:tc>
      </w:tr>
      <w:tr w14:paraId="737BB2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61694D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DADDA-SDA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B58596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统计距离型监督域适应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76B1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source LEO缓存＋target-old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31AA2C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完整身份backbone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FE3335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是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3546E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200步/场景，3场景合计600步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8EEFD6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否，闭集旧类</w:t>
            </w:r>
          </w:p>
        </w:tc>
      </w:tr>
      <w:bookmarkEnd w:id="2"/>
    </w:tbl>
    <w:p w14:paraId="6B7BDC26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3.6对比方法复现实验结果</w:t>
      </w:r>
    </w:p>
    <w:p w14:paraId="09B97D31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以下三张表直接采用《学习进展情况+7.16》中的原始结果表，依次给出总体表现、不同K-shot和不同target receiver的结果。三种方法各运行125个任务，共375个任务；表内数值不再压缩为单一结论。</w:t>
      </w:r>
    </w:p>
    <w:p w14:paraId="2C047D1F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3.6.1总体性能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84"/>
        <w:gridCol w:w="1216"/>
        <w:gridCol w:w="1216"/>
        <w:gridCol w:w="1123"/>
        <w:gridCol w:w="1684"/>
        <w:gridCol w:w="1123"/>
        <w:gridCol w:w="1314"/>
      </w:tblGrid>
      <w:tr w14:paraId="1F74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340CA3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79A12B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18"/>
                <w:szCs w:val="24"/>
                <w:color w:val="1F4E79"/>
              </w:rPr>
              <w:t>DA0_REG0</w:t>
            </w:r>
            <w:r>
              <w:rPr>
                <w:b/>
                <w:sz w:val="18"/>
                <w:szCs w:val="24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CCCF0E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18"/>
                <w:szCs w:val="24"/>
                <w:color w:val="1F4E79"/>
              </w:rPr>
              <w:t>DA1_REG0</w:t>
            </w:r>
            <w:r>
              <w:rPr>
                <w:b/>
                <w:sz w:val="18"/>
                <w:szCs w:val="24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D43133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18"/>
                <w:szCs w:val="24"/>
                <w:color w:val="1F4E79"/>
              </w:rPr>
              <w:t>平均</w:t>
            </w:r>
            <w:r>
              <w:rPr>
                <w:b/>
                <w:sz w:val="18"/>
                <w:szCs w:val="24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G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14495B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正/负迁移任务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F2FA56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平均时延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1E9552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backbone更新</w:t>
            </w:r>
          </w:p>
        </w:tc>
      </w:tr>
      <w:tr w14:paraId="34BC9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BF2838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MRIOR-SDA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AC47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941DB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82.58%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E9F7F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+8.98pp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7F3BE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105/20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CE08D6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17.90s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9E15F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600</w:t>
            </w:r>
          </w:p>
        </w:tc>
      </w:tr>
      <w:tr w14:paraId="16C4E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10F930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DADDA-SDA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D878A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3CD6B2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78.35%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A9523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+4.75pp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6852E4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99/26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E4E5D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14.62s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F64BD7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600</w:t>
            </w:r>
          </w:p>
        </w:tc>
      </w:tr>
      <w:tr w14:paraId="753F2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A7D23C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ProtoNet CDA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DD1BF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121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2B49B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66.85%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5AE59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−6.75pp</w:t>
            </w:r>
          </w:p>
        </w:tc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C9A71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10/115</w:t>
            </w:r>
          </w:p>
        </w:tc>
        <w:tc>
          <w:tcPr>
            <w:tcW w:w="112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BEF2AA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0.046s</w:t>
            </w:r>
          </w:p>
        </w:tc>
        <w:tc>
          <w:tcPr>
            <w:tcW w:w="13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14528E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</w:t>
            </w:r>
          </w:p>
        </w:tc>
      </w:tr>
    </w:tbl>
    <w:p w14:paraId="120B0BEC">
      <w:pPr>
        <w:pStyle w:val="19"/>
        <w:rPr>
          <w:sz w:val="24"/>
          <w:szCs w:val="24"/>
        </w:rPr>
      </w:pPr>
      <w:r>
        <w:rPr>
          <w:sz w:val="24"/>
          <w:szCs w:val="24"/>
        </w:rPr>
        <w:t>MRIOR-SDA的适应后old_acc最高，平均收益为+8.98个百分点；DADDA-SDA平均收益为+4.75个百分点；ProtoNet CDA平均下降6.75个百分点。这说明target-old support含有可利用的域校准信息，但固定embedding上的单prototype不足以修正系统性跨接收机偏移。</w:t>
      </w:r>
    </w:p>
    <w:p w14:paraId="4CD5081E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3.6.2不同K-shot下的结果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936"/>
        <w:gridCol w:w="2106"/>
        <w:gridCol w:w="2106"/>
        <w:gridCol w:w="2059"/>
        <w:gridCol w:w="2153"/>
      </w:tblGrid>
      <w:tr w14:paraId="511A6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3A5474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K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6AB791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直接Phase1域泛化基座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B50E6C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MRIOR-SDA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9B168E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DADDA-SDA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613651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ProtoNet CDA</w:t>
            </w:r>
          </w:p>
        </w:tc>
      </w:tr>
      <w:tr w14:paraId="704B9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D3F7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7D9680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A77AC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77.22%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C1534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74.94%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49C6E9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58.67%</w:t>
            </w:r>
          </w:p>
        </w:tc>
      </w:tr>
      <w:tr w14:paraId="123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F3109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738BE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6E5FB6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79.51%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FEB6E5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76.14%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5F424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64.70%</w:t>
            </w:r>
          </w:p>
        </w:tc>
      </w:tr>
      <w:tr w14:paraId="1A9DF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90FFEC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5ADD2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86C0A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82.59%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3E961E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78.19%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5EB04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68.98%</w:t>
            </w:r>
          </w:p>
        </w:tc>
      </w:tr>
      <w:tr w14:paraId="42F67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8F3462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7D70C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FF720C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85.82%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B221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80.31%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ABD1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70.42%</w:t>
            </w:r>
          </w:p>
        </w:tc>
      </w:tr>
      <w:tr w14:paraId="11C3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3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42089D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53FF3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73.60%</w:t>
            </w:r>
          </w:p>
        </w:tc>
        <w:tc>
          <w:tcPr>
            <w:tcW w:w="21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47327E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87.74%</w:t>
            </w:r>
          </w:p>
        </w:tc>
        <w:tc>
          <w:tcPr>
            <w:tcW w:w="2059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0CF1F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82.16%</w:t>
            </w:r>
          </w:p>
        </w:tc>
        <w:tc>
          <w:tcPr>
            <w:tcW w:w="215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50166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71.48%</w:t>
            </w:r>
          </w:p>
        </w:tc>
      </w:tr>
    </w:tbl>
    <w:p w14:paraId="147E8B9B">
      <w:pPr>
        <w:pStyle w:val="19"/>
        <w:rPr>
          <w:sz w:val="24"/>
          <w:szCs w:val="24"/>
        </w:rPr>
      </w:pPr>
      <w:r>
        <w:rPr>
          <w:sz w:val="24"/>
          <w:szCs w:val="24"/>
        </w:rPr>
        <w:t>K从1增加到20时，MRIOR-SDA与DADDA-SDA持续受益，说明更多target support提高了梯度估计和类条件分布估计的稳定性。ProtoNet CDA也随K增加而改善，但K=20时仍低于直接Phase1域泛化基座。</w:t>
      </w:r>
    </w:p>
    <w:p w14:paraId="55BE8090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3.6.3不同target receiver下的结果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84"/>
        <w:gridCol w:w="1918"/>
        <w:gridCol w:w="1918"/>
        <w:gridCol w:w="1918"/>
        <w:gridCol w:w="1922"/>
      </w:tblGrid>
      <w:tr w14:paraId="61A22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8570A8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target receiver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E3C8ED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直接Phase1域泛化基座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440190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MRIOR-SDA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A0E173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DADDA-SDA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99D466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ProtoNet CDA</w:t>
            </w:r>
          </w:p>
        </w:tc>
      </w:tr>
      <w:tr w14:paraId="55F9D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3CB74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20-1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F44C1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64.61%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BEA8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83.43%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C4C7D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75.91%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D86C3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60.98%</w:t>
            </w:r>
          </w:p>
        </w:tc>
      </w:tr>
      <w:tr w14:paraId="0A78FA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CC2DC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3-19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A8D6F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60.33%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EF38C6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69.06%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5E247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65.31%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A8881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48.50%</w:t>
            </w:r>
          </w:p>
        </w:tc>
      </w:tr>
      <w:tr w14:paraId="0EA40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E3E13A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7-14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E85068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90.06%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580B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89.93%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CB009F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89.93%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87C2BA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83.53%</w:t>
            </w:r>
          </w:p>
        </w:tc>
      </w:tr>
      <w:tr w14:paraId="5CFA7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51CCC8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7-7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CDFCF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80.22%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1310D9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1E3B0A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82.49%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6FDAD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74.81%</w:t>
            </w:r>
          </w:p>
        </w:tc>
      </w:tr>
      <w:tr w14:paraId="55B7B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8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0F0E0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8-8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3D964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72.78%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5F178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83.69%</w:t>
            </w:r>
          </w:p>
        </w:tc>
        <w:tc>
          <w:tcPr>
            <w:tcW w:w="19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BB1B6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78.10%</w:t>
            </w:r>
          </w:p>
        </w:tc>
        <w:tc>
          <w:tcPr>
            <w:tcW w:w="192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BAA0CB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66.42%</w:t>
            </w:r>
          </w:p>
        </w:tc>
      </w:tr>
    </w:tbl>
    <w:p w14:paraId="05068B94">
      <w:pPr>
        <w:pStyle w:val="19"/>
        <w:rPr>
          <w:sz w:val="24"/>
          <w:szCs w:val="24"/>
        </w:rPr>
      </w:pPr>
      <w:r>
        <w:rPr>
          <w:sz w:val="24"/>
          <w:szCs w:val="24"/>
        </w:rPr>
        <w:t>不同receiver的direct基线差异明显：3-19最困难，7-14的direct基线最高。MRIOR-SDA在20-1、7-7和8-8上获得明显正收益，但在7-14上略低于direct，说明高基线receiver继续更新时存在负迁移风险。</w:t>
      </w:r>
    </w:p>
    <w:p w14:paraId="67256316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3.6.4ERTB-IDR Stage2-B域适应实验结果</w:t>
      </w:r>
    </w:p>
    <w:p w14:paraId="20573748">
      <w:pPr>
        <w:pStyle w:val="19"/>
        <w:rPr>
          <w:sz w:val="24"/>
          <w:szCs w:val="24"/>
          <w:lang w:eastAsia="zh-CN"/>
        </w:rPr>
      </w:pPr>
      <w:r>
        <w:rPr>
          <w:szCs w:val="24"/>
        </w:rPr>
        <w:t>ERTB-IDR（Efficient Robust Task-Balanced Incremental Discriminant Registration，高效稳健任务均衡增量判别注册方法；对应D92 E0_FULL_ONLY，而非原始D92）是本报告实际采用的项目对比方法。</w:t>
      </w:r>
      <w:r>
        <w:rPr>
          <w:szCs w:val="24"/>
          <w:lang w:eastAsia="zh-CN"/>
        </w:rPr>
        <w:t>它读取Phase1域泛化基座和当前row的target support：首先从固定LEO接收IQ提取288维联合特征，再使用ground-spectrum Cauchy稳健中心减弱接收机/信道扰动；随后分别估计旧类任务与新类任务的自动收缩协方差，并以固定等权形成任务均衡的共享判别几何；最后仅执行一次full主几何LDA闭式拟合，编译面对全部已注册类的统一仿射分类头。ERTB-IDR不进行梯度训练，也不保存原始exemplar。Stage2-B的S2B-old表示仅使用旧类target support构造的DA1_REG0状态；Stage2-C再加入新类support形成DA1_REG1状态。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55"/>
        <w:gridCol w:w="1872"/>
        <w:gridCol w:w="1591"/>
        <w:gridCol w:w="1778"/>
        <w:gridCol w:w="1591"/>
        <w:gridCol w:w="1873"/>
      </w:tblGrid>
      <w:tr w14:paraId="6B18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CF09B6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K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586748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target receiver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230CB5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clear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4F584D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low-elev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9F6542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rain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A07DF9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三场景均值</w:t>
            </w:r>
          </w:p>
        </w:tc>
      </w:tr>
      <w:tr w14:paraId="3AA3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E4D7D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DC1D47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002085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67.000%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907DE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67.000%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DE74B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65.500%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D50AA5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66.500%</w:t>
            </w:r>
          </w:p>
        </w:tc>
      </w:tr>
      <w:tr w14:paraId="18F13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A891A3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8C0AA5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254BC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52.833%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7E0B5B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43.333%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2A779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52.667%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DEF1B2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49.611%</w:t>
            </w:r>
          </w:p>
        </w:tc>
      </w:tr>
      <w:tr w14:paraId="20B63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9C2B0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CFC908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04079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80.000%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46F1A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80.833%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5677C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76.667%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E2085B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79.167%</w:t>
            </w:r>
          </w:p>
        </w:tc>
      </w:tr>
      <w:tr w14:paraId="37F08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A1994C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26C9C1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BACC8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81.667%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E821A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74.167%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0525E8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71.000%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30092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75.611%</w:t>
            </w:r>
          </w:p>
        </w:tc>
      </w:tr>
      <w:tr w14:paraId="787F1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130B6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4DC192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ABEE4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75.167%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85E9C0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70.500%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944C5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63.833%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440E43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69.833%</w:t>
            </w:r>
          </w:p>
        </w:tc>
      </w:tr>
      <w:tr w14:paraId="6EF0F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E7DBA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85864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5接收机总体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214C7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71.333%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2442D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67.167%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C9F99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65.933%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1C147E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68.144%</w:t>
            </w:r>
          </w:p>
        </w:tc>
      </w:tr>
      <w:tr w14:paraId="3347C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DEE5F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CC84EA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7E059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88.667%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CA8DF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58D385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5B747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83.889%</w:t>
            </w:r>
          </w:p>
        </w:tc>
      </w:tr>
      <w:tr w14:paraId="4494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2BF397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D0BD61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A20AD4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69.833%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2A4923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E898FB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65.167%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E5B03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66.889%</w:t>
            </w:r>
          </w:p>
        </w:tc>
      </w:tr>
      <w:tr w14:paraId="2AEC0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217094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8CCE7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7DDD8D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4D5488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54D919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77.667%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BD6CF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81.944%</w:t>
            </w:r>
          </w:p>
        </w:tc>
      </w:tr>
      <w:tr w14:paraId="6E01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AF585F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82244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598A9D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93.500%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CB798B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89.667%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A6A332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90.333%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739C32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91.167%</w:t>
            </w:r>
          </w:p>
        </w:tc>
      </w:tr>
      <w:tr w14:paraId="3660D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68987D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52C9E9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BCDDBA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85.500%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36F8D3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989A6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79.333%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0C3E6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82.444%</w:t>
            </w:r>
          </w:p>
        </w:tc>
      </w:tr>
      <w:tr w14:paraId="110B6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BCFF7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4555EE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5接收机总体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26B97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85.033%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A67D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80.400%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021AFB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78.367%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75FCB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81.267%</w:t>
            </w:r>
          </w:p>
        </w:tc>
      </w:tr>
      <w:tr w14:paraId="7CC91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EA4ECB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81A9D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20-1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00A8A5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93.000%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F6A5B3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88.000%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E3B040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86.500%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9159A3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89.167%</w:t>
            </w:r>
          </w:p>
        </w:tc>
      </w:tr>
      <w:tr w14:paraId="378FB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BCA4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1ECCB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3-19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442016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76.000%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33BBD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72.500%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5D755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71.500%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10568B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73.333%</w:t>
            </w:r>
          </w:p>
        </w:tc>
      </w:tr>
      <w:tr w14:paraId="51052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F0433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F25891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7-14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E08845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91.333%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7C9700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83.000%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5DC34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84.500%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BD90E4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86.278%</w:t>
            </w:r>
          </w:p>
        </w:tc>
      </w:tr>
      <w:tr w14:paraId="3ED2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E03178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7AB76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7-7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7F3DD3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96.833%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17ADD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96.333%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19EB21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94.167%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023F7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95.778%</w:t>
            </w:r>
          </w:p>
        </w:tc>
      </w:tr>
      <w:tr w14:paraId="7D96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C0DFE7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FE7CE7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8-8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AE927D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91.167%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DA93C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83.833%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7BBC8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83.000%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5FC5D5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86.000%</w:t>
            </w:r>
          </w:p>
        </w:tc>
      </w:tr>
      <w:tr w14:paraId="07D2B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3407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87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70EF6A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5接收机总体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4188A9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89.667%</w:t>
            </w:r>
          </w:p>
        </w:tc>
        <w:tc>
          <w:tcPr>
            <w:tcW w:w="177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C8A296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84.733%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B63777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83.933%</w:t>
            </w:r>
          </w:p>
        </w:tc>
        <w:tc>
          <w:tcPr>
            <w:tcW w:w="1873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1EACD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86.111%</w:t>
            </w:r>
          </w:p>
        </w:tc>
      </w:tr>
    </w:tbl>
    <w:p w14:paraId="39E7A8DD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</w:rPr>
        <w:t>ERTB-IDR的Stage2-B域适应准确率随support由K=1增加到K=5、K=10而提升：5个接收机三场景总体均值依次为68.144%、81.267%和86.111%。</w:t>
      </w:r>
      <w:r>
        <w:rPr>
          <w:sz w:val="24"/>
          <w:szCs w:val="24"/>
          <w:lang w:eastAsia="zh-CN"/>
        </w:rPr>
        <w:t>同一K下，clear场景总体最高，low-elev与rain场景更低；接收机3-19始终最弱，K=10时三场景均值仍仅73.333%，说明接收机域偏移和信道扰动尚未被完全消除。</w:t>
      </w:r>
    </w:p>
    <w:p w14:paraId="0745F9FC">
      <w:pPr>
        <w:pStyle w:val="19"/>
        <w:rPr>
          <w:sz w:val="24"/>
          <w:szCs w:val="24"/>
          <w:lang w:eastAsia="zh-CN"/>
        </w:rPr>
      </w:pPr>
    </w:p>
    <w:p w14:paraId="2293E7E7">
      <w:pPr>
        <w:pStyle w:val="19"/>
        <w:rPr>
          <w:sz w:val="24"/>
          <w:szCs w:val="24"/>
          <w:lang w:eastAsia="zh-CN"/>
        </w:rPr>
      </w:pPr>
    </w:p>
    <w:p w14:paraId="1F345AF7">
      <w:pPr>
        <w:pStyle w:val="19"/>
        <w:rPr>
          <w:sz w:val="24"/>
          <w:szCs w:val="24"/>
          <w:lang w:eastAsia="zh-CN"/>
        </w:rPr>
      </w:pPr>
    </w:p>
    <w:p w14:paraId="36928B99">
      <w:pPr>
        <w:pStyle w:val="19"/>
        <w:rPr>
          <w:sz w:val="24"/>
          <w:szCs w:val="24"/>
          <w:lang w:eastAsia="zh-CN"/>
        </w:rPr>
      </w:pPr>
    </w:p>
    <w:p w14:paraId="2F024C91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3.6.5ERTB-IDR与域适应方法的共同LEO场景对照</w:t>
      </w:r>
    </w:p>
    <w:p w14:paraId="0640244E">
      <w:pPr>
        <w:pStyle w:val="19"/>
        <w:rPr>
          <w:sz w:val="24"/>
          <w:szCs w:val="24"/>
        </w:rPr>
      </w:pPr>
      <w:r>
        <w:rPr>
          <w:sz w:val="24"/>
          <w:szCs w:val="24"/>
        </w:rPr>
        <w:t>下表将ERTB-IDR的S2B-old与相同三类LEO信道场景下的域适应对比方法并列。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55"/>
        <w:gridCol w:w="1591"/>
        <w:gridCol w:w="1591"/>
        <w:gridCol w:w="1591"/>
        <w:gridCol w:w="1591"/>
        <w:gridCol w:w="2341"/>
      </w:tblGrid>
      <w:tr w14:paraId="4731C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5BD7EB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K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1B2AC5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直接Phase1域泛化基座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E8A3D2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MRIOR-SDA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857E55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DADDA-SDA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F05357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ProtoNet CDA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5E0ABF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ERTB-IDR Stage2-B旧类准确率</w:t>
            </w:r>
          </w:p>
        </w:tc>
      </w:tr>
      <w:tr w14:paraId="55188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C1656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00013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F93AD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69.88%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D542BE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72.58%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25A5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59.47%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C3C6C6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68.144%</w:t>
            </w:r>
          </w:p>
        </w:tc>
      </w:tr>
      <w:tr w14:paraId="4CA34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9F78A2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87B9E4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9741F2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79.17%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6DAE8D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76.74%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7234E4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70.28%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7DFEC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81.267%</w:t>
            </w:r>
          </w:p>
        </w:tc>
      </w:tr>
      <w:tr w14:paraId="22BE5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5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0182DB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A9DDDB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75.21%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54F2CA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84.50%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97058C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79.36%</w:t>
            </w:r>
          </w:p>
        </w:tc>
        <w:tc>
          <w:tcPr>
            <w:tcW w:w="159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60ADC4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70.86%</w:t>
            </w:r>
          </w:p>
        </w:tc>
        <w:tc>
          <w:tcPr>
            <w:tcW w:w="234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9B07D2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86.111%</w:t>
            </w:r>
          </w:p>
        </w:tc>
      </w:tr>
    </w:tbl>
    <w:p w14:paraId="7AEC8801">
      <w:pPr>
        <w:pStyle w:val="19"/>
        <w:rPr>
          <w:sz w:val="24"/>
          <w:szCs w:val="24"/>
        </w:rPr>
      </w:pPr>
      <w:r>
        <w:rPr>
          <w:sz w:val="24"/>
          <w:szCs w:val="24"/>
        </w:rPr>
        <w:t>在这一描述性口径下，ERTB-IDR的Stage2-B旧类准确率在K=5和K=10时分别为81.267%和86.111%，高于同表中的三个论文适配头；K=1时MRIOR-SDA为69.88%，高于ERTB-IDR的68.144%。这里比较的是完成旧类support域适应后的S2B-old，而不是Phase1模型直接推理结果。此时尚未加入新类，ERTB-IDR的旧/新任务均衡协方差也尚未启用；数值反映ERTB-IDR的旧类support稳健状态构造，不能归因于Stage2-C均衡模块。</w:t>
      </w:r>
    </w:p>
    <w:p w14:paraId="5F2A85B9">
      <w:pPr>
        <w:pStyle w:val="3"/>
        <w:rPr>
          <w:sz w:val="36"/>
          <w:szCs w:val="32"/>
          <w:lang w:eastAsia="zh-CN"/>
        </w:rPr>
      </w:pPr>
      <w:bookmarkStart w:id="6" w:name="X2464148e56484ad46d4959199fb3b49214b217b"/>
      <w:r>
        <w:rPr>
          <w:rFonts w:ascii="Times New Roman" w:hAnsi="Times New Roman" w:eastAsia="宋体" w:cs="Times New Roman"/>
          <w:sz w:val="36"/>
          <w:szCs w:val="32"/>
          <w:lang w:eastAsia="zh-CN"/>
        </w:rPr>
        <w:t>4.Stage2-C：少样本类增量仿真实验</w:t>
      </w:r>
    </w:p>
    <w:p w14:paraId="7D58F1AE">
      <w:pPr>
        <w:pStyle w:val="4"/>
        <w:rPr>
          <w:sz w:val="28"/>
          <w:szCs w:val="28"/>
          <w:lang w:eastAsia="zh-CN"/>
        </w:rPr>
      </w:pPr>
      <w:bookmarkStart w:id="7" w:name="Xe41a15347bd3fd3b4101ce2aaa7c7c4b55233d0"/>
      <w:r>
        <w:rPr>
          <w:rFonts w:ascii="Times New Roman" w:hAnsi="Times New Roman" w:eastAsia="宋体" w:cs="Times New Roman"/>
          <w:sz w:val="28"/>
          <w:szCs w:val="28"/>
          <w:lang w:eastAsia="zh-CN"/>
        </w:rPr>
        <w:t>4.1仿真问题、代码口径与数据</w:t>
      </w:r>
    </w:p>
    <w:p w14:paraId="583C9A7E">
      <w:pPr>
        <w:rPr>
          <w:sz w:val="24"/>
          <w:szCs w:val="24"/>
          <w:lang w:eastAsia="zh-CN"/>
        </w:rPr>
      </w:pPr>
      <w:r>
        <w:rPr>
          <w:b/>
          <w:color w:val="C00000"/>
          <w:szCs w:val="24"/>
          <w:lang w:eastAsia="zh-CN"/>
        </w:rPr>
        <w:t>Stage2-C在同一target receiver中注册新类，并要求旧类与新类在同一输出空间统一竞争，因此它是跨域FSCIL。</w:t>
      </w:r>
      <w:r>
        <w:rPr>
          <w:szCs w:val="24"/>
          <w:lang w:eastAsia="zh-CN"/>
        </w:rPr>
        <w:t>本轮每个cell只执行一次新类集合注册，编码器接口接入Phase1域泛化基座输出的160维，其余训练器、损失和更新范围按官方实现保留。（CSIL是Channel Separation Enabled Incremental Learning，即通道隔离型增量学习；MoPC-HR是Momentum-based Prototype Correction and Hierarchical Regularization，即基于动量的原型校正与分层正则；HR表示Hierarchical Regularization；exemplar是保存供后续回放的历史原始样本；无exemplar表示不保存旧类原始IQ，但仍可保留旧模型、Fisher信息或类别prototype等聚合历史状态）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83"/>
        <w:gridCol w:w="3885"/>
        <w:gridCol w:w="3872"/>
      </w:tblGrid>
      <w:tr w14:paraId="34FB75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27FFBE66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环节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193814BE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CSIL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17806DA8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MoPC-HR</w:t>
            </w:r>
          </w:p>
        </w:tc>
      </w:tr>
      <w:tr w14:paraId="29B42D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DC7A98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Phase2前基座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FBF866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5879条source base train＋2521条Fisher validation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193AF2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8400条source base训练并保存6个旧类prototype</w:t>
            </w:r>
          </w:p>
        </w:tc>
      </w:tr>
      <w:tr w14:paraId="4D80F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0317EE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Phase2真实训练数据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5DD3CD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当前cell的target-new K-shot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373689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当前cell的target-new K-shot support</w:t>
            </w:r>
          </w:p>
        </w:tc>
      </w:tr>
      <w:tr w14:paraId="29984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7A3164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query作用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69B0CEA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旧类测遗忘、新类测注册；均不参与训练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54B6CC3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旧类测遗忘、新类测注册；均不参与训练</w:t>
            </w:r>
          </w:p>
        </w:tc>
      </w:tr>
      <w:tr w14:paraId="5D52F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1548EC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冻结矩阵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3F71654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K=5、10、20；新类规模1、3、20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292075C6">
            <w:pPr>
              <w:spacing w:after="0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K=5、10、20；新类规模1、3、5、10、25</w:t>
            </w:r>
          </w:p>
        </w:tc>
      </w:tr>
    </w:tbl>
    <w:p w14:paraId="53E4547F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</w:rPr>
        <w:t>这里的source数据只用于构造进入Phase2前的旧类状态，不是每个增量cell中的source replay。每个cell的唯一真实增量训练数据是target-new K-shot support；old query与new query均只用于模型冻结后的统一评价，不能参与训练、调参、回滚或阈值选择。</w:t>
      </w:r>
    </w:p>
    <w:bookmarkEnd w:id="7"/>
    <w:p w14:paraId="798A7F73">
      <w:pPr>
        <w:pStyle w:val="4"/>
        <w:rPr>
          <w:sz w:val="28"/>
          <w:szCs w:val="28"/>
          <w:lang w:eastAsia="zh-CN"/>
        </w:rPr>
      </w:pPr>
      <w:bookmarkStart w:id="8" w:name="Xa5c3c5dc97a1f787a3a9294b6bba64696e83dab"/>
      <w:r>
        <w:rPr>
          <w:rFonts w:ascii="Times New Roman" w:hAnsi="Times New Roman" w:eastAsia="宋体" w:cs="Times New Roman"/>
          <w:sz w:val="28"/>
          <w:szCs w:val="28"/>
          <w:lang w:eastAsia="zh-CN"/>
        </w:rPr>
        <w:t>4.2CSIL：通道隔离型无exemplar类增量学习</w:t>
      </w:r>
    </w:p>
    <w:p w14:paraId="51484D8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Liu等人提出的CSIL属于无exemplar、结构扩展型类增量方法[4]。其特点是冻结Phase1域泛化基座backbone，以通道扩展和mask限制新类更新，再用EWC与KD保护旧类响应。</w:t>
      </w:r>
    </w:p>
    <w:p w14:paraId="5DD2D323">
      <w:pPr>
        <w:pStyle w:val="19"/>
        <w:rPr>
          <w:sz w:val="24"/>
          <w:szCs w:val="24"/>
        </w:rPr>
      </w:pPr>
      <w:r>
        <w:rPr>
          <w:b/>
          <w:bCs/>
          <w:sz w:val="24"/>
          <w:szCs w:val="24"/>
        </w:rPr>
        <w:t>CVS数据与更新：</w:t>
      </w:r>
      <w:r>
        <w:rPr>
          <w:sz w:val="24"/>
          <w:szCs w:val="24"/>
        </w:rPr>
        <w:t xml:space="preserve"> 进入Phase2前，5879条source样本训练zero-bias Fingerprints基座，2521条互斥source样本估计Fisher。Phase2只用target-new support训练；Phase1域泛化基座冻结，fc只更新新增行和bias，fingerprint只允许old-old与new-new块更新，两个交叉块保持为0。</w:t>
      </w:r>
    </w:p>
    <w:p w14:paraId="7BFACE29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为新类support训练batch，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|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为全部注册类概率。新类交叉熵为：（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是当前新类support训练batch，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π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∣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是当前模型对全部已注册类别的概率。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  <w:lang w:eastAsia="zh-CN"/>
        </w:rPr>
        <w:t>是增量前冻结参数，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是当前第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个参数，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是该参数对旧任务的重要性。EWC是Elastic Weight Consolidation（弹性权重固化），通过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EWC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限制重要参数漂移；KD是Knowledge Distillation（知识蒸馏），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分别是旧模型与当前模型对旧类的fingerprint响应，系数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/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32</m:t>
        </m:r>
      </m:oMath>
      <w:r>
        <w:rPr>
          <w:sz w:val="24"/>
          <w:szCs w:val="24"/>
          <w:lang w:eastAsia="zh-CN"/>
        </w:rPr>
        <w:t>按32维响应取均值。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  <m:scr m:val="script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ℒ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CSIL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是新类CE、EWC和KD的加权和；SGDM是带动量的SGD；epoch是完整遍历训练集一次，batch size是一次参数更新读取的样本数）</w:t>
      </w:r>
    </w:p>
    <w:p w14:paraId="5FC4030A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7DB5721E">
      <w:pPr>
        <w:rPr>
          <w:sz w:val="24"/>
          <w:szCs w:val="24"/>
        </w:rPr>
      </w:pPr>
      <w:r>
        <w:rPr>
          <w:sz w:val="24"/>
          <w:szCs w:val="24"/>
        </w:rPr>
        <w:t>EWC使用Phase2前参数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  <w:szCs w:val="24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p>
      </m:oMath>
      <w:r>
        <w:rPr>
          <w:sz w:val="24"/>
          <w:szCs w:val="24"/>
        </w:rPr>
        <w:t>和Fisher重要性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：</w:t>
      </w:r>
    </w:p>
    <w:p w14:paraId="34E7E0C9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EWC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p>
                  </m:sSubSup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p>
        </m:oMath>
      </m:oMathPara>
    </w:p>
    <w:p w14:paraId="3EA74A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令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x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  <w:lang w:eastAsia="zh-CN"/>
        </w:rPr>
        <w:t>为旧模型与当前模型的旧类fingerprint响应，官方KD为：</w:t>
      </w:r>
    </w:p>
    <w:p w14:paraId="32E0DA6D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KD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 w:hAnsi="Cambria Math"/>
                  <w:sz w:val="24"/>
                  <w:szCs w:val="24"/>
                </w:rPr>
                <m:t>32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x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</m:oMath>
      </m:oMathPara>
    </w:p>
    <w:p w14:paraId="77285299">
      <w:pPr>
        <w:rPr>
          <w:sz w:val="24"/>
          <w:szCs w:val="24"/>
        </w:rPr>
      </w:pPr>
      <w:r>
        <w:rPr>
          <w:sz w:val="24"/>
          <w:szCs w:val="24"/>
        </w:rPr>
        <w:t>实际执行总损失为：</w:t>
      </w:r>
    </w:p>
    <w:p w14:paraId="60F5B0F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CSIL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CE,new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EWC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0.2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KD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4C92D776">
      <w:p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执行特点：</w:t>
      </w:r>
      <w:r>
        <w:rPr>
          <w:sz w:val="24"/>
          <w:szCs w:val="24"/>
        </w:rPr>
        <w:t xml:space="preserve"> 3个epoch、batch size 20、drop_last=True，手工SGDM学习率为（其中u表示optimizer step）</w:t>
      </w:r>
      <m:oMath>
        <m:r>
          <m:rPr/>
          <w:rPr>
            <w:rFonts w:ascii="Cambria Math" w:hAnsi="Cambria Math"/>
            <w:sz w:val="24"/>
            <w:szCs w:val="24"/>
          </w:rPr>
          <m:t>0.01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/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+</m:t>
            </m:r>
            <m:r>
              <m:rPr/>
              <w:rPr>
                <w:rFonts w:ascii="Cambria Math" w:hAnsi="Cambria Math"/>
                <w:sz w:val="24"/>
                <w:szCs w:val="24"/>
              </w:rPr>
              <m:t>0.01u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。</w:t>
      </w:r>
      <w:r>
        <w:rPr>
          <w:sz w:val="24"/>
          <w:szCs w:val="24"/>
          <w:lang w:eastAsia="zh-CN"/>
        </w:rPr>
        <w:t>query用zero-bias全注册类argmax，训练步数为0。该方法旧类约束最强，但低K时可能没有完整batch，或者新类更新被旧类约束压制。</w:t>
      </w:r>
    </w:p>
    <w:bookmarkEnd w:id="8"/>
    <w:p w14:paraId="38609AA4">
      <w:pPr>
        <w:pStyle w:val="4"/>
        <w:rPr>
          <w:sz w:val="28"/>
          <w:szCs w:val="28"/>
        </w:rPr>
      </w:pPr>
      <w:bookmarkStart w:id="9" w:name="X71f2e484c158983947a2c66dcb2ce360d6afc56"/>
      <w:r>
        <w:rPr>
          <w:rFonts w:ascii="Times New Roman" w:hAnsi="Times New Roman" w:eastAsia="宋体" w:cs="Times New Roman"/>
          <w:sz w:val="28"/>
          <w:szCs w:val="28"/>
        </w:rPr>
        <w:t>4.3MoPC-HR：prototype校正与分层正则化</w:t>
      </w:r>
    </w:p>
    <w:p w14:paraId="6D195812">
      <w:pPr>
        <w:rPr>
          <w:sz w:val="24"/>
          <w:szCs w:val="24"/>
        </w:rPr>
      </w:pPr>
      <w:r>
        <w:rPr>
          <w:sz w:val="24"/>
          <w:szCs w:val="24"/>
        </w:rPr>
        <w:t>Li等人提出的MoPC-HR属于无exemplar、prototype校正型类增量方法[5]。其特点是允许完整Phase1域泛化基座随新类support更新，同时用旧prototype伪特征和分层参数正则限制遗忘。</w:t>
      </w:r>
    </w:p>
    <w:p w14:paraId="0054AA39">
      <w:pPr>
        <w:pStyle w:val="19"/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CVS数据与更新：</w:t>
      </w:r>
      <w:r>
        <w:rPr>
          <w:sz w:val="24"/>
          <w:szCs w:val="24"/>
        </w:rPr>
        <w:t xml:space="preserve"> 进入Phase2前用全部8400条source旧类样本训练基座并保存6个old prototype。Phase2真实样本只来自target-new support；每个step另采样16个old prototype并加入</w:t>
      </w:r>
      <m:oMath>
        <m:r>
          <m:rPr/>
          <w:rPr>
            <w:rFonts w:ascii="Cambria Math" w:hAnsi="Cambria Math"/>
            <w:sz w:val="24"/>
            <w:szCs w:val="24"/>
          </w:rPr>
          <m:t>ξ</m:t>
        </m:r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∼N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0.05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。Phase1域泛化基座backbone和Linear classifier均更新。（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是被采样旧类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c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的prototype，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ξ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  <m:scr m:val="script"/>
          </m:rPr>
          <w:rPr>
            <w:rFonts w:ascii="Cambria Math" w:hAnsi="Cambria Math"/>
            <w:sz w:val="24"/>
            <w:szCs w:val="24"/>
          </w:rPr>
          <m:t>∼N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/>
                <w:sz w:val="24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0.05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</m:oMath>
      <w:r>
        <w:rPr>
          <w:sz w:val="24"/>
          <w:szCs w:val="24"/>
        </w:rPr>
        <w:t>是零均值各向同性高斯扰动向量，</w:t>
      </w:r>
      <m:oMath>
        <m:r>
          <m:rPr/>
          <w:rPr>
            <w:rFonts w:ascii="Cambria Math" w:hAnsi="Cambria Math"/>
            <w:sz w:val="24"/>
            <w:szCs w:val="24"/>
          </w:rPr>
          <m:t>I</m:t>
        </m:r>
      </m:oMath>
      <w:r>
        <w:rPr>
          <w:sz w:val="24"/>
          <w:szCs w:val="24"/>
        </w:rPr>
        <w:t>为单位矩阵，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是增强后的伪旧类特征。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B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是每次采样的旧prototype数，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g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是当前分类器，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Tₜₑₘₚ</m:t>
        </m:r>
      </m:oMath>
      <w:r>
        <w:rPr>
          <w:sz w:val="24"/>
          <w:szCs w:val="24"/>
          <w:lang w:eastAsia="zh-CN"/>
        </w:rPr>
        <w:t>是softmax温度；softmax把logit转换为类别概率。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是参数组索引，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是参数组总数，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是逐层正则权重，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与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θ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分别是旧/当前参数组。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old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和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  <w:lang w:eastAsia="zh-CN"/>
        </w:rPr>
        <w:t>是旧类与新类prototype矩阵，</w:t>
      </w:r>
      <m:oMath>
        <m:sSubSup>
          <m:sSubSupPr>
            <m:ctrlPr>
              <w:rPr>
                <w:rFonts w:ascii="Cambria Math" w:hAnsi="Cambria Math"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P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new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∗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p>
        </m:sSubSup>
      </m:oMath>
      <w:r>
        <w:rPr>
          <w:sz w:val="24"/>
          <w:szCs w:val="24"/>
          <w:lang w:eastAsia="zh-CN"/>
        </w:rPr>
        <w:t>是更新前的新类prototype；0.97/0.03是保留旧prototype与吸收校正量的固定动量系数）</w:t>
      </w:r>
    </w:p>
    <w:p w14:paraId="4B12ED9A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新类真实样本交叉熵为：</w:t>
      </w:r>
    </w:p>
    <w:p w14:paraId="3031FCD2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CE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new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​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π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08BCDE48">
      <w:pPr>
        <w:rPr>
          <w:sz w:val="24"/>
          <w:szCs w:val="24"/>
        </w:rPr>
      </w:pPr>
      <w:r>
        <w:rPr>
          <w:sz w:val="24"/>
          <w:szCs w:val="24"/>
        </w:rPr>
        <w:t>令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z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</m:acc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μ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c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r</m:t>
                </m: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ξ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>为增强后的旧类prototype，温度</w:t>
      </w:r>
      <m:oMath>
        <m:r>
          <m:rPr/>
          <w:rPr>
            <w:rFonts w:ascii="Cambria Math" w:hAnsi="Cambria Math"/>
            <w:sz w:val="24"/>
            <w:szCs w:val="24"/>
          </w:rPr>
          <m:t>Tₜₑₘₚ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=</m:t>
        </m:r>
        <m:r>
          <m:rPr/>
          <w:rPr>
            <w:rFonts w:ascii="Cambria Math" w:hAnsi="Cambria Math"/>
            <w:sz w:val="24"/>
            <w:szCs w:val="24"/>
          </w:rPr>
          <m:t>2</m:t>
        </m:r>
      </m:oMath>
      <w:r>
        <w:rPr>
          <w:sz w:val="24"/>
          <w:szCs w:val="24"/>
        </w:rPr>
        <w:t>，prototype augmentation损失为：</w:t>
      </w:r>
    </w:p>
    <w:p w14:paraId="50A8296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protoAug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=−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log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z w:val="24"/>
              <w:szCs w:val="24"/>
            </w:rPr>
            <m:t>softmax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g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̃"/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  <m:t>z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r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</m:d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</w:rPr>
                        <m:t>Tₜₑₘₚ</m:t>
                      </m: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5E49259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公开trainer对第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组参数使用递减系数</w: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a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</m:t>
            </m:r>
            <m:ctrlPr>
              <w:rPr>
                <w:rFonts w:ascii="Cambria Math" w:hAnsi="Cambria Math"/>
                <w:sz w:val="24"/>
                <w:szCs w:val="24"/>
              </w:rPr>
            </m:ctrlPr>
          </m:sub>
        </m:sSub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=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−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  <w:lang w:eastAsia="zh-CN"/>
              </w:rPr>
              <m:t>j−</m:t>
            </m:r>
            <m:r>
              <m:rPr/>
              <w:rPr>
                <w:rFonts w:ascii="Cambria Math" w:hAnsi="Cambria Math"/>
                <w:sz w:val="24"/>
                <w:szCs w:val="24"/>
                <w:lang w:eastAsia="zh-CN"/>
              </w:rPr>
              <m:t>1</m:t>
            </m:r>
            <m:ctrlPr>
              <w:rPr>
                <w:rFonts w:ascii="Cambria Math" w:hAnsi="Cambria Math"/>
                <w:sz w:val="24"/>
                <w:szCs w:val="24"/>
              </w:rPr>
            </m:ctrlPr>
          </m:e>
        </m:d>
        <m:r>
          <m:rPr>
            <m:sty m:val="p"/>
          </m:rPr>
          <w:rPr>
            <w:rFonts w:ascii="Cambria Math" w:hAnsi="Cambria Math"/>
            <w:sz w:val="24"/>
            <w:szCs w:val="24"/>
            <w:lang w:eastAsia="zh-CN"/>
          </w:rPr>
          <m:t>/</m:t>
        </m:r>
        <m:r>
          <m:rPr/>
          <w:rPr>
            <w:rFonts w:ascii="Cambria Math" w:hAnsi="Cambria Math"/>
            <w:sz w:val="24"/>
            <w:szCs w:val="24"/>
            <w:lang w:eastAsia="zh-CN"/>
          </w:rPr>
          <m:t>J</m:t>
        </m:r>
      </m:oMath>
      <w:r>
        <w:rPr>
          <w:sz w:val="24"/>
          <w:szCs w:val="24"/>
          <w:lang w:eastAsia="zh-CN"/>
        </w:rPr>
        <w:t>，分层正则为：</w:t>
      </w:r>
    </w:p>
    <w:p w14:paraId="3732FAA7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j=</m:t>
              </m:r>
              <m:r>
                <m:rPr/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∥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−</m:t>
          </m:r>
          <m:sSubSup>
            <m:sSubSupPr>
              <m:ctrlPr>
                <w:rPr>
                  <w:rFonts w:ascii="Cambria Math" w:hAnsi="Cambria Math"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θ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∗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p>
          </m:sSubSup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∥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2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39C69D61">
      <w:pPr>
        <w:rPr>
          <w:sz w:val="24"/>
          <w:szCs w:val="24"/>
        </w:rPr>
      </w:pPr>
      <w:r>
        <w:rPr>
          <w:sz w:val="24"/>
          <w:szCs w:val="24"/>
        </w:rPr>
        <w:t>实际执行总损失为：</w:t>
      </w:r>
    </w:p>
    <w:p w14:paraId="13905B5F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MoPC-HR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CE,new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protoAug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  <m:scr m:val="script"/>
                </m:rPr>
                <w:rPr>
                  <w:rFonts w:ascii="Cambria Math" w:hAnsi="Cambria Math"/>
                  <w:sz w:val="24"/>
                  <w:szCs w:val="24"/>
                </w:rPr>
                <m:t>ℒ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sz w:val="24"/>
                  <w:szCs w:val="24"/>
                </w:rPr>
                <m:t>HR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</m:oMath>
      </m:oMathPara>
    </w:p>
    <w:p w14:paraId="240E09C7">
      <w:pPr>
        <w:rPr>
          <w:sz w:val="24"/>
          <w:szCs w:val="24"/>
        </w:rPr>
      </w:pPr>
      <w:r>
        <w:rPr>
          <w:sz w:val="24"/>
          <w:szCs w:val="24"/>
          <w:lang w:eastAsia="zh-CN"/>
        </w:rPr>
        <w:t>公开代码还计算KD用于日志，但KD不进入总loss。</w:t>
      </w:r>
      <w:r>
        <w:rPr>
          <w:sz w:val="24"/>
          <w:szCs w:val="24"/>
        </w:rPr>
        <w:t>训练后prototype校正为：</w:t>
      </w:r>
    </w:p>
    <w:p w14:paraId="4999EEF5">
      <w:pPr>
        <w:pStyle w:val="19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acc>
                <m:accPr>
                  <m:chr m:val="̃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acc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</m:acc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r>
            <m:rPr/>
            <w:rPr>
              <w:rFonts w:ascii="Cambria Math" w:hAnsi="Cambria Math"/>
              <w:sz w:val="24"/>
              <w:szCs w:val="24"/>
            </w:rPr>
            <m:t>0.97</m:t>
          </m:r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 w:hAnsi="Cambria Math"/>
                  <w:sz w:val="24"/>
                  <w:szCs w:val="24"/>
                </w:rPr>
                <m:t>old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+</m:t>
          </m:r>
          <m:r>
            <m:rPr/>
            <w:rPr>
              <w:rFonts w:ascii="Cambria Math" w:hAnsi="Cambria Math"/>
              <w:sz w:val="24"/>
              <w:szCs w:val="24"/>
            </w:rPr>
            <m:t>0.03softmax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new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b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</m:ctrlPr>
                        </m:sup>
                      </m:sSubSup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⊤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new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</m:d>
        </m:oMath>
      </m:oMathPara>
    </w:p>
    <w:p w14:paraId="31711AC6">
      <w:pPr>
        <w:rPr>
          <w:sz w:val="24"/>
          <w:szCs w:val="24"/>
          <w:lang w:eastAsia="zh-CN"/>
        </w:rPr>
      </w:pPr>
      <w:r>
        <w:rPr>
          <w:b/>
          <w:bCs/>
          <w:sz w:val="24"/>
          <w:szCs w:val="24"/>
        </w:rPr>
        <w:t>执行特点：</w:t>
      </w:r>
      <w:r>
        <w:rPr>
          <w:sz w:val="24"/>
          <w:szCs w:val="24"/>
        </w:rPr>
        <w:t xml:space="preserve"> 20个epoch、batch size 16、SGD学习率0.01。正式CVS query仍使用当前模型的全注册类classifier logits，而不是校正prototype。</w:t>
      </w:r>
      <w:r>
        <w:rPr>
          <w:sz w:val="24"/>
          <w:szCs w:val="24"/>
          <w:lang w:eastAsia="zh-CN"/>
        </w:rPr>
        <w:t>该方法新类可塑性强于CSIL，但完整backbone更新会放大旧类遗忘。</w:t>
      </w:r>
    </w:p>
    <w:bookmarkEnd w:id="9"/>
    <w:p w14:paraId="5B1CFBBD">
      <w:pPr>
        <w:pStyle w:val="4"/>
        <w:rPr>
          <w:sz w:val="28"/>
          <w:szCs w:val="28"/>
        </w:rPr>
      </w:pPr>
      <w:bookmarkStart w:id="10" w:name="X5001bd00c1e45a019c9ebc60a72c3cd7b05aeed"/>
      <w:r>
        <w:rPr>
          <w:rFonts w:ascii="Times New Roman" w:hAnsi="Times New Roman" w:eastAsia="宋体" w:cs="Times New Roman"/>
          <w:sz w:val="28"/>
          <w:szCs w:val="28"/>
        </w:rPr>
        <w:t>4.4CSIL与MoPC-HR机制对比</w:t>
      </w:r>
    </w:p>
    <w:tbl>
      <w:tblPr>
        <w:tblW w:w="0" w:type="auto"/>
        <w:tblInd w:w="0" w:type="dxa"/>
        <w:tblLayout w:type="autofit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746"/>
        <w:gridCol w:w="3598"/>
        <w:gridCol w:w="4196"/>
      </w:tblGrid>
      <w:tr w14:paraId="5D178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01F26B63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比较维度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4C0E73C1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CSIL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D9E2F3"/>
            <w:vAlign w:val="center"/>
          </w:tcPr>
          <w:p w14:paraId="617B9532">
            <w:pPr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20"/>
                <w:szCs w:val="24"/>
                <w:color w:val="1F4E79"/>
              </w:rPr>
              <w:t>MoPC-HR</w:t>
            </w:r>
          </w:p>
        </w:tc>
      </w:tr>
      <w:tr w14:paraId="28EBA8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AA654B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主要方法类别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A0D0F1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结构扩展与通道隔离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20946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prototype校正与分层正则</w:t>
            </w:r>
          </w:p>
        </w:tc>
      </w:tr>
      <w:tr w14:paraId="5C7B57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3BAD95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历史原始样本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6230C66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不保存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437671C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不保存</w:t>
            </w:r>
          </w:p>
        </w:tc>
      </w:tr>
      <w:tr w14:paraId="3925A2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02E89570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Phase2真实训练样本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FB98C9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target-new support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C53E28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target-new support＋旧prototype伪特征</w:t>
            </w:r>
          </w:p>
        </w:tc>
      </w:tr>
      <w:tr w14:paraId="78C1F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3C558F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保留的历史状态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74F373B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旧模型、fingerprint结构、Fisher重要参数统计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AAC22DB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旧类prototype、旧模型参数</w:t>
            </w:r>
          </w:p>
        </w:tc>
      </w:tr>
      <w:tr w14:paraId="16013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3F4872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Phase1基座更新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16F167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冻结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46145B5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不冻结</w:t>
            </w:r>
          </w:p>
        </w:tc>
      </w:tr>
      <w:tr w14:paraId="184F6C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82F14A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实际损失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138FD3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CE-new＋EWC＋0.2KD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2566AE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CE-new＋protoAug＋逐参数非平方L2 HR；KD仅记录</w:t>
            </w:r>
          </w:p>
        </w:tc>
      </w:tr>
      <w:tr w14:paraId="35ECF7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A0B8C8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旧类保护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681B69F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mask、冻结、KD、EWC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7EBD0EC8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prototype增强、HR、旧参数参考</w:t>
            </w:r>
          </w:p>
        </w:tc>
      </w:tr>
      <w:tr w14:paraId="6DDF7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5EE4C7C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最终query规则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9D0496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zero-bias全注册类argmax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169BB0EF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当前模型全注册类classifier logits argmax</w:t>
            </w:r>
          </w:p>
        </w:tc>
      </w:tr>
      <w:tr w14:paraId="63FE8E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3110190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主要风险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519DCED4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过度保护旧类，新类不注册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7F9FC"/>
            <w:vAlign w:val="center"/>
          </w:tcPr>
          <w:p w14:paraId="2E148351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新类学得快，但旧类遗忘</w:t>
            </w:r>
          </w:p>
        </w:tc>
      </w:tr>
      <w:tr w14:paraId="290F68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37A4D0B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部署特征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48E8130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结构复杂、容量增长</w:t>
            </w:r>
          </w:p>
        </w:tc>
        <w:tc>
          <w:tcPr>
            <w:tcW w:w="0" w:type="auto"/>
            <w:tcMar>
              <w:top w:w="70" w:type="dxa"/>
              <w:left w:w="90" w:type="dxa"/>
              <w:bottom w:w="70" w:type="dxa"/>
              <w:right w:w="90" w:type="dxa"/>
            </w:tcMar>
            <w:shd w:val="clear" w:color="auto" w:fill="FFFFFF"/>
            <w:vAlign w:val="center"/>
          </w:tcPr>
          <w:p w14:paraId="0A2E30B6">
            <w:pPr>
              <w:spacing w:after="0" w:line="240" w:lineRule="auto"/>
              <w:rPr>
                <w:sz w:val="24"/>
                <w:szCs w:val="24"/>
                <w:lang w:eastAsia="zh-CN"/>
              </w:rPr>
            </w:pPr>
            <w:r>
              <w:rPr>
                <w:sz w:val="20"/>
                <w:szCs w:val="24"/>
                <w:lang w:eastAsia="zh-CN"/>
              </w:rPr>
              <w:t>状态较紧凑，但仍需多轮训练</w:t>
            </w:r>
          </w:p>
        </w:tc>
      </w:tr>
      <w:bookmarkEnd w:id="10"/>
    </w:tbl>
    <w:p w14:paraId="4F303F71">
      <w:pPr>
        <w:pStyle w:val="4"/>
        <w:rPr>
          <w:sz w:val="28"/>
          <w:szCs w:val="28"/>
          <w:lang w:eastAsia="zh-CN"/>
        </w:rPr>
      </w:pPr>
      <w:r>
        <w:rPr>
          <w:rFonts w:ascii="Times New Roman" w:hAnsi="Times New Roman" w:eastAsia="宋体" w:cs="Times New Roman"/>
          <w:sz w:val="28"/>
          <w:szCs w:val="28"/>
          <w:lang w:eastAsia="zh-CN"/>
        </w:rPr>
        <w:t>4.5正式LEO信道逐配置结果</w:t>
      </w:r>
    </w:p>
    <w:p w14:paraId="08FEB689">
      <w:pPr>
        <w:pStyle w:val="5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4.5.1按K-shot与新类规模拆分的正式结果</w:t>
      </w:r>
    </w:p>
    <w:p w14:paraId="2EAD4923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按K-shot与新类数拆分，并在每个配置内按方法展开。旧类与新类query只用于冻结后评价；</w:t>
      </w:r>
    </w:p>
    <w:p w14:paraId="48DB935D">
      <w:pPr>
        <w:pStyle w:val="19"/>
        <w:keepNext/>
        <w:keepLines/>
        <w:spacing w:after="60"/>
        <w:rPr>
          <w:sz w:val="24"/>
          <w:szCs w:val="24"/>
          <w:lang w:eastAsia="zh-CN"/>
        </w:rPr>
      </w:pPr>
      <w:bookmarkStart w:id="11" w:name="PHASE2_METRIC_DEFINITIONS_V1_1"/>
      <w:r>
        <w:rPr>
          <w:b/>
          <w:bCs/>
          <w:color w:val="1F4E79"/>
          <w:sz w:val="21"/>
          <w:szCs w:val="21"/>
          <w:lang w:eastAsia="zh-CN"/>
        </w:rPr>
        <w:t>表中指标定义与判读</w:t>
      </w:r>
      <w:bookmarkEnd w:id="11"/>
    </w:p>
    <w:p w14:paraId="2AB133D9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2" w:name="PHASE2_METRIC_DEFINITIONS_V1_2"/>
      <w:r>
        <w:rPr>
          <w:sz w:val="21"/>
          <w:szCs w:val="21"/>
          <w:lang w:eastAsia="zh-CN"/>
        </w:rPr>
        <w:t>配置标题中的</w:t>
      </w:r>
      <m:oMath>
        <m:r>
          <m:rPr/>
          <w:rPr>
            <w:rFonts w:ascii="Cambria Math" w:hAnsi="Cambria Math"/>
            <w:lang w:eastAsia="zh-CN"/>
          </w:rPr>
          <m:t>K</m:t>
        </m:r>
      </m:oMath>
      <w:r>
        <w:rPr>
          <w:sz w:val="21"/>
          <w:szCs w:val="21"/>
          <w:lang w:eastAsia="zh-CN"/>
        </w:rPr>
        <w:t>表示每个新类可用的独立support样本数，“新类数”表示本次同时注册的新发射机类别数量。以下准确率和调和均值均在冻结模型的query上计算，query不参与训练或参数更新；准确率与调和均值按百分比（%）报告，遗忘量按百分点（percentage point, pp）判读。</w:t>
      </w:r>
      <w:bookmarkEnd w:id="12"/>
    </w:p>
    <w:p w14:paraId="6B1ED63C">
      <w:pPr>
        <w:pStyle w:val="19"/>
        <w:keepLines/>
        <w:spacing w:after="60"/>
        <w:rPr>
          <w:sz w:val="24"/>
          <w:szCs w:val="24"/>
          <w:lang w:eastAsia="zh-CN"/>
        </w:rPr>
      </w:pPr>
      <m:oMath>
        <m:sSubSup>
          <w:bookmarkStart w:id="13" w:name="PHASE2_METRIC_DEFINITIONS_V1_3"/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DA0_REG1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correct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query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sz w:val="21"/>
          <w:szCs w:val="21"/>
          <w:lang w:eastAsia="zh-CN"/>
        </w:rPr>
        <w:t>（注册后旧类准确率）：分子为正确识别的旧类query样本数，分母为旧类query总数。上标表示未执行目标域适应、但已完成新类注册。该指标衡量注册新类后模型保留原有发射机身份的能力，数值越大越好。</w:t>
      </w:r>
      <w:bookmarkEnd w:id="13"/>
    </w:p>
    <w:p w14:paraId="190DA3CD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4" w:name="PHASE2_METRIC_DEFINITIONS_V1_4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new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correct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N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query</m:t>
                </m:r>
                <m:ctrlPr>
                  <w:rPr>
                    <w:rFonts w:ascii="Cambria Math" w:hAnsi="Cambria Math"/>
                  </w:rPr>
                </m:ctrlPr>
              </m:sup>
            </m:sSubSup>
            <m:ctrlPr>
              <w:rPr>
                <w:rFonts w:ascii="Cambria Math" w:hAnsi="Cambria Math"/>
              </w:rPr>
            </m:ctrlPr>
          </m:den>
        </m:f>
      </m:oMath>
      <w:r>
        <w:rPr>
          <w:sz w:val="21"/>
          <w:szCs w:val="21"/>
          <w:lang w:eastAsia="zh-CN"/>
        </w:rPr>
        <w:t>（已注册新类准确率）：分子为正确识别的新类query样本数，分母为新类query总数。本节表格省略状态上标，但统计状态同样为未执行目标域适应且已完成新类注册。该指标衡量少量support是否建立了可用的新发射机身份边界，数值越大越好；取0表示没有任何新类query被正确识别。</w:t>
      </w:r>
      <w:bookmarkEnd w:id="14"/>
    </w:p>
    <w:p w14:paraId="3B51A772">
      <w:pPr>
        <w:pStyle w:val="19"/>
        <w:keepLines/>
        <w:spacing w:after="60"/>
        <w:rPr>
          <w:sz w:val="24"/>
          <w:szCs w:val="24"/>
          <w:lang w:eastAsia="zh-CN"/>
        </w:rPr>
      </w:pPr>
      <m:oMath>
        <m:sSub>
          <w:bookmarkStart w:id="15" w:name="PHASE2_METRIC_DEFINITIONS_V1_5"/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H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old,new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/>
              <w:rPr>
                <w:rFonts w:ascii="Cambria Math" w:hAnsi="Cambria Math"/>
                <w:lang w:eastAsia="zh-CN"/>
              </w:rPr>
              <m:t>2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DA0_REG1</m:t>
                </m:r>
                <m:ctrlPr>
                  <w:rPr>
                    <w:rFonts w:ascii="Cambria Math" w:hAnsi="Cambria Math"/>
                  </w:rPr>
                </m:ctrlP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old</m:t>
                </m:r>
                <m:ctrlPr>
                  <w:rPr>
                    <w:rFonts w:ascii="Cambria Math" w:hAnsi="Cambria Math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lang w:eastAsia="zh-CN"/>
                  </w:rPr>
                  <m:t>DA0_REG1</m:t>
                </m:r>
                <m:ctrlPr>
                  <w:rPr>
                    <w:rFonts w:ascii="Cambria Math" w:hAnsi="Cambria Math"/>
                  </w:rPr>
                </m:ctrlPr>
              </m:sup>
            </m:sSubSup>
            <m:r>
              <m:rPr/>
              <w:rPr>
                <w:rFonts w:ascii="Cambria Math" w:hAnsi="Cambria Math"/>
                <w:lang w:eastAsia="zh-CN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eastAsia="zh-CN"/>
                  </w:rPr>
                  <m:t>A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m:rPr/>
                  <w:rPr>
                    <w:rFonts w:ascii="Cambria Math" w:hAnsi="Cambria Math"/>
                    <w:lang w:eastAsia="zh-CN"/>
                  </w:rPr>
                  <m:t>new</m:t>
                </m:r>
                <m:ctrlPr>
                  <w:rPr>
                    <w:rFonts w:ascii="Cambria Math" w:hAnsi="Cambria Math"/>
                  </w:rPr>
                </m:ctrlPr>
              </m:sub>
            </m:sSub>
            <m:ctrlPr>
              <w:rPr>
                <w:rFonts w:ascii="Cambria Math" w:hAnsi="Cambria Math"/>
              </w:rPr>
            </m:ctrlPr>
          </m:den>
        </m:f>
      </m:oMath>
      <w:r>
        <w:rPr>
          <w:sz w:val="21"/>
          <w:szCs w:val="21"/>
          <w:lang w:eastAsia="zh-CN"/>
        </w:rPr>
        <w:t>（旧新类调和均值）：同时衡量旧类保留与新类注册，分母为两项准确率之和；当分母为0时，该指标按0计。任一侧准确率为0都会使调和均值为0，因此它比算术平均更能暴露“只保旧类”或“只学新类”的单侧失效，数值越大越好。</w:t>
      </w:r>
      <w:bookmarkEnd w:id="15"/>
    </w:p>
    <w:p w14:paraId="46918E31">
      <w:pPr>
        <w:pStyle w:val="19"/>
        <w:keepLines/>
        <w:spacing w:after="60"/>
        <w:rPr>
          <w:sz w:val="24"/>
          <w:szCs w:val="24"/>
          <w:lang w:eastAsia="zh-CN"/>
        </w:rPr>
      </w:pPr>
      <w:bookmarkStart w:id="16" w:name="PHASE2_METRIC_DEFINITIONS_V1_6"/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/>
              <w:rPr>
                <w:rFonts w:ascii="Cambria Math" w:hAnsi="Cambria Math"/>
                <w:lang w:eastAsia="zh-CN"/>
              </w:rPr>
              <m:t>F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DA0_REG0</m:t>
            </m:r>
            <m:ctrlPr>
              <w:rPr>
                <w:rFonts w:ascii="Cambria Math" w:hAnsi="Cambria Math"/>
              </w:rPr>
            </m:ctrlPr>
          </m:sup>
        </m:sSubSup>
        <m:r>
          <m:rPr/>
          <w:rPr>
            <w:rFonts w:ascii="Cambria Math" w:hAnsi="Cambria Math"/>
            <w:lang w:eastAsia="zh-CN"/>
          </w:rPr>
          <m:t>−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/>
              <w:rPr>
                <w:rFonts w:ascii="Cambria Math" w:hAnsi="Cambria Math"/>
                <w:lang w:eastAsia="zh-CN"/>
              </w:rPr>
              <m:t>A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ascii="Cambria Math" w:hAnsi="Cambria Math"/>
                <w:lang w:eastAsia="zh-CN"/>
              </w:rPr>
              <m:t>old</m:t>
            </m:r>
            <m:ctrlPr>
              <w:rPr>
                <w:rFonts w:ascii="Cambria Math" w:hAnsi="Cambria Math"/>
              </w:rPr>
            </m:ctrlPr>
          </m:sub>
          <m:sup>
            <m:r>
              <m:rPr/>
              <w:rPr>
                <w:rFonts w:ascii="Cambria Math" w:hAnsi="Cambria Math"/>
                <w:lang w:eastAsia="zh-CN"/>
              </w:rPr>
              <m:t>DA0_REG1</m:t>
            </m:r>
            <m:ctrlPr>
              <w:rPr>
                <w:rFonts w:ascii="Cambria Math" w:hAnsi="Cambria Math"/>
              </w:rPr>
            </m:ctrlPr>
          </m:sup>
        </m:sSubSup>
      </m:oMath>
      <w:r>
        <w:rPr>
          <w:sz w:val="21"/>
          <w:szCs w:val="21"/>
          <w:lang w:eastAsia="zh-CN"/>
        </w:rPr>
        <w:t>（旧类遗忘量）：用新类注册前的旧类准确率减去注册后的旧类准确率。前一状态表示未执行域适应且尚未注册新类，后一状态表示未执行域适应但已经完成新类注册。表中由两个百分比数值直接相减，单位按百分点（pp）理解；正值表示旧类性能下降，0表示没有下降，负值表示注册后旧类性能反而提高，数值越小越好。</w:t>
      </w:r>
      <w:bookmarkEnd w:id="16"/>
    </w:p>
    <w:p w14:paraId="5908B61B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，新类数=1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720231E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E3F0E8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41C963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7BBF25C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04D6B3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5180FB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28C9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6F019DA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41CA5D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A14488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72E7DA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D97C5D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0D22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730768D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940FB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CFE67F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6E8887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1C7129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</w:tbl>
    <w:p w14:paraId="714F280F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，新类数=3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2C71146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4C0BE2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14B13C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84211E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9B4D04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8A666E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C9B5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9EE845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E57FC9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082C1F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357092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D06E56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1A9A0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E83C324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FE1FF2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C05D15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63D829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0.04%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0C9038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</w:tbl>
    <w:p w14:paraId="210D6002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9B345DE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928ED3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222260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31AF2A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BDCBFE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EBAA75C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23AC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D8C407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89322E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77.44%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FADC40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25.65%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845A2B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37.97%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28061F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10.02%</w:t>
            </w:r>
          </w:p>
        </w:tc>
      </w:tr>
    </w:tbl>
    <w:p w14:paraId="246ACF7B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，新类数=10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35714F11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0A65ED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990BDE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0D1834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0A5541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196E8E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D9D7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6F309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4C63AA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63.80%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3C4596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22.08%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EA79F1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32.30%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F8FE05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23.67%</w:t>
            </w:r>
          </w:p>
        </w:tc>
      </w:tr>
    </w:tbl>
    <w:p w14:paraId="4D59D9F9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F04D89B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B0BFD8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608DB6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CD52E2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959133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9431EE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8E7D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7F6B2F6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E3C5C9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CB7C7F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5.17%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17E5B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0.54%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7801D1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82.92%</w:t>
            </w:r>
          </w:p>
        </w:tc>
      </w:tr>
    </w:tbl>
    <w:p w14:paraId="50E6AADF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K=5</m:t>
        </m:r>
      </m:oMath>
      <w:r>
        <w:rPr>
          <w:b/>
          <w:color w:val="1F4E79"/>
          <w:szCs w:val="24"/>
        </w:rPr>
        <w:t>，新类数=25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C41198D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C360CD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097A08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3F5F74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E1CBE1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FB4F5A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3CFD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87E292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AFDFC5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58.73%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CC54A8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14.82%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7C9D39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23.43%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4C850C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28.73%</w:t>
            </w:r>
          </w:p>
        </w:tc>
      </w:tr>
    </w:tbl>
    <w:p w14:paraId="3673935D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，新类数=1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3C722196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AE9384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0206E9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7400B5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F00236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35B30F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7D811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7F57A1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D5170B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85CE86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4D96C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E9ECF3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6CF62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D957D73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FA93E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87.47%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A08A05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7FC15E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CE01E4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</w:tbl>
    <w:p w14:paraId="3B156EC8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，新类数=3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0C4F336E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047D17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E3C724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FF95E7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CA9F66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F5F0BA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6760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574BF0D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AD2497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05A0C3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994531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A450FA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33F47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93C94D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426B2F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66.78%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BAC12F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50.40%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36106F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56.78%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C542AA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20.69%</w:t>
            </w:r>
          </w:p>
        </w:tc>
      </w:tr>
    </w:tbl>
    <w:p w14:paraId="445DB0BC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3AD7E2A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95204B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A8CF52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CA64E0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30C79D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0AA633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FC27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CDDFC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20EE34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47.38%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32230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50.52%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E7623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48.05%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53BBCB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40.09%</w:t>
            </w:r>
          </w:p>
        </w:tc>
      </w:tr>
    </w:tbl>
    <w:p w14:paraId="1337249E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，新类数=10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CAB170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584746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57347D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297356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DE8A2C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0B8CD5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AA1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A9ED11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9C7402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44.69%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F432B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33.15%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24A729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37.57%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1A079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42.78%</w:t>
            </w:r>
          </w:p>
        </w:tc>
      </w:tr>
    </w:tbl>
    <w:p w14:paraId="57E8FA49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1FD5224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FD6B50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AEAFC8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3E7532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C6D3C1C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5A7C24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11BE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E9069F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53CF0D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8.33%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DF0E5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5.49%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9358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3.17%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8C6E3C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75.37%</w:t>
            </w:r>
          </w:p>
        </w:tc>
      </w:tr>
    </w:tbl>
    <w:p w14:paraId="47ADB4D0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K=10</m:t>
        </m:r>
      </m:oMath>
      <w:r>
        <w:rPr>
          <w:b/>
          <w:color w:val="1F4E79"/>
          <w:szCs w:val="24"/>
        </w:rPr>
        <w:t>，新类数=25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661F964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DFE5E2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26F397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FFD4E2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3ABC43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F929B7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4A471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7A96C2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9A6496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44.99%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5A508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22.31%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2D024A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29.32%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61B242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42.48%</w:t>
            </w:r>
          </w:p>
        </w:tc>
      </w:tr>
    </w:tbl>
    <w:p w14:paraId="25727347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，新类数=1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4458CE86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2BD3CF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0D999B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6EAD93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A9C2E1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4A0B55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0FFBE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DF7CC50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665E68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83.70%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E4A0EE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A2B8F4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424C0A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0.00%</w:t>
            </w:r>
          </w:p>
        </w:tc>
      </w:tr>
      <w:tr w14:paraId="1814D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E38594B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2C69751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60.76%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7A7EF0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96.53%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08A530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72.69%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5A14D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26.71%</w:t>
            </w:r>
          </w:p>
        </w:tc>
      </w:tr>
    </w:tbl>
    <w:p w14:paraId="71E1DA42">
      <w:pPr>
        <w:keepNext/>
        <w:keepLines/>
        <w:pageBreakBefore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，新类数=3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5063F1A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07EF96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232E61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5B2F6D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DB4C20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A846AE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53A65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BAFB180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E39221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0.08%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0DD94B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34.04%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9FDC1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0.14%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2CC535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83.62%</w:t>
            </w:r>
          </w:p>
        </w:tc>
      </w:tr>
      <w:tr w14:paraId="44825C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0A176B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D53269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48.96%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9FD255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71.47%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F8F097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57.23%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D6B32A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38.51%</w:t>
            </w:r>
          </w:p>
        </w:tc>
      </w:tr>
    </w:tbl>
    <w:p w14:paraId="5818DBC9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7695BD1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CB4892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4FDB26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3B1ACC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23D165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C8F0A9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0BD7E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983CF5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0B6B24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33.28%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BE2D8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61.31%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888B2F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41.09%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F466D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54.19%</w:t>
            </w:r>
          </w:p>
        </w:tc>
      </w:tr>
    </w:tbl>
    <w:p w14:paraId="75682EFE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，新类数=10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85C1230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8DFAA1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78C990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7D6B01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22EAF4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407553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8AD99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F32B00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697C84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34.07%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7EBD79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41.36%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DBA766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35.48%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55C156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53.40%</w:t>
            </w:r>
          </w:p>
        </w:tc>
      </w:tr>
    </w:tbl>
    <w:p w14:paraId="26E04352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6462FD9C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4837AC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30A03E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244861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9D8092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FE3E20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7EF9C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4A8263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CSIL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CEA59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59.84%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B409C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5.64%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8E88C7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9.96%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C61620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23.86%</w:t>
            </w:r>
          </w:p>
        </w:tc>
      </w:tr>
    </w:tbl>
    <w:p w14:paraId="4FCA5BEC">
      <w:pPr>
        <w:keepNext/>
        <w:keepLines/>
        <w:spacing w:before="140" w:after="60"/>
        <w:rPr>
          <w:sz w:val="24"/>
          <w:szCs w:val="24"/>
        </w:rPr>
      </w:pPr>
      <w:r>
        <w:rPr>
          <w:b/>
          <w:color w:val="1F4E79"/>
          <w:szCs w:val="24"/>
        </w:rPr>
        <w:t>配置：</w:t>
      </w:r>
      <m:oMath>
        <m:r>
          <m:rPr/>
          <w:rPr>
            <w:rFonts w:ascii="Cambria Math" w:hAnsi="Cambria Math"/>
            <w:sz w:val="24"/>
            <w:szCs w:val="24"/>
          </w:rPr>
          <m:t>K=20</m:t>
        </m:r>
      </m:oMath>
      <w:r>
        <w:rPr>
          <w:b/>
          <w:color w:val="1F4E79"/>
          <w:szCs w:val="24"/>
        </w:rPr>
        <w:t>，新类数=25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1617"/>
        <w:gridCol w:w="1964"/>
        <w:gridCol w:w="1964"/>
        <w:gridCol w:w="1964"/>
        <w:gridCol w:w="1851"/>
      </w:tblGrid>
      <w:tr w14:paraId="5D8C8441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13553E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8"/>
                <w:szCs w:val="24"/>
                <w:bCs/>
                <w:color w:val="1F4E79"/>
              </w:rPr>
              <w:t>方法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5E0F00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DA0_REG1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1661DD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593389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BEDD18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50D9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17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2BAABBE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MoPC-HR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E5B9B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36.66%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B58F5E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27.86%</w:t>
            </w:r>
          </w:p>
        </w:tc>
        <w:tc>
          <w:tcPr>
            <w:tcW w:w="196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EDE7C3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30.23%</w:t>
            </w:r>
          </w:p>
        </w:tc>
        <w:tc>
          <w:tcPr>
            <w:tcW w:w="1851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84FB63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8"/>
                <w:szCs w:val="24"/>
              </w:rPr>
              <w:t>50.81%</w:t>
            </w:r>
          </w:p>
        </w:tc>
      </w:tr>
    </w:tbl>
    <w:p w14:paraId="167990CB">
      <w:pPr>
        <w:pStyle w:val="5"/>
        <w:rPr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4.5.2主要现象</w:t>
      </w:r>
    </w:p>
    <w:p w14:paraId="50B485ED">
      <w:pPr>
        <w:pStyle w:val="19"/>
        <w:rPr>
          <w:sz w:val="24"/>
          <w:szCs w:val="24"/>
          <w:lang w:eastAsia="zh-CN"/>
        </w:rPr>
      </w:pPr>
      <w:r>
        <w:rPr>
          <w:b/>
          <w:color w:val="C00000"/>
          <w:sz w:val="24"/>
          <w:szCs w:val="24"/>
          <w:lang w:eastAsia="zh-CN"/>
        </w:rPr>
        <w:t>低K、少新类时存在零注册。</w:t>
      </w:r>
      <w:r>
        <w:rPr>
          <w:sz w:val="24"/>
          <w:szCs w:val="24"/>
          <w:lang w:eastAsia="zh-CN"/>
        </w:rPr>
        <w:t>CSIL在K=5/10且新类数为1或3时seen_new_acc为0；MoPC-HR在K=5或10、新类数为1时也为0。</w:t>
      </w:r>
    </w:p>
    <w:p w14:paraId="3882A832">
      <w:pPr>
        <w:pStyle w:val="19"/>
        <w:rPr>
          <w:sz w:val="24"/>
          <w:szCs w:val="24"/>
          <w:lang w:eastAsia="zh-CN"/>
        </w:rPr>
      </w:pPr>
      <w:r>
        <w:rPr>
          <w:b/>
          <w:color w:val="C00000"/>
          <w:sz w:val="24"/>
          <w:szCs w:val="24"/>
          <w:lang w:eastAsia="zh-CN"/>
        </w:rPr>
        <w:t>MoPC-HR的可塑性更强，但会牺牲旧类。</w:t>
      </w:r>
      <w:r>
        <w:rPr>
          <w:sz w:val="24"/>
          <w:szCs w:val="24"/>
          <w:lang w:eastAsia="zh-CN"/>
        </w:rPr>
        <w:t>K=20、新类数1时seen_new_acc为96.53%，H_old_new为72.69%；与此同时，old_acc_after降至60.76%，forgetting为26.71个百分点。</w:t>
      </w:r>
    </w:p>
    <w:p w14:paraId="077B4A81">
      <w:pPr>
        <w:pStyle w:val="19"/>
        <w:rPr>
          <w:sz w:val="24"/>
          <w:szCs w:val="24"/>
          <w:lang w:eastAsia="zh-CN"/>
        </w:rPr>
      </w:pPr>
      <w:r>
        <w:rPr>
          <w:b/>
          <w:color w:val="C00000"/>
          <w:sz w:val="24"/>
          <w:szCs w:val="24"/>
          <w:lang w:eastAsia="zh-CN"/>
        </w:rPr>
        <w:t>新类规模扩大后联合性能下降。</w:t>
      </w:r>
      <w:r>
        <w:rPr>
          <w:sz w:val="24"/>
          <w:szCs w:val="24"/>
          <w:lang w:eastAsia="zh-CN"/>
        </w:rPr>
        <w:t>MoPC-HR在K=20时，新类数从1增加到25，seen_new_acc从96.53%降至27.86%，old_acc_after也从60.76%降至36.66%。</w:t>
      </w:r>
    </w:p>
    <w:p w14:paraId="1FE5DD27">
      <w:pPr>
        <w:pStyle w:val="19"/>
        <w:rPr>
          <w:sz w:val="24"/>
          <w:szCs w:val="24"/>
          <w:lang w:eastAsia="zh-CN"/>
        </w:rPr>
      </w:pPr>
      <w:r>
        <w:rPr>
          <w:b/>
          <w:color w:val="C00000"/>
          <w:sz w:val="24"/>
          <w:szCs w:val="24"/>
          <w:lang w:eastAsia="zh-CN"/>
        </w:rPr>
        <w:t>CSIL呈现明显的稳定性—可塑性极端。</w:t>
      </w:r>
      <w:r>
        <w:rPr>
          <w:sz w:val="24"/>
          <w:szCs w:val="24"/>
          <w:lang w:eastAsia="zh-CN"/>
        </w:rPr>
        <w:t>小规模时旧类几乎完全保留但新类不注册；部分较大规模或高K切片中，新类开始被学习，却伴随旧类显著下降。</w:t>
      </w:r>
    </w:p>
    <w:p w14:paraId="5061F40A">
      <w:pPr>
        <w:pStyle w:val="5"/>
        <w:rPr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  <w:lang w:eastAsia="zh-CN"/>
        </w:rPr>
        <w:t>4.5.3ERTB-IDR与类增量方法的共同LEO切片对照</w:t>
      </w:r>
    </w:p>
    <w:p w14:paraId="58DBF96D">
      <w:pPr>
        <w:pStyle w:val="19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ERTB-IDR完成125/125个任务和375/375个LEO场景，失败数为0。以下五张配置表在K1/new20、K5/new20、K10/new5、K10/new10和K10/new20五个共同切片上，对照ERTB-IDR与CSIL、MoPC-HR官方流程的三场景平均结果。CSIL和MoPC-HR使用seed 713101–713105，ERTB-IDR使用713102–713106； </w:t>
      </w:r>
    </w:p>
    <w:p w14:paraId="09FCA39E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</m:t>
        </m:r>
      </m:oMath>
      <w:r>
        <w:rPr>
          <w:b/>
          <w:color w:val="1F4E79"/>
          <w:szCs w:val="24"/>
          <w:lang w:eastAsia="zh-CN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10BEAC50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C1D8FC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6"/>
                <w:szCs w:val="24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521CC0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16"/>
                <w:szCs w:val="24"/>
                <w:color w:val="1F4E79"/>
              </w:rPr>
              <w:t>初始状态</w:t>
            </w:r>
            <w:r>
              <w:rPr>
                <w:b/>
                <w:sz w:val="16"/>
                <w:szCs w:val="24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C9C7F9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AD65D1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CBD90B9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F65D58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68B1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E538F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DC7A65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68.144%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F45111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44.033%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7ACEBF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27.150%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FE4D8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33.410%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956EB3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24.111pp</w:t>
            </w:r>
          </w:p>
        </w:tc>
      </w:tr>
      <w:tr w14:paraId="55573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1A58C0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6FA198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3B2050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F77547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FF0A70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7E45C30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0.000pp</w:t>
            </w:r>
          </w:p>
        </w:tc>
      </w:tr>
      <w:tr w14:paraId="5C4F5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F1504A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460414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BB4122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40.722%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628930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1.363%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D9DEE0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2.603%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EC1651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4.600pp</w:t>
            </w:r>
          </w:p>
        </w:tc>
      </w:tr>
    </w:tbl>
    <w:p w14:paraId="6BE06B49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K=5</m:t>
        </m:r>
      </m:oMath>
      <w:r>
        <w:rPr>
          <w:b/>
          <w:color w:val="1F4E79"/>
          <w:szCs w:val="24"/>
          <w:lang w:eastAsia="zh-CN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5B9D275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B80B0C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6"/>
                <w:szCs w:val="24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30A9371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16"/>
                <w:szCs w:val="24"/>
                <w:color w:val="1F4E79"/>
              </w:rPr>
              <w:t>初始状态</w:t>
            </w:r>
            <w:r>
              <w:rPr>
                <w:b/>
                <w:sz w:val="16"/>
                <w:szCs w:val="24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7C7250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DE4424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8CE80B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52DDDA7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6FDD1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6FAD5A6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FE31F1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81.267%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72D854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63.711%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85E1A2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58.883%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D1D4612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60.955%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715F17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17.556pp</w:t>
            </w:r>
          </w:p>
        </w:tc>
      </w:tr>
      <w:tr w14:paraId="7675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93870C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B09F8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0E461B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0.200%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485B6B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5.557%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8BF99B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0.316%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979F34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42.633pp</w:t>
            </w:r>
          </w:p>
        </w:tc>
      </w:tr>
      <w:tr w14:paraId="6DBBC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F6BA1C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F2A09CF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AC7451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13.511%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9B20C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17.433%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E8DA482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14.309%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AECE93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31.811pp</w:t>
            </w:r>
          </w:p>
        </w:tc>
      </w:tr>
    </w:tbl>
    <w:p w14:paraId="5724EC00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b/>
          <w:color w:val="1F4E79"/>
          <w:szCs w:val="24"/>
          <w:lang w:eastAsia="zh-CN"/>
        </w:rPr>
        <w:t>，新类数=5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3A759315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E7EB16A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6"/>
                <w:szCs w:val="24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1D68FB30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16"/>
                <w:szCs w:val="24"/>
                <w:color w:val="1F4E79"/>
              </w:rPr>
              <w:t>初始状态</w:t>
            </w:r>
            <w:r>
              <w:rPr>
                <w:b/>
                <w:sz w:val="16"/>
                <w:szCs w:val="24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F79257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59E6B6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98BBC03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0B8BE9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2E714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B9864BF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305DBE3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758159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76.189%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941C748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74.133%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B86E52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74.803%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112EF4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9.922pp</w:t>
            </w:r>
          </w:p>
        </w:tc>
      </w:tr>
      <w:tr w14:paraId="6EA3C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AA71405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B7D08C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4C83E5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0.689%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210C3AE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20.413%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6D3CFC6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1.264%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7ABA34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42.144pp</w:t>
            </w:r>
          </w:p>
        </w:tc>
      </w:tr>
      <w:tr w14:paraId="45BF5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CF8D2A0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0B4FEC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A9F943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9.322%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7055C4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49.547%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3B27514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14.947%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0422CD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36.000pp</w:t>
            </w:r>
          </w:p>
        </w:tc>
      </w:tr>
    </w:tbl>
    <w:p w14:paraId="5976651C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b/>
          <w:color w:val="1F4E79"/>
          <w:szCs w:val="24"/>
          <w:lang w:eastAsia="zh-CN"/>
        </w:rPr>
        <w:t>，新类数=10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566F8D1E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2E11DBA8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6"/>
                <w:szCs w:val="24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7E2498D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16"/>
                <w:szCs w:val="24"/>
                <w:color w:val="1F4E79"/>
              </w:rPr>
              <w:t>初始状态</w:t>
            </w:r>
            <w:r>
              <w:rPr>
                <w:b/>
                <w:sz w:val="16"/>
                <w:szCs w:val="24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D095882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A9567BD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0B9A8CE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4D8DDD4C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F459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0858FF1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EEFD46F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1B595E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72.533%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E443780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66.353%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A12040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69.106%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030E81D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13.578pp</w:t>
            </w:r>
          </w:p>
        </w:tc>
      </w:tr>
      <w:tr w14:paraId="45192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BF812A2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6EFAA2B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335FFAE1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42859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10.460%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B02A7A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0.000%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4FE5FC9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42.833pp</w:t>
            </w:r>
          </w:p>
        </w:tc>
      </w:tr>
      <w:tr w14:paraId="7C8D3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04E427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558127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1EC92D3C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9.500%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6D90DA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32.900%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FED4B4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13.770%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6DE8E9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35.822pp</w:t>
            </w:r>
          </w:p>
        </w:tc>
      </w:tr>
    </w:tbl>
    <w:p w14:paraId="50B37744">
      <w:pPr>
        <w:keepNext/>
        <w:keepLines/>
        <w:spacing w:before="140" w:after="60"/>
        <w:rPr>
          <w:sz w:val="24"/>
          <w:szCs w:val="24"/>
          <w:lang w:eastAsia="zh-CN"/>
        </w:rPr>
      </w:pPr>
      <w:r>
        <w:rPr>
          <w:b/>
          <w:color w:val="1F4E79"/>
          <w:szCs w:val="24"/>
          <w:lang w:eastAsia="zh-CN"/>
        </w:rPr>
        <w:t>共同切片：</w:t>
      </w:r>
      <m:oMath>
        <m:r>
          <m:rPr/>
          <w:rPr>
            <w:rFonts w:ascii="Cambria Math" w:hAnsi="Cambria Math"/>
            <w:sz w:val="24"/>
            <w:szCs w:val="24"/>
            <w:lang w:eastAsia="zh-CN"/>
          </w:rPr>
          <m:t>K=10</m:t>
        </m:r>
      </m:oMath>
      <w:r>
        <w:rPr>
          <w:b/>
          <w:color w:val="1F4E79"/>
          <w:szCs w:val="24"/>
          <w:lang w:eastAsia="zh-CN"/>
        </w:rPr>
        <w:t>，新类数=20</w:t>
      </w:r>
    </w:p>
    <w:tbl>
      <w:tblPr>
        <w:tblW w:w="9360" w:type="dxa"/>
        <w:tblInd w:w="0" w:type="dxa"/>
        <w:tblLayout w:type="fixed"/>
        <w:tblStyle w:val="33"/>
        <w:tblBorders>
          <w:top w:val="single" w:sz="4" w:space="0" w:color="A6B4C2"/>
          <w:left w:val="single" w:sz="4" w:space="0" w:color="A6B4C2"/>
          <w:bottom w:val="single" w:sz="4" w:space="0" w:color="A6B4C2"/>
          <w:right w:val="single" w:sz="4" w:space="0" w:color="A6B4C2"/>
          <w:insideH w:val="single" w:sz="4" w:space="0" w:color="A6B4C2"/>
          <w:insideV w:val="single" w:sz="4" w:space="0" w:color="A6B4C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502"/>
        <w:gridCol w:w="1414"/>
        <w:gridCol w:w="1414"/>
        <w:gridCol w:w="1306"/>
        <w:gridCol w:w="1306"/>
        <w:gridCol w:w="1418"/>
      </w:tblGrid>
      <w:tr w14:paraId="7A77C549">
        <w:trPr>
          <w:cantSplit/>
          <w:tblHeader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FF3565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sz w:val="16"/>
                <w:szCs w:val="24"/>
                <w:bCs/>
                <w:color w:val="1F4E79"/>
              </w:rPr>
              <w:t>方法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5439A34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w:r>
              <w:rPr>
                <w:b/>
                <w:bCs/>
                <w:sz w:val="16"/>
                <w:szCs w:val="24"/>
                <w:color w:val="1F4E79"/>
              </w:rPr>
              <w:t>初始状态</w:t>
            </w:r>
            <w:r>
              <w:rPr>
                <w:b/>
                <w:sz w:val="16"/>
                <w:szCs w:val="24"/>
                <w:bCs/>
                <w:color w:val="1F4E79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z w:val="24"/>
                      <w:szCs w:val="24"/>
                    </w:rPr>
                    <m:t>old</m:t>
                  </m: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ub>
              </m:sSub>
            </m:oMath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0D7F6D86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REG1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p>
                </m:sSubSup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6C995CBB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528774D5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  <w:szCs w:val="24"/>
                      </w:rPr>
                      <m:t>,</m:t>
                    </m:r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new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D9E2F3"/>
            <w:vAlign w:val="center"/>
          </w:tcPr>
          <w:p w14:paraId="3199F5CF">
            <w:pPr>
              <w:keepNext/>
              <w:spacing w:after="0" w:line="240" w:lineRule="auto"/>
              <w:rPr>
                <w:sz w:val="24"/>
                <w:szCs w:val="24"/>
              </w:r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z w:val="24"/>
                        <w:szCs w:val="24"/>
                      </w:rPr>
                      <m:t>old</m:t>
                    </m: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sub>
                </m:sSub>
              </m:oMath>
            </m:oMathPara>
          </w:p>
        </w:tc>
      </w:tr>
      <w:tr w14:paraId="1E78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5FD87F79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ERTB-IDR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F9F2BD6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86.111%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68617347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71.333%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D905005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68.150%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45AB8DE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69.555%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4772E99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14.778pp</w:t>
            </w:r>
          </w:p>
        </w:tc>
      </w:tr>
      <w:tr w14:paraId="535BD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00638D4">
            <w:pPr>
              <w:keepNext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CSIL官方流程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59BED12A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42.833%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86B2249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38.222%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110EFED3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1.660%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7528FE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2.979%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FFFFF"/>
            <w:vAlign w:val="center"/>
          </w:tcPr>
          <w:p w14:paraId="0566C9E4">
            <w:pPr>
              <w:keepNext/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4.611pp</w:t>
            </w:r>
          </w:p>
        </w:tc>
      </w:tr>
      <w:tr w14:paraId="4CC8A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02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60C85F2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MoPC-HR官方流程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97B3E0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45.322%</w:t>
            </w:r>
          </w:p>
        </w:tc>
        <w:tc>
          <w:tcPr>
            <w:tcW w:w="1414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80847D8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7.611%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70B9227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25.187%</w:t>
            </w:r>
          </w:p>
        </w:tc>
        <w:tc>
          <w:tcPr>
            <w:tcW w:w="1306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096C89A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10.695%</w:t>
            </w:r>
          </w:p>
        </w:tc>
        <w:tc>
          <w:tcPr>
            <w:tcW w:w="1418" w:type="dxa"/>
            <w:tcMar>
              <w:top w:w="55" w:type="dxa"/>
              <w:left w:w="70" w:type="dxa"/>
              <w:bottom w:w="55" w:type="dxa"/>
              <w:right w:w="70" w:type="dxa"/>
            </w:tcMar>
            <w:shd w:val="clear" w:color="auto" w:fill="F7F9FC"/>
            <w:vAlign w:val="center"/>
          </w:tcPr>
          <w:p w14:paraId="23E96B5D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16"/>
                <w:szCs w:val="24"/>
              </w:rPr>
              <w:t>37.711pp</w:t>
            </w:r>
          </w:p>
        </w:tc>
      </w:tr>
    </w:tbl>
    <w:p w14:paraId="5D945F3B">
      <w:pPr>
        <w:pStyle w:val="19"/>
        <w:rPr>
          <w:sz w:val="24"/>
          <w:szCs w:val="24"/>
          <w:lang w:eastAsia="zh-CN"/>
        </w:rPr>
      </w:pPr>
      <w:bookmarkStart w:id="17" w:name="X31943cb66b4f1a5bd38bc2ce323d836de6d2278"/>
    </w:p>
    <w:p w14:paraId="6F29C419">
      <w:pPr>
        <w:pStyle w:val="19"/>
        <w:rPr>
          <w:sz w:val="24"/>
          <w:szCs w:val="24"/>
          <w:lang w:eastAsia="zh-CN"/>
        </w:rPr>
      </w:pPr>
    </w:p>
    <w:p w14:paraId="4617487E">
      <w:pPr>
        <w:pStyle w:val="19"/>
        <w:rPr>
          <w:sz w:val="24"/>
          <w:szCs w:val="24"/>
          <w:lang w:eastAsia="zh-CN"/>
        </w:rPr>
      </w:pPr>
    </w:p>
    <w:p w14:paraId="0DC298D1">
      <w:pPr>
        <w:pStyle w:val="19"/>
        <w:rPr>
          <w:sz w:val="24"/>
          <w:szCs w:val="24"/>
          <w:lang w:eastAsia="zh-CN"/>
        </w:rPr>
      </w:pPr>
    </w:p>
    <w:p w14:paraId="078D288D">
      <w:pPr>
        <w:pStyle w:val="19"/>
        <w:rPr>
          <w:rFonts w:hint="eastAsia"/>
          <w:sz w:val="24"/>
          <w:szCs w:val="24"/>
          <w:lang w:eastAsia="zh-CN"/>
        </w:rPr>
      </w:pPr>
    </w:p>
    <w:bookmarkEnd w:id="6"/>
    <w:bookmarkEnd w:id="17"/>
    <w:p w14:paraId="0508F8DD">
      <w:pPr>
        <w:pStyle w:val="3"/>
        <w:rPr>
          <w:sz w:val="36"/>
          <w:szCs w:val="32"/>
          <w:lang w:eastAsia="zh-CN"/>
        </w:rPr>
      </w:pPr>
      <w:r>
        <w:rPr>
          <w:rFonts w:ascii="Times New Roman" w:hAnsi="Times New Roman" w:eastAsia="宋体" w:cs="Times New Roman"/>
          <w:sz w:val="36"/>
          <w:szCs w:val="32"/>
          <w:lang w:eastAsia="zh-CN"/>
        </w:rPr>
        <w:t>5.参考文献</w:t>
      </w:r>
    </w:p>
    <w:p w14:paraId="443FE318">
      <w:pPr>
        <w:rPr>
          <w:sz w:val="24"/>
          <w:szCs w:val="24"/>
        </w:rPr>
      </w:pPr>
      <w:r>
        <w:rPr>
          <w:sz w:val="24"/>
          <w:szCs w:val="24"/>
        </w:rPr>
        <w:t xml:space="preserve">[1] SNELL J, SWERSKY K, ZEMEL R S. Prototypical Networks for Few-shot Learning[C]//Advances in Neural Information Processing Systems 30. 2017. </w:t>
      </w:r>
      <w:r>
        <w:fldChar w:fldCharType="begin"/>
      </w:r>
      <w:r>
        <w:instrText xml:space="preserve"> HYPERLINK "https://papers.nips.cc/paper/6996-prototypical-networks-for-few-shot-learning" \h </w:instrText>
      </w:r>
      <w:r>
        <w:fldChar w:fldCharType="separate"/>
      </w:r>
      <w:r>
        <w:rPr>
          <w:sz w:val="24"/>
          <w:szCs w:val="24"/>
        </w:rPr>
        <w:t>https://papers.nips.cc/paper/6996-prototypical-networks-for-few-shot-learning</w:t>
      </w:r>
      <w:r>
        <w:rPr>
          <w:sz w:val="24"/>
          <w:szCs w:val="24"/>
        </w:rPr>
        <w:fldChar w:fldCharType="end"/>
      </w:r>
      <w:r>
        <w:rPr>
          <w:sz w:val="24"/>
          <w:szCs w:val="24"/>
        </w:rPr>
        <w:t>（IEEE是Institute of Electrical and Electronics Engineers，即电气电子工程师学会；DOI是Digital Object Identifier，即数字对象唯一标识符；参考文献类型标识[J]表示期刊论文，[C]表示会议论文）</w:t>
      </w:r>
    </w:p>
    <w:p w14:paraId="61F7DB05">
      <w:pPr>
        <w:pStyle w:val="19"/>
        <w:rPr>
          <w:sz w:val="24"/>
          <w:szCs w:val="24"/>
        </w:rPr>
      </w:pPr>
      <w:r>
        <w:rPr>
          <w:sz w:val="24"/>
          <w:szCs w:val="24"/>
        </w:rPr>
        <w:t>[2] YANG L, LI Q, REN X, et al. Mitigating Receiver Impact on Radio Frequency Fingerprint Identification via Domain Adaptation[J]. IEEE Internet of Things Journal, 2024, 11(13):24024-24034. DOI:10.1109/JIOT.2024.3389491.</w:t>
      </w:r>
    </w:p>
    <w:p w14:paraId="7C9A3DB5">
      <w:pPr>
        <w:pStyle w:val="19"/>
        <w:rPr>
          <w:sz w:val="24"/>
          <w:szCs w:val="24"/>
        </w:rPr>
      </w:pPr>
      <w:r>
        <w:rPr>
          <w:sz w:val="24"/>
          <w:szCs w:val="24"/>
        </w:rPr>
        <w:t>[3] FENG J, FANG S, FAN Y. Cross-Receiver Radio Frequency Fingerprint Identification Based on Domain Adaptation With Dynamic Distribution Alignment[J]. IEEE Internet of Things Journal, 2025, 12(16):33202-33214. DOI:10.1109/JIOT.2025.3573713.</w:t>
      </w:r>
    </w:p>
    <w:p w14:paraId="443E425D">
      <w:pPr>
        <w:pStyle w:val="19"/>
        <w:rPr>
          <w:sz w:val="24"/>
          <w:szCs w:val="24"/>
        </w:rPr>
      </w:pPr>
      <w:r>
        <w:rPr>
          <w:sz w:val="24"/>
          <w:szCs w:val="24"/>
        </w:rPr>
        <w:t>[4] LIU Y, WANG J, LI J, NIU S, SONG H. Class-Incremental Learning for Wireless Device Identification in IoT[J]. IEEE Internet of Things Journal, 2021, 8(23):17227-17235. DOI:10.1109/JIOT.2021.3078407.</w:t>
      </w:r>
    </w:p>
    <w:p w14:paraId="2384BC22">
      <w:pPr>
        <w:pStyle w:val="19"/>
        <w:rPr>
          <w:sz w:val="24"/>
          <w:szCs w:val="24"/>
        </w:rPr>
      </w:pPr>
      <w:r>
        <w:rPr>
          <w:sz w:val="24"/>
          <w:szCs w:val="24"/>
        </w:rPr>
        <w:t>[5] LI D, CHEN Z, SHAO M, et al. Non-Exemplar Class-Incremental Learning via Prototype Correction and Hierarchical Regularization for Specific Emitter Identification[J]. IEEE Transactions on Intelligent Transportation Systems, 2025, 26(8):12632-12646. DOI:10.1109/TITS.2025.3559174.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80B04">
    <w:pPr>
      <w:pStyle w:val="2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7F7BA">
    <w:pPr>
      <w:pStyle w:val="2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34871">
    <w:pPr>
      <w:pStyle w:val="2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22E62F">
    <w:pPr>
      <w:pStyle w:val="2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935C0">
    <w:pPr>
      <w:pStyle w:val="2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F3464C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BF0"/>
    <w:rsid w:val="002312FC"/>
    <w:rsid w:val="0023753D"/>
    <w:rsid w:val="00396905"/>
    <w:rsid w:val="00871946"/>
    <w:rsid w:val="009F5BF0"/>
    <w:rsid w:val="00B902FD"/>
    <w:rsid w:val="00BF68E6"/>
    <w:rsid w:val="00DC702A"/>
    <w:rsid w:val="00EA4432"/>
    <w:rsid w:val="00EF0C7E"/>
    <w:rsid w:val="2A5266D7"/>
    <w:rsid w:val="2FE013F4"/>
    <w:rsid w:val="3AD057FF"/>
    <w:rsid w:val="4946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Times New Roman" w:hAnsi="Times New Roman" w:eastAsia="宋体" w:cs="Times New Roman"/>
      <w:color w:val="1F1F1F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1F4E79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40404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Times New Roman" w:hAnsi="Times New Roman" w:eastAsia="宋体" w:cs="Times New Roman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160" w:line="280" w:lineRule="auto"/>
      <w:ind w:left="720"/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80" w:after="80" w:line="240" w:lineRule="auto"/>
    </w:pPr>
    <w:rPr>
      <w:b/>
      <w:bCs/>
      <w:color w:val="666666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160" w:line="280" w:lineRule="auto"/>
      <w:ind w:left="720"/>
      <w:contextualSpacing/>
    </w:pPr>
  </w:style>
  <w:style w:type="paragraph" w:styleId="17">
    <w:name w:val="Body Text 3"/>
    <w:basedOn w:val="1"/>
    <w:link w:val="146"/>
    <w:unhideWhenUsed/>
    <w:qFormat/>
    <w:uiPriority w:val="99"/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line="480" w:lineRule="auto"/>
    </w:pPr>
  </w:style>
  <w:style w:type="paragraph" w:styleId="29">
    <w:name w:val="List Continue 2"/>
    <w:basedOn w:val="1"/>
    <w:unhideWhenUsed/>
    <w:qFormat/>
    <w:uiPriority w:val="99"/>
    <w:pPr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rPr>
      <w:rFonts w:ascii="Times New Roman" w:hAnsi="Times New Roman" w:eastAsia="宋体" w:cs="Times New Roman"/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rPr>
      <w:rFonts w:ascii="Times New Roman" w:hAnsi="Times New Roman" w:eastAsia="宋体" w:cs="Times New Roman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rPr>
      <w:rFonts w:ascii="Times New Roman" w:hAnsi="Times New Roman" w:eastAsia="宋体" w:cs="Times New Roman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rPr>
      <w:rFonts w:ascii="Times New Roman" w:hAnsi="Times New Roman" w:eastAsia="宋体" w:cs="Times New Roman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rPr>
      <w:rFonts w:ascii="Times New Roman" w:hAnsi="Times New Roman" w:eastAsia="宋体" w:cs="Times New Roman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rPr>
      <w:rFonts w:ascii="Times New Roman" w:hAnsi="Times New Roman" w:eastAsia="宋体" w:cs="Times New Roman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rPr>
      <w:rFonts w:ascii="Times New Roman" w:hAnsi="Times New Roman" w:eastAsia="宋体" w:cs="Times New Roman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rPr>
      <w:rFonts w:ascii="Times New Roman" w:hAnsi="Times New Roman" w:eastAsia="宋体" w:cs="Times New Roman"/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rPr>
      <w:rFonts w:ascii="Times New Roman" w:hAnsi="Times New Roman" w:eastAsia="宋体" w:cs="Times New Roman"/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rPr>
      <w:rFonts w:ascii="Times New Roman" w:hAnsi="Times New Roman" w:eastAsia="宋体" w:cs="Times New Roman"/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rPr>
      <w:rFonts w:ascii="Times New Roman" w:hAnsi="Times New Roman" w:eastAsia="宋体" w:cs="Times New Roman"/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rPr>
      <w:rFonts w:ascii="Times New Roman" w:hAnsi="Times New Roman" w:eastAsia="宋体" w:cs="Times New Roman"/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rPr>
      <w:rFonts w:ascii="Times New Roman" w:hAnsi="Times New Roman" w:eastAsia="宋体" w:cs="Times New Roman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rPr>
      <w:rFonts w:ascii="Times New Roman" w:hAnsi="Times New Roman" w:eastAsia="宋体" w:cs="Times New Roman"/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rPr>
      <w:rFonts w:ascii="Times New Roman" w:hAnsi="Times New Roman" w:eastAsia="宋体" w:cs="Times New Roman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rPr>
      <w:rFonts w:ascii="Times New Roman" w:hAnsi="Times New Roman" w:eastAsia="宋体" w:cs="Times New Roman"/>
    </w:r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rPr>
      <w:rFonts w:ascii="Times New Roman" w:hAnsi="Times New Roman" w:eastAsia="宋体" w:cs="Times New Roman"/>
    </w:r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rPr>
      <w:rFonts w:ascii="Times New Roman" w:hAnsi="Times New Roman" w:eastAsia="宋体" w:cs="Times New Roman"/>
    </w:r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rPr>
      <w:rFonts w:ascii="Times New Roman" w:hAnsi="Times New Roman" w:eastAsia="宋体" w:cs="Times New Roman"/>
    </w:r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rPr>
      <w:rFonts w:ascii="Times New Roman" w:hAnsi="Times New Roman" w:eastAsia="宋体" w:cs="Times New Roman"/>
    </w:r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rPr>
      <w:rFonts w:ascii="Times New Roman" w:hAnsi="Times New Roman" w:eastAsia="宋体" w:cs="Times New Roman"/>
    </w:r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rPr>
      <w:rFonts w:ascii="Times New Roman" w:hAnsi="Times New Roman" w:eastAsia="宋体" w:cs="Times New Roman"/>
    </w:r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rPr>
      <w:rFonts w:ascii="Times New Roman" w:hAnsi="Times New Roman" w:eastAsia="宋体" w:cs="Times New Roman"/>
    </w:r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rPr>
      <w:rFonts w:ascii="Times New Roman" w:hAnsi="Times New Roman" w:eastAsia="宋体" w:cs="Times New Roman"/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rPr>
      <w:rFonts w:ascii="Times New Roman" w:hAnsi="Times New Roman" w:eastAsia="宋体" w:cs="Times New Roman"/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ascii="Times New Roman" w:hAnsi="Times New Roman" w:eastAsia="宋体" w:cs="Times New Roman"/>
      <w:b/>
      <w:bCs/>
    </w:rPr>
  </w:style>
  <w:style w:type="character" w:styleId="134">
    <w:name w:val="Emphasis"/>
    <w:basedOn w:val="132"/>
    <w:qFormat/>
    <w:uiPriority w:val="20"/>
    <w:rPr>
      <w:rFonts w:ascii="Times New Roman" w:hAnsi="Times New Roman" w:eastAsia="宋体" w:cs="Times New Roman"/>
      <w:i/>
      <w:iCs/>
    </w:rPr>
  </w:style>
  <w:style w:type="character" w:customStyle="1" w:styleId="135">
    <w:name w:val="页眉 字符"/>
    <w:basedOn w:val="132"/>
    <w:link w:val="25"/>
    <w:qFormat/>
    <w:uiPriority w:val="99"/>
    <w:rPr>
      <w:rFonts w:ascii="Times New Roman" w:hAnsi="Times New Roman" w:eastAsia="宋体" w:cs="Times New Roman"/>
    </w:rPr>
  </w:style>
  <w:style w:type="character" w:customStyle="1" w:styleId="136">
    <w:name w:val="页脚 字符"/>
    <w:basedOn w:val="132"/>
    <w:link w:val="24"/>
    <w:qFormat/>
    <w:uiPriority w:val="99"/>
    <w:rPr>
      <w:rFonts w:ascii="Times New Roman" w:hAnsi="Times New Roman" w:eastAsia="宋体" w:cs="Times New Roman"/>
    </w:rPr>
  </w:style>
  <w:style w:type="paragraph" w:styleId="137">
    <w:name w:val="No Spacing"/>
    <w:qFormat/>
    <w:uiPriority w:val="1"/>
    <w:rPr>
      <w:rFonts w:ascii="Times New Roman" w:hAnsi="Times New Roman" w:eastAsia="宋体" w:cs="Times New Roman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uiPriority w:val="99"/>
    <w:rPr>
      <w:rFonts w:ascii="Times New Roman" w:hAnsi="Times New Roman" w:eastAsia="宋体" w:cs="Times New Roman"/>
    </w:rPr>
  </w:style>
  <w:style w:type="character" w:customStyle="1" w:styleId="145">
    <w:name w:val="正文文本 2 字符"/>
    <w:basedOn w:val="132"/>
    <w:link w:val="28"/>
    <w:qFormat/>
    <w:uiPriority w:val="99"/>
    <w:rPr>
      <w:rFonts w:ascii="Times New Roman" w:hAnsi="Times New Roman" w:eastAsia="宋体" w:cs="Times New Roman"/>
    </w:rPr>
  </w:style>
  <w:style w:type="character" w:customStyle="1" w:styleId="146">
    <w:name w:val="正文文本 3 字符"/>
    <w:basedOn w:val="132"/>
    <w:link w:val="17"/>
    <w:qFormat/>
    <w:uiPriority w:val="99"/>
    <w:rPr>
      <w:rFonts w:ascii="Times New Roman" w:hAnsi="Times New Roman" w:eastAsia="宋体" w:cs="Times New Roman"/>
      <w:sz w:val="16"/>
      <w:szCs w:val="16"/>
    </w:rPr>
  </w:style>
  <w:style w:type="character" w:customStyle="1" w:styleId="147">
    <w:name w:val="宏文本 字符"/>
    <w:basedOn w:val="132"/>
    <w:link w:val="2"/>
    <w:qFormat/>
    <w:uiPriority w:val="99"/>
    <w:rPr>
      <w:rFonts w:ascii="Times New Roman" w:hAnsi="Times New Roman" w:eastAsia="宋体" w:cs="Times New Roman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rFonts w:ascii="Times New Roman" w:hAnsi="Times New Roman" w:eastAsia="宋体" w:cs="Times New Roman"/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不明显强调1"/>
    <w:basedOn w:val="132"/>
    <w:qFormat/>
    <w:uiPriority w:val="19"/>
    <w:rPr>
      <w:rFonts w:ascii="Times New Roman" w:hAnsi="Times New Roman" w:eastAsia="宋体" w:cs="Times New Roman"/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明显强调1"/>
    <w:basedOn w:val="132"/>
    <w:qFormat/>
    <w:uiPriority w:val="21"/>
    <w:rPr>
      <w:rFonts w:ascii="Times New Roman" w:hAnsi="Times New Roman" w:eastAsia="宋体" w:cs="Times New Roman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不明显参考1"/>
    <w:basedOn w:val="132"/>
    <w:qFormat/>
    <w:uiPriority w:val="31"/>
    <w:rPr>
      <w:rFonts w:ascii="Times New Roman" w:hAnsi="Times New Roman" w:eastAsia="宋体" w:cs="Times New Roman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明显参考1"/>
    <w:basedOn w:val="132"/>
    <w:qFormat/>
    <w:uiPriority w:val="32"/>
    <w:rPr>
      <w:rFonts w:ascii="Times New Roman" w:hAnsi="Times New Roman" w:eastAsia="宋体" w:cs="Times New Roman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书籍标题1"/>
    <w:basedOn w:val="132"/>
    <w:qFormat/>
    <w:uiPriority w:val="33"/>
    <w:rPr>
      <w:rFonts w:ascii="Times New Roman" w:hAnsi="Times New Roman" w:eastAsia="宋体" w:cs="Times New Roman"/>
      <w:b/>
      <w:bCs/>
      <w:smallCaps/>
      <w:spacing w:val="5"/>
    </w:rPr>
  </w:style>
  <w:style w:type="paragraph" w:customStyle="1" w:styleId="163">
    <w:name w:val="TOC 标题1"/>
    <w:basedOn w:val="3"/>
    <w:next w:val="1"/>
    <w:semiHidden/>
    <w:unhideWhenUsed/>
    <w:qFormat/>
    <w:uiPriority w:val="39"/>
    <w:pPr>
      <w:outlineLvl w:val="9"/>
    </w:pPr>
    <w:rPr>
      <w:rFonts w:ascii="Times New Roman" w:hAnsi="Times New Roman" w:eastAsia="宋体" w:cs="Times New Roman"/>
    </w:rPr>
  </w:style>
  <w:style w:type="paragraph" w:customStyle="1" w:styleId="164">
    <w:name w:val="Equation"/>
    <w:qFormat/>
    <w:uiPriority w:val="0"/>
    <w:pPr>
      <w:keepLines/>
      <w:spacing w:before="100" w:after="160" w:line="276" w:lineRule="auto"/>
      <w:jc w:val="center"/>
    </w:pPr>
    <w:rPr>
      <w:rFonts w:ascii="Times New Roman" w:hAnsi="Times New Roman" w:eastAsia="宋体" w:cs="Times New Roman"/>
      <w:color w:val="1F4D78"/>
      <w:sz w:val="21"/>
      <w:szCs w:val="22"/>
      <w:lang w:val="en-US" w:eastAsia="en-US" w:bidi="ar-SA"/>
    </w:rPr>
  </w:style>
  <w:style w:type="paragraph" w:customStyle="1" w:styleId="165">
    <w:name w:val="Source Code"/>
    <w:basedOn w:val="1"/>
    <w:qFormat/>
    <w:uiPriority w:val="0"/>
    <w:pPr>
      <w:wordWrap w:val="0"/>
    </w:pPr>
  </w:style>
  <w:style w:type="character" w:customStyle="1" w:styleId="166">
    <w:name w:val="Keyword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67">
    <w:name w:val="DataTypeTok"/>
    <w:qFormat/>
    <w:uiPriority w:val="0"/>
    <w:rPr>
      <w:rFonts w:ascii="Times New Roman" w:hAnsi="Times New Roman" w:eastAsia="宋体" w:cs="Times New Roman"/>
      <w:color w:val="902000"/>
    </w:rPr>
  </w:style>
  <w:style w:type="character" w:customStyle="1" w:styleId="168">
    <w:name w:val="DecVal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69">
    <w:name w:val="BaseN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70">
    <w:name w:val="FloatTok"/>
    <w:qFormat/>
    <w:uiPriority w:val="0"/>
    <w:rPr>
      <w:rFonts w:ascii="Times New Roman" w:hAnsi="Times New Roman" w:eastAsia="宋体" w:cs="Times New Roman"/>
      <w:color w:val="40A070"/>
    </w:rPr>
  </w:style>
  <w:style w:type="character" w:customStyle="1" w:styleId="171">
    <w:name w:val="ConstantTok"/>
    <w:qFormat/>
    <w:uiPriority w:val="0"/>
    <w:rPr>
      <w:rFonts w:ascii="Times New Roman" w:hAnsi="Times New Roman" w:eastAsia="宋体" w:cs="Times New Roman"/>
      <w:color w:val="880000"/>
    </w:rPr>
  </w:style>
  <w:style w:type="character" w:customStyle="1" w:styleId="172">
    <w:name w:val="Char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3">
    <w:name w:val="SpecialChar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4">
    <w:name w:val="String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5">
    <w:name w:val="VerbatimStringTok"/>
    <w:qFormat/>
    <w:uiPriority w:val="0"/>
    <w:rPr>
      <w:rFonts w:ascii="Times New Roman" w:hAnsi="Times New Roman" w:eastAsia="宋体" w:cs="Times New Roman"/>
      <w:color w:val="4070A0"/>
    </w:rPr>
  </w:style>
  <w:style w:type="character" w:customStyle="1" w:styleId="176">
    <w:name w:val="SpecialStringTok"/>
    <w:qFormat/>
    <w:uiPriority w:val="0"/>
    <w:rPr>
      <w:rFonts w:ascii="Times New Roman" w:hAnsi="Times New Roman" w:eastAsia="宋体" w:cs="Times New Roman"/>
      <w:color w:val="BB6688"/>
    </w:rPr>
  </w:style>
  <w:style w:type="character" w:customStyle="1" w:styleId="177">
    <w:name w:val="ImportTok"/>
    <w:qFormat/>
    <w:uiPriority w:val="0"/>
    <w:rPr>
      <w:rFonts w:ascii="Times New Roman" w:hAnsi="Times New Roman" w:eastAsia="宋体" w:cs="Times New Roman"/>
      <w:b/>
      <w:color w:val="008000"/>
    </w:rPr>
  </w:style>
  <w:style w:type="character" w:customStyle="1" w:styleId="178">
    <w:name w:val="CommentTok"/>
    <w:qFormat/>
    <w:uiPriority w:val="0"/>
    <w:rPr>
      <w:rFonts w:ascii="Times New Roman" w:hAnsi="Times New Roman" w:eastAsia="宋体" w:cs="Times New Roman"/>
      <w:i/>
      <w:color w:val="60A0B0"/>
    </w:rPr>
  </w:style>
  <w:style w:type="character" w:customStyle="1" w:styleId="179">
    <w:name w:val="DocumentationTok"/>
    <w:qFormat/>
    <w:uiPriority w:val="0"/>
    <w:rPr>
      <w:rFonts w:ascii="Times New Roman" w:hAnsi="Times New Roman" w:eastAsia="宋体" w:cs="Times New Roman"/>
      <w:i/>
      <w:color w:val="BA2121"/>
    </w:rPr>
  </w:style>
  <w:style w:type="character" w:customStyle="1" w:styleId="180">
    <w:name w:val="Annot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1">
    <w:name w:val="CommentVar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82">
    <w:name w:val="OtherTok"/>
    <w:qFormat/>
    <w:uiPriority w:val="0"/>
    <w:rPr>
      <w:rFonts w:ascii="Times New Roman" w:hAnsi="Times New Roman" w:eastAsia="宋体" w:cs="Times New Roman"/>
      <w:color w:val="007020"/>
    </w:rPr>
  </w:style>
  <w:style w:type="character" w:customStyle="1" w:styleId="183">
    <w:name w:val="FunctionTok"/>
    <w:qFormat/>
    <w:uiPriority w:val="0"/>
    <w:rPr>
      <w:rFonts w:ascii="Times New Roman" w:hAnsi="Times New Roman" w:eastAsia="宋体" w:cs="Times New Roman"/>
      <w:color w:val="06287E"/>
    </w:rPr>
  </w:style>
  <w:style w:type="character" w:customStyle="1" w:styleId="184">
    <w:name w:val="VariableTok"/>
    <w:qFormat/>
    <w:uiPriority w:val="0"/>
    <w:rPr>
      <w:rFonts w:ascii="Times New Roman" w:hAnsi="Times New Roman" w:eastAsia="宋体" w:cs="Times New Roman"/>
      <w:color w:val="19177C"/>
    </w:rPr>
  </w:style>
  <w:style w:type="character" w:customStyle="1" w:styleId="185">
    <w:name w:val="ControlFlowTok"/>
    <w:qFormat/>
    <w:uiPriority w:val="0"/>
    <w:rPr>
      <w:rFonts w:ascii="Times New Roman" w:hAnsi="Times New Roman" w:eastAsia="宋体" w:cs="Times New Roman"/>
      <w:b/>
      <w:color w:val="007020"/>
    </w:rPr>
  </w:style>
  <w:style w:type="character" w:customStyle="1" w:styleId="186">
    <w:name w:val="OperatorTok"/>
    <w:qFormat/>
    <w:uiPriority w:val="0"/>
    <w:rPr>
      <w:rFonts w:ascii="Times New Roman" w:hAnsi="Times New Roman" w:eastAsia="宋体" w:cs="Times New Roman"/>
      <w:color w:val="666666"/>
    </w:rPr>
  </w:style>
  <w:style w:type="character" w:customStyle="1" w:styleId="187">
    <w:name w:val="BuiltInTok"/>
    <w:qFormat/>
    <w:uiPriority w:val="0"/>
    <w:rPr>
      <w:rFonts w:ascii="Times New Roman" w:hAnsi="Times New Roman" w:eastAsia="宋体" w:cs="Times New Roman"/>
      <w:color w:val="008000"/>
    </w:rPr>
  </w:style>
  <w:style w:type="character" w:customStyle="1" w:styleId="188">
    <w:name w:val="ExtensionTok"/>
    <w:qFormat/>
    <w:uiPriority w:val="0"/>
    <w:rPr>
      <w:rFonts w:ascii="Times New Roman" w:hAnsi="Times New Roman" w:eastAsia="宋体" w:cs="Times New Roman"/>
    </w:rPr>
  </w:style>
  <w:style w:type="character" w:customStyle="1" w:styleId="189">
    <w:name w:val="PreprocessorTok"/>
    <w:qFormat/>
    <w:uiPriority w:val="0"/>
    <w:rPr>
      <w:rFonts w:ascii="Times New Roman" w:hAnsi="Times New Roman" w:eastAsia="宋体" w:cs="Times New Roman"/>
      <w:color w:val="BC7A00"/>
    </w:rPr>
  </w:style>
  <w:style w:type="character" w:customStyle="1" w:styleId="190">
    <w:name w:val="AttributeTok"/>
    <w:qFormat/>
    <w:uiPriority w:val="0"/>
    <w:rPr>
      <w:rFonts w:ascii="Times New Roman" w:hAnsi="Times New Roman" w:eastAsia="宋体" w:cs="Times New Roman"/>
      <w:color w:val="7D9029"/>
    </w:rPr>
  </w:style>
  <w:style w:type="character" w:customStyle="1" w:styleId="191">
    <w:name w:val="RegionMarkerTok"/>
    <w:qFormat/>
    <w:uiPriority w:val="0"/>
    <w:rPr>
      <w:rFonts w:ascii="Times New Roman" w:hAnsi="Times New Roman" w:eastAsia="宋体" w:cs="Times New Roman"/>
    </w:rPr>
  </w:style>
  <w:style w:type="character" w:customStyle="1" w:styleId="192">
    <w:name w:val="Information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3">
    <w:name w:val="WarningTok"/>
    <w:qFormat/>
    <w:uiPriority w:val="0"/>
    <w:rPr>
      <w:rFonts w:ascii="Times New Roman" w:hAnsi="Times New Roman" w:eastAsia="宋体" w:cs="Times New Roman"/>
      <w:b/>
      <w:i/>
      <w:color w:val="60A0B0"/>
    </w:rPr>
  </w:style>
  <w:style w:type="character" w:customStyle="1" w:styleId="194">
    <w:name w:val="Alert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5">
    <w:name w:val="ErrorTok"/>
    <w:qFormat/>
    <w:uiPriority w:val="0"/>
    <w:rPr>
      <w:rFonts w:ascii="Times New Roman" w:hAnsi="Times New Roman" w:eastAsia="宋体" w:cs="Times New Roman"/>
      <w:b/>
      <w:color w:val="FF0000"/>
    </w:rPr>
  </w:style>
  <w:style w:type="character" w:customStyle="1" w:styleId="196">
    <w:name w:val="NormalTok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12436</Words>
  <Characters>21757</Characters>
  <Lines>1254</Lines>
  <Paragraphs>1314</Paragraphs>
  <TotalTime>40</TotalTime>
  <ScaleCrop>false</ScaleCrop>
  <LinksUpToDate>false</LinksUpToDate>
  <CharactersWithSpaces>22126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2026-07-30T14:28:00Z</dcterms:created>
  <dc:creator>李辉</dc:creator>
  <dc:description>符号统一；实验数值、17张表、153行记录和5条对比方法参考文献保持不变。</dc:description>
  <cp:lastModifiedBy>李辉</cp:lastModifiedBy>
  <dcterms:modified xsi:type="dcterms:W3CDTF">2026-08-17T08:55:52Z</dcterms:modified>
  <dc:subject>统一集合、域、状态、概率、prototype和损失记号</dc:subject>
  <dc:title>CVS-RFFI Phase2详细复现报告（符号统一版）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eyJoZGlkIjoiY2VkNGZhNDQ4M2E4NDkzZTUxZGVmZDE0NjVmZmUzMTkiLCJ1c2VySWQiOiIxNjU3Njg2OTA1In0=</vt:lpwstr>
  </property>
  <property fmtid="{D5CDD505-2E9C-101B-9397-08002B2CF9AE}" pid="3" name="KSOProductBuildVer">
    <vt:lpwstr>2052-12.1.0.28022</vt:lpwstr>
  </property>
  <property fmtid="{D5CDD505-2E9C-101B-9397-08002B2CF9AE}" pid="4" name="ICV">
    <vt:lpwstr>A967D93A6B5F4FDDBB02C945A65FE2EA_12</vt:lpwstr>
  </property>
</Properties>
</file>