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EA31">
      <w:pPr>
        <w:pStyle w:val="3"/>
        <w:keepNext/>
        <w:pageBreakBefore w:val="0"/>
      </w:pPr>
      <w:r>
        <w:rPr>
          <w:rFonts w:ascii="Times New Roman" w:hAnsi="Times New Roman" w:eastAsia="宋体" w:cs="Times New Roman"/>
          <w:color w:val="1F4E79"/>
        </w:rPr>
        <w:t>1.核心概念与Phase2阶段定位</w:t>
      </w:r>
    </w:p>
    <w:p w14:paraId="67C76557">
      <w:pPr>
        <w:pStyle w:val="4"/>
        <w:keepNext/>
      </w:pPr>
      <w:r>
        <w:rPr>
          <w:rFonts w:ascii="Times New Roman" w:hAnsi="Times New Roman" w:eastAsia="宋体" w:cs="Times New Roman"/>
        </w:rPr>
        <w:t>1.1RFFI任务的三轴谱系</w:t>
      </w:r>
    </w:p>
    <w:p w14:paraId="3736C261">
      <w:r>
        <w:rPr>
          <w:rFonts w:ascii="Times New Roman" w:hAnsi="Times New Roman" w:eastAsia="宋体" w:cs="Times New Roman"/>
          <w:sz w:val="22"/>
        </w:rPr>
        <w:t>表1从三个相互独立的轴定位RFFI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Radio Frequency Fingerprint Identification，即射频指纹识别；FSL是Few-Shot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Adaptation，即无监督域适应。IQ是In-phase/Quadrature，即同相/正交基带采样；LEO是Low Earth Orbit，即低地球轨道；TX是transmitter，即发射机；CVS-RFFI是本项目与模型流程的名称，其中CVS不在本文中充当数学变量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任务：类别轴描述训练、测试及增量阶段的类别关系；域轴描述接收机、信道或采集条件是否变化；时间轴描述任务是否顺序到达，以及更新后的模型状态是否持续保存。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表示发射机类别集合，物理上每个类别对应一台发射机身份；下标</w:t>
      </w:r>
      <m:oMath xmlns:a="http://schemas.openxmlformats.org/drawingml/2006/main" xmlns:pic="http://schemas.openxmlformats.org/drawingml/2006/picture">
        <m:r>
          <m:t>B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src</m:t>
        </m:r>
        <m:r>
          <m:rPr>
            <m:sty m:val="p"/>
          </m:rPr>
          <m:t>,</m:t>
        </m:r>
        <m:r>
          <m:t>tgt</m:t>
        </m:r>
      </m:oMath>
      <w:r>
        <w:rPr>
          <w:rFonts w:ascii="Times New Roman" w:hAnsi="Times New Roman" w:eastAsia="宋体" w:cs="Times New Roman"/>
          <w:b w:val="0"/>
        </w:rPr>
        <w:t>依次表示base（基类）、novel（新类）、source（源域）和target（目标域）。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表示观测域，物理上由接收机链路、采集条件和信道共同决定；因此</w:t>
      </w:r>
      <m:oMath xmlns:a="http://schemas.openxmlformats.org/drawingml/2006/main" xmlns:pic="http://schemas.openxmlformats.org/drawingml/2006/picture">
        <m:sSub>
          <m:e>
            <m:r>
              <m:t>d</m:t>
            </m:r>
          </m:e>
          <m:sub>
            <m:r>
              <m:t>src</m:t>
            </m:r>
          </m:sub>
        </m:sSub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表示源接收机域与目标接收机域不同。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表示增量session序号，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 xml:space="preserve">表示截至session 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已注册的全部类别，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表示尚未注册的发射机。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是每类互不重复的物理support观测数；</w:t>
      </w:r>
      <m:oMath xmlns:a="http://schemas.openxmlformats.org/drawingml/2006/main" xmlns:pic="http://schemas.openxmlformats.org/drawingml/2006/picture">
        <m:r>
          <m:rPr>
            <m:sty m:val="p"/>
          </m:rPr>
          <m:t>∩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∪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⊂</m:t>
        </m:r>
      </m:oMath>
      <w:r>
        <w:rPr>
          <w:rFonts w:ascii="Times New Roman" w:hAnsi="Times New Roman" w:eastAsia="宋体" w:cs="Times New Roman"/>
          <w:b w:val="0"/>
        </w:rPr>
        <w:t>分别表示交集、并集、空集和真子集</w:t>
      </w:r>
      <w:r>
        <w:rPr>
          <w:rFonts w:ascii="Times New Roman" w:hAnsi="Times New Roman" w:cs="Times New Roman" w:eastAsia="宋体"/>
        </w:rPr>
        <w:t>）</w:t>
      </w:r>
    </w:p>
    <w:p w14:paraId="2A41BFCD">
      <w:pPr>
        <w:pStyle w:val="19"/>
        <w:keepNext/>
        <w:jc w:val="center"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cs="Times New Roman" w:ascii="Times New Roman" w:hAnsi="Times New Roman" w:eastAsia="宋体"/>
          <w:b/>
          <w:bCs/>
          <w:color w:val="C00000"/>
          <w:sz w:val="22"/>
          <w:lang w:eastAsia="zh-CN"/>
        </w:rPr>
        <w:t>。</w:t>
      </w:r>
    </w:p>
    <w:p w14:paraId="38068436">
      <w:pPr>
        <w:pStyle w:val="4"/>
        <w:keepNext/>
      </w:pPr>
      <w:r>
        <w:rPr>
          <w:rFonts w:ascii="Times New Roman" w:hAnsi="Times New Roman" w:eastAsia="宋体" w:cs="Times New Roman"/>
        </w:rPr>
        <w:t>1.2少样本学习的定义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τ</m:t>
        </m:r>
      </m:oMath>
      <w:r>
        <w:rPr>
          <w:rFonts w:ascii="Times New Roman" w:hAnsi="Times New Roman" w:eastAsia="宋体" w:cs="Times New Roman"/>
          <w:b w:val="0"/>
        </w:rPr>
        <w:t>是一次独立少样本任务；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分别是该任务的support集合与query集合。support是允许建立或更新模型状态的带标签样本，query只用于冻结后的测试。</w:t>
      </w:r>
      <m:oMath xmlns:a="http://schemas.openxmlformats.org/drawingml/2006/main" xmlns:pic="http://schemas.openxmlformats.org/drawingml/2006/picture">
        <m:r>
          <m:t>N</m:t>
        </m:r>
      </m:oMath>
      <w:r>
        <w:rPr>
          <w:rFonts w:ascii="Times New Roman" w:hAnsi="Times New Roman" w:eastAsia="宋体" w:cs="Times New Roman"/>
          <w:b w:val="0"/>
        </w:rPr>
        <w:t>是任务中的类别数，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是每类support数，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是任务类别集合；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是类别索引，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是类内样本索引，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的第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个固定接收IQ观测。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表示集合基数，</w:t>
      </w:r>
      <m:oMath xmlns:a="http://schemas.openxmlformats.org/drawingml/2006/main" xmlns:pic="http://schemas.openxmlformats.org/drawingml/2006/picture">
        <m:r>
          <m:rPr>
            <m:sty m:val="p"/>
          </m:rPr>
          <m:t>⋃</m:t>
        </m:r>
      </m:oMath>
      <w:r>
        <w:rPr>
          <w:rFonts w:ascii="Times New Roman" w:hAnsi="Times New Roman" w:eastAsia="宋体" w:cs="Times New Roman"/>
          <w:b w:val="0"/>
        </w:rPr>
        <w:t>表示把各类样本合并为support集合</w:t>
      </w:r>
      <w:r>
        <w:rPr>
          <w:rFonts w:ascii="Times New Roman" w:hAnsi="Times New Roman" w:cs="Times New Roman" w:eastAsia="宋体"/>
        </w:rPr>
        <w:t>）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是任务开始前的冻结先验状态，例如Phase1 deployment bundle；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A</m:t>
        </m:r>
      </m:oMath>
      <w:r>
        <w:rPr>
          <w:rFonts w:ascii="Times New Roman" w:hAnsi="Times New Roman" w:eastAsia="宋体" w:cs="Times New Roman"/>
          <w:b w:val="0"/>
        </w:rPr>
        <w:t>是只读取先验状态和support的适配/注册算法；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是由它生成的当前任务预测器。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是单个query观测，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是真实发射机标签，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是模型预测；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q</m:t>
                    </m:r>
                  </m:sub>
                </m:sSub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是query属于类别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表示选择分数最大的类别。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  <m:r>
          <m:rPr>
            <m:sty m:val="p"/>
          </m:rPr>
          <m:t>∩</m:t>
        </m:r>
        <m:sSub>
          <m:e>
            <m:r>
              <m:t>Q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表示support与query不能共享同一物理样本</w:t>
      </w:r>
      <w:r>
        <w:rPr>
          <w:rFonts w:ascii="Times New Roman" w:hAnsi="Times New Roman" w:cs="Times New Roman" w:eastAsia="宋体"/>
        </w:rPr>
        <w:t>）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05CFD8F0">
      <w:pPr>
        <w:pStyle w:val="4"/>
        <w:keepNext/>
      </w:pPr>
      <w:r>
        <w:rPr>
          <w:rFonts w:ascii="Times New Roman" w:hAnsi="Times New Roman" w:eastAsia="宋体" w:cs="Times New Roman"/>
        </w:rPr>
        <w:t>1.3域适应及Stage2-B定位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分别表示源域与目标域数据分布；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X</m:t>
        </m:r>
      </m:oMath>
      <w:r>
        <w:rPr>
          <w:rFonts w:ascii="Times New Roman" w:hAnsi="Times New Roman" w:eastAsia="宋体" w:cs="Times New Roman"/>
          <w:b w:val="0"/>
        </w:rPr>
        <w:t>是接收IQ的输入空间，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是发射机标签空间。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src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tgt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是两个域中的联合分布，</w:t>
      </w:r>
      <m:oMath xmlns:a="http://schemas.openxmlformats.org/drawingml/2006/main" xmlns:pic="http://schemas.openxmlformats.org/drawingml/2006/picture"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表示给定同一发射机身份时观测到某种IQ波形的条件分布。CVS中的物理含义是发射机身份不变，但目标接收机与LEO弱信道使波形分布改变</w:t>
      </w:r>
      <w:r>
        <w:rPr>
          <w:rFonts w:ascii="Times New Roman" w:hAnsi="Times New Roman" w:cs="Times New Roman" w:eastAsia="宋体"/>
        </w:rPr>
        <w:t>）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src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src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tgt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src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src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tgt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tgt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是预测器</w:t>
      </w:r>
      <m:oMath xmlns:a="http://schemas.openxmlformats.org/drawingml/2006/main" xmlns:pic="http://schemas.openxmlformats.org/drawingml/2006/picture">
        <m:r>
          <m:t>h</m:t>
        </m:r>
      </m:oMath>
      <w:r>
        <w:rPr>
          <w:rFonts w:ascii="Times New Roman" w:hAnsi="Times New Roman" w:eastAsia="宋体" w:cs="Times New Roman"/>
          <w:b w:val="0"/>
        </w:rPr>
        <w:t>在目标接收机域上的期望分类风险；</w:t>
      </w:r>
      <m:oMath xmlns:a="http://schemas.openxmlformats.org/drawingml/2006/main" xmlns:pic="http://schemas.openxmlformats.org/drawingml/2006/picture"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是单个样本的分类损失；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double-struck"/>
              </m:rP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cr m:val="script"/>
                  </m:rPr>
                  <m:t>Y</m:t>
                </m:r>
              </m:e>
            </m:d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tgt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表示对目标域分布中的样本取数学期望。物理上，降低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就是减少目标卫星接收机上旧发射机的平均识别错误</w:t>
      </w:r>
      <w:r>
        <w:rPr>
          <w:rFonts w:ascii="Times New Roman" w:hAnsi="Times New Roman" w:cs="Times New Roman" w:eastAsia="宋体"/>
        </w:rPr>
        <w:t>）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tgt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tgt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p w14:paraId="5CB6D9C4">
      <w:pPr>
        <w:pStyle w:val="4"/>
        <w:keepNext/>
      </w:pPr>
      <w:r>
        <w:rPr>
          <w:rFonts w:ascii="Times New Roman" w:hAnsi="Times New Roman" w:eastAsia="宋体" w:cs="Times New Roman"/>
        </w:rPr>
        <w:t>1.4类增量、FSCIL与新类注册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是进入第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次增量前已经注册的类别，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Y</m:t>
            </m:r>
          </m:e>
          <m:sub>
            <m:r>
              <m:t>t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是本次到达并获得合法support的新发射机，二者并集构成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。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是完成第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次更新后持续保存的预测器，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对类别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的分类分数。统一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意味着旧类和已注册新类在同一候选空间竞争</w:t>
      </w:r>
      <w:r>
        <w:rPr>
          <w:rFonts w:ascii="Times New Roman" w:hAnsi="Times New Roman" w:cs="Times New Roman" w:eastAsia="宋体"/>
        </w:rPr>
        <w:t>）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Y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Y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p w14:paraId="1A9932D9">
      <w:pPr>
        <w:pStyle w:val="4"/>
        <w:keepNext/>
      </w:pPr>
      <w:r>
        <w:rPr>
          <w:rFonts w:ascii="Times New Roman" w:hAnsi="Times New Roman" w:eastAsia="宋体" w:cs="Times New Roma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20"/>
        <w:gridCol w:w="810"/>
        <w:gridCol w:w="1860"/>
        <w:gridCol w:w="3810"/>
        <w:gridCol w:w="1526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</w:tbl>
    <w:p w14:paraId="2D7736A1">
      <w:pPr>
        <w:pStyle w:val="4"/>
        <w:keepNext/>
      </w:pPr>
      <w:r>
        <w:rPr>
          <w:rFonts w:ascii="Times New Roman" w:hAnsi="Times New Roman" w:eastAsia="宋体" w:cs="Times New Roman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Y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Y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p w14:paraId="7735C441">
      <w:pPr>
        <w:pStyle w:val="3"/>
        <w:keepNext/>
        <w:pageBreakBefore w:val="0"/>
      </w:pPr>
      <w:bookmarkStart w:id="0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1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 w:cs="Times New Roman"/>
          <w:sz w:val="22"/>
        </w:rPr>
        <w:t>两轮实验统一使用ADV3B02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ADV3B02是本项目Phase1地面域泛化基座的实验版本标识，不是通用算法缩写；checkpoint是训练后冻结的模型参数快照，deployment bundle是与checkpoint共同封存、可供Phase2只读使用的部署状态。backbone指把接收IQ映射为身份特征的主干网络，adapter是附加的小型可训练适配模块，prototype是某一发射机类别的特征中心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地面域泛化checkpoint，避免backbone差异干扰方法比较。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  <w:bookmarkEnd w:id="1"/>
    </w:tbl>
    <w:p w14:paraId="560F91F1">
      <w:pPr>
        <w:pStyle w:val="4"/>
        <w:keepNext/>
      </w:pPr>
      <w:r>
        <w:rPr>
          <w:rFonts w:ascii="Times New Roman" w:hAnsi="Times New Roman" w:eastAsia="宋体" w:cs="Times New Roman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3014"/>
        <w:gridCol w:w="2503"/>
        <w:gridCol w:w="1671"/>
        <w:gridCol w:w="1729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DA0_REG0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DA1_REG0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2401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80F2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DA1_REG0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DA1_REG1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03BE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C95D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</w:tbl>
    <w:p w14:paraId="3340DDFA">
      <w:pPr>
        <w:pStyle w:val="4"/>
        <w:keepNext/>
      </w:pPr>
      <w:r>
        <w:rPr>
          <w:rFonts w:ascii="Times New Roman" w:hAnsi="Times New Roman" w:eastAsia="宋体" w:cs="Times New Roman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DA0_REG0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DA1_REG0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分别表示Stage2-B域适应前后的预测，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DA0_REG0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DA1_REG0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DA0_REG0</m:t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DA1_REG0</m:t>
            </m:r>
            <m:r>
              <m:t/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分别是DA0_REG0与DA1_REG0状态的旧类准确率；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是旧类适配收益；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是已注册新类准确率；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o</m:t>
            </m:r>
            <m:r>
              <m:t>l</m:t>
            </m:r>
            <m:r>
              <m:t>d</m:t>
            </m:r>
            <m:r>
              <m:rPr>
                <m:sty m:val="p"/>
              </m:rPr>
              <m:t>,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是旧类与新类准确率的调和均值；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是旧类遗忘量；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是所有旧发射机中最低的单类准确率。</w:t>
      </w:r>
      <m:oMath xmlns:a="http://schemas.openxmlformats.org/drawingml/2006/main" xmlns:pic="http://schemas.openxmlformats.org/drawingml/2006/picture">
        <m:r>
          <m:t>Δ</m:t>
        </m:r>
      </m:oMath>
      <w:r>
        <w:rPr>
          <w:rFonts w:ascii="Times New Roman" w:hAnsi="Times New Roman" w:eastAsia="宋体" w:cs="Times New Roman"/>
          <w:b w:val="0"/>
        </w:rPr>
        <w:t>表示相对正式LEO结果的变化量；pp是percentage points，即百分点；s是second，即秒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分别是旧类query集、新类query集和旧类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的query子集；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是query样本索引。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是真值，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DA0_REG0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DA1_REG0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分别是DA0_REG0与DA1_REG0状态的预测。</w:t>
      </w:r>
      <m:oMath xmlns:a="http://schemas.openxmlformats.org/drawingml/2006/main" xmlns:pic="http://schemas.openxmlformats.org/drawingml/2006/picture">
        <m:r>
          <m:rPr>
            <m:sty m:val="p"/>
            <m:scr m:val="double-struck"/>
          </m:rPr>
          <m:t>I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是指示函数：条件成立取1，否则取0；求和后除以query数即得到准确率。</w:t>
      </w:r>
      <m:oMath xmlns:a="http://schemas.openxmlformats.org/drawingml/2006/main" xmlns:pic="http://schemas.openxmlformats.org/drawingml/2006/picture"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表示在旧类集合</w:t>
      </w:r>
      <m:oMath xmlns:a="http://schemas.openxmlformats.org/drawingml/2006/main" xmlns:pic="http://schemas.openxmlformats.org/drawingml/2006/picture">
        <m:sSub>
          <m:e>
            <m:r>
              <m:rPr>
                <m:scr m:val="script"/>
              </m:rPr>
              <m:t>Y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中取最低单类准确率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</w:rPr>
        <w:t xml:space="preserve"> 四个完整状态记为DA0_REG0（域适应前/注册前）、DA1_REG0（域适应后/注册前）、DA0_REG1（域适应前/注册后）和DA1_REG1（域适应后/注册后）。</w:t>
      </w:r>
    </w:p>
    <w:p w14:paraId="0C7737E3">
      <w:pPr>
        <w:pStyle w:val="5"/>
        <w:keepNext/>
      </w:pPr>
      <w:r>
        <w:rPr>
          <w:rFonts w:ascii="Times New Roman" w:hAnsi="Times New Roman" w:eastAsia="宋体" w:cs="Times New Roman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DA0_REG0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DA0_REG0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DA0_REG0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p w14:paraId="2B192C9A">
      <w:pPr>
        <w:pStyle w:val="5"/>
        <w:keepNext/>
      </w:pPr>
      <w:r>
        <w:rPr>
          <w:rFonts w:ascii="Times New Roman" w:hAnsi="Times New Roman" w:eastAsia="宋体" w:cs="Times New Roman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p w14:paraId="6D693737">
      <w:pPr>
        <w:pStyle w:val="5"/>
        <w:keepNext/>
      </w:pPr>
      <w:r>
        <w:rPr>
          <w:rFonts w:ascii="Times New Roman" w:hAnsi="Times New Roman" w:eastAsia="宋体" w:cs="Times New Roman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DA1_REG1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cr m:val="script"/>
                    </m:rPr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DA1_REG1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p w14:paraId="22804EA8">
      <w:pPr>
        <w:pStyle w:val="4"/>
        <w:keepNext/>
      </w:pPr>
      <w:r>
        <w:rPr>
          <w:rFonts w:ascii="Times New Roman" w:hAnsi="Times New Roman" w:eastAsia="宋体" w:cs="Times New Roma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0"/>
    </w:tbl>
    <w:p w14:paraId="1268748D">
      <w:pPr>
        <w:pStyle w:val="3"/>
        <w:keepNext/>
        <w:pageBreakBefore w:val="0"/>
      </w:pPr>
      <w:bookmarkStart w:id="2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3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 w:cs="Times New Roman"/>
          <w:sz w:val="22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同一ADV3B02地面域泛化checkpoint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3"/>
    </w:tbl>
    <w:p w14:paraId="46104BF3">
      <w:pPr>
        <w:pStyle w:val="4"/>
        <w:keepNext/>
      </w:pPr>
      <w:r>
        <w:rPr>
          <w:rFonts w:ascii="Times New Roman" w:hAnsi="Times New Roman" w:eastAsia="宋体" w:cs="Times New Roman"/>
        </w:rPr>
        <w:t>3.2ProtoNet CDA：原型式K-shot目标域校准基线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ProtoNet，即原型网络；CDA在本文中指Cross-Domain Adaptation，即跨域适配。该基线不更新backbone，只用目标接收机旧类support重新估计类别中心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加载ADV3B02的160维身份特征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是固定LEO接收IQ，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θ</m:t>
        </m:r>
      </m:oMath>
      <w:r>
        <w:rPr>
          <w:rFonts w:ascii="Times New Roman" w:hAnsi="Times New Roman" w:eastAsia="宋体" w:cs="Times New Roman"/>
          <w:b w:val="0"/>
        </w:rPr>
        <w:t>的冻结身份编码器，</w:t>
      </w:r>
      <m:oMath xmlns:a="http://schemas.openxmlformats.org/drawingml/2006/main" xmlns:pic="http://schemas.openxmlformats.org/drawingml/2006/picture"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个support的160维身份特征。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的support集合，</w:t>
      </w:r>
      <m:oMath xmlns:a="http://schemas.openxmlformats.org/drawingml/2006/main" xmlns:pic="http://schemas.openxmlformats.org/drawingml/2006/picture">
        <m:r>
          <m:t>μ</m:t>
        </m:r>
      </m:oMath>
      <w:r>
        <w:rPr>
          <w:rFonts w:ascii="Times New Roman" w:hAnsi="Times New Roman" w:eastAsia="宋体" w:cs="Times New Roman"/>
          <w:b w:val="0"/>
        </w:rPr>
        <w:t>是待求中心，</w:t>
      </w:r>
      <m:oMath xmlns:a="http://schemas.openxmlformats.org/drawingml/2006/main" xmlns:pic="http://schemas.openxmlformats.org/drawingml/2006/picture">
        <m:sSubSup>
          <m:e>
            <m:r>
              <m:t>μ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是使类内平方欧氏距离最小的类别原型；</w:t>
      </w:r>
      <m:oMath xmlns:a="http://schemas.openxmlformats.org/drawingml/2006/main" xmlns:pic="http://schemas.openxmlformats.org/drawingml/2006/picture">
        <m:r>
          <m:rPr>
            <m:sty m:val="p"/>
          </m:rPr>
          <m:t>∥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表示平方L2范数。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表示选择距离最小的中心或类别</w:t>
      </w:r>
      <w:r>
        <w:rPr>
          <w:rFonts w:ascii="Times New Roman" w:hAnsi="Times New Roman" w:cs="Times New Roman" w:eastAsia="宋体"/>
        </w:rPr>
        <w:t>）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μ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μ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cr m:val="script"/>
                    </m:rPr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效果较差。</w:t>
      </w:r>
    </w:p>
    <w:p w14:paraId="161AE093">
      <w:pPr>
        <w:pStyle w:val="4"/>
        <w:keepNext/>
      </w:pPr>
      <w:bookmarkStart w:id="4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Adaptation，即监督域适应。CE是Cross-Entropy，即交叉熵；DV-KL是Donsker-Varadhan形式的Kullback-Leibler域差异估计，其中KL表示相对熵；Adam是Adaptive Moment Estimation优化器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原本属于单源无监督域适应[2]。CVS版本用真实target-old support标签替代伪标签，形成监督式域适应。其特点是用可学习的DV-KL估计网络对齐source与target，同时更新完整ADV3B02身份backbone。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src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tgt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π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分别是源域batch与目标域support batch，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D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是域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的batch样本数；</w:t>
      </w:r>
      <m:oMath xmlns:a="http://schemas.openxmlformats.org/drawingml/2006/main" xmlns:pic="http://schemas.openxmlformats.org/drawingml/2006/picture"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src</m:t>
        </m:r>
        <m:r>
          <m:rPr>
            <m:sty m:val="p"/>
          </m:rPr>
          <m:t>,</m:t>
        </m:r>
        <m:r>
          <m:t>tgt</m:t>
        </m:r>
        <m:r>
          <m:rPr>
            <m:sty m:val="p"/>
          </m:rPr>
          <m:t>}</m:t>
        </m:r>
      </m:oMath>
      <w:r>
        <w:rPr>
          <w:rFonts w:ascii="Times New Roman" w:hAnsi="Times New Roman" w:eastAsia="宋体" w:cs="Times New Roman"/>
          <w:b w:val="0"/>
        </w:rPr>
        <w:t>表示公式同时用于source与target。</w:t>
      </w:r>
      <m:oMath xmlns:a="http://schemas.openxmlformats.org/drawingml/2006/main" xmlns:pic="http://schemas.openxmlformats.org/drawingml/2006/picture"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是模型把观测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判为旧类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的概率；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是目标support中类别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的样本数，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是旧类总数，</w:t>
      </w:r>
      <m:oMath xmlns:a="http://schemas.openxmlformats.org/drawingml/2006/main" xmlns:pic="http://schemas.openxmlformats.org/drawingml/2006/picture"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是逆频率类别权重，</w:t>
      </w:r>
      <m:oMath xmlns:a="http://schemas.openxmlformats.org/drawingml/2006/main" xmlns:pic="http://schemas.openxmlformats.org/drawingml/2006/picture">
        <m:r>
          <m:t>ε₀</m:t>
        </m:r>
      </m:oMath>
      <w:r>
        <w:rPr>
          <w:rFonts w:ascii="Times New Roman" w:hAnsi="Times New Roman" w:eastAsia="宋体" w:cs="Times New Roman"/>
          <w:b w:val="0"/>
        </w:rPr>
        <w:t>防止样本数为0时除零；</w:t>
      </w:r>
      <m:oMath xmlns:a="http://schemas.openxmlformats.org/drawingml/2006/main" xmlns:pic="http://schemas.openxmlformats.org/drawingml/2006/picture">
        <m:r>
          <m:rPr>
            <m:sty m:val="p"/>
          </m:rPr>
          <m:t>log</m:t>
        </m:r>
      </m:oMath>
      <w:r>
        <w:rPr>
          <w:rFonts w:ascii="Times New Roman" w:hAnsi="Times New Roman" w:eastAsia="宋体" w:cs="Times New Roman"/>
          <w:b w:val="0"/>
        </w:rPr>
        <w:t>是自然对数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</w:rPr>
        <w:t xml:space="preserve"> 本文各方法的分类概率统一记为上述符号。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ε₀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ε₀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src</m:t>
          </m:r>
          <m:r>
            <m:rPr>
              <m:sty m:val="p"/>
            </m:rPr>
            <m:t>,</m:t>
          </m:r>
          <m:r>
            <m:rPr/>
            <m:t>tgt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i</m:t>
            </m:r>
          </m:sub>
          <m:sup>
            <m:r>
              <m:t>src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j</m:t>
            </m:r>
          </m:sub>
          <m:sup>
            <m:r>
              <m:t>tgt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是source样本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与target-support样本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的特征；</w:t>
      </w: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ϕ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ϕ</m:t>
        </m:r>
      </m:oMath>
      <w:r>
        <w:rPr>
          <w:rFonts w:ascii="Times New Roman" w:hAnsi="Times New Roman" w:eastAsia="宋体" w:cs="Times New Roman"/>
          <w:b w:val="0"/>
        </w:rPr>
        <w:t>的DV域统计网络。</w:t>
      </w:r>
      <m:oMath xmlns:a="http://schemas.openxmlformats.org/drawingml/2006/main" xmlns:pic="http://schemas.openxmlformats.org/drawingml/2006/picture">
        <m:r>
          <m:rPr>
            <m:sty m:val="p"/>
          </m:rPr>
          <m:t>exp</m:t>
        </m:r>
      </m:oMath>
      <w:r>
        <w:rPr>
          <w:rFonts w:ascii="Times New Roman" w:hAnsi="Times New Roman" w:eastAsia="宋体" w:cs="Times New Roman"/>
          <w:b w:val="0"/>
        </w:rPr>
        <w:t>是指数函数，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D</m:t>
            </m:r>
            <m:r>
              <m:t>V</m:t>
            </m:r>
            <m:r>
              <m:rPr>
                <m:sty m:val="p"/>
              </m:rPr>
              <m:t>−</m:t>
            </m:r>
            <m:r>
              <m:t>K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越大表示两个接收机域越可区分；训练采用内层最大化域差异估计、外层最小化分类与对齐目标。总损失中的0.5、0.5和0.005分别是source分类、target-support分类和域差异项的固定权重</w:t>
      </w:r>
      <w:r>
        <w:rPr>
          <w:rFonts w:ascii="Times New Roman" w:hAnsi="Times New Roman" w:cs="Times New Roman" w:eastAsia="宋体"/>
        </w:rPr>
        <w:t>）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src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src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tgt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tgt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tgt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ADV3B02的外层优化目标为：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src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tgt-support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7D54DB0A">
      <w:pPr>
        <w:pStyle w:val="4"/>
        <w:keepNext/>
      </w:pPr>
      <w:bookmarkStart w:id="5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src</m:t>
          </m:r>
          <m:r>
            <m:rPr>
              <m:sty m:val="p"/>
            </m:rPr>
            <m:t>,</m:t>
          </m:r>
          <m:r>
            <m:rPr/>
            <m:t>tgt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是衡量两个特征向量</w:t>
      </w:r>
      <m:oMath xmlns:a="http://schemas.openxmlformats.org/drawingml/2006/main" xmlns:pic="http://schemas.openxmlformats.org/drawingml/2006/picture">
        <m:r>
          <m:t>u</m:t>
        </m:r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r>
          <m:t>v</m:t>
        </m:r>
      </m:oMath>
      <w:r>
        <w:rPr>
          <w:rFonts w:ascii="Times New Roman" w:hAnsi="Times New Roman" w:eastAsia="宋体" w:cs="Times New Roman"/>
          <w:b w:val="0"/>
        </w:rPr>
        <w:t>相似度的RBF核，距离越近核值越大；</w:t>
      </w:r>
      <m:oMath xmlns:a="http://schemas.openxmlformats.org/drawingml/2006/main" xmlns:pic="http://schemas.openxmlformats.org/drawingml/2006/picture">
        <m:r>
          <m:t>σ</m:t>
        </m:r>
      </m:oMath>
      <w:r>
        <w:rPr>
          <w:rFonts w:ascii="Times New Roman" w:hAnsi="Times New Roman" w:eastAsia="宋体" w:cs="Times New Roman"/>
          <w:b w:val="0"/>
        </w:rPr>
        <w:t>是核带宽，控制多大特征距离仍被视为相似。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分别是source与target-support样本数；</w:t>
      </w:r>
      <m:oMath xmlns:a="http://schemas.openxmlformats.org/drawingml/2006/main" xmlns:pic="http://schemas.openxmlformats.org/drawingml/2006/picture"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′</m:t>
        </m:r>
      </m:oMath>
      <w:r>
        <w:rPr>
          <w:rFonts w:ascii="Times New Roman" w:hAnsi="Times New Roman" w:eastAsia="宋体" w:cs="Times New Roman"/>
          <w:b w:val="0"/>
        </w:rPr>
        <w:t>是两域中的样本索引。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比较两域整体特征分布，数值越小表示全局域差异越小</w:t>
      </w:r>
      <w:r>
        <w:rPr>
          <w:rFonts w:ascii="Times New Roman" w:hAnsi="Times New Roman" w:cs="Times New Roman" w:eastAsia="宋体"/>
        </w:rPr>
        <w:t>）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src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src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tgt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tgt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tgt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src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tgt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tgt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src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tgt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src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tgt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在source/target-support中的归一化样本权重向量；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src,src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tgt,tgt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src,tgt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分别是source内部、target内部以及source-target之间的核矩阵；上标</w:t>
      </w:r>
      <m:oMath xmlns:a="http://schemas.openxmlformats.org/drawingml/2006/main" xmlns:pic="http://schemas.openxmlformats.org/drawingml/2006/picture">
        <m:r>
          <m:rPr>
            <m:sty m:val="p"/>
          </m:rPr>
          <m:t>⊤</m:t>
        </m:r>
      </m:oMath>
      <w:r>
        <w:rPr>
          <w:rFonts w:ascii="Times New Roman" w:hAnsi="Times New Roman" w:eastAsia="宋体" w:cs="Times New Roman"/>
          <w:b w:val="0"/>
        </w:rPr>
        <w:t>表示转置。</w:t>
      </w:r>
      <m:oMath xmlns:a="http://schemas.openxmlformats.org/drawingml/2006/main" xmlns:pic="http://schemas.openxmlformats.org/drawingml/2006/picture"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r>
              <m:t>​</m:t>
            </m:r>
          </m:e>
        </m:nary>
      </m:oMath>
      <w:r>
        <w:rPr>
          <w:rFonts w:ascii="Times New Roman" w:hAnsi="Times New Roman" w:eastAsia="宋体" w:cs="Times New Roman"/>
          <w:b w:val="0"/>
        </w:rPr>
        <w:t>把所有旧发射机的类条件差异汇总为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cs="Times New Roman" w:eastAsia="宋体"/>
        </w:rPr>
        <w:t>）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src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src,src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src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tgt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tgt,tgt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tgt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src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src,tgt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tgt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是由当前batch自动计算的动态权重：全局MMD较大时更强调LMMD，反之更强调MMD；分母中的</w:t>
      </w:r>
      <m:oMath xmlns:a="http://schemas.openxmlformats.org/drawingml/2006/main" xmlns:pic="http://schemas.openxmlformats.org/drawingml/2006/picture">
        <m:r>
          <m:t>ε₀</m:t>
        </m:r>
      </m:oMath>
      <w:r>
        <w:rPr>
          <w:rFonts w:ascii="Times New Roman" w:hAnsi="Times New Roman" w:eastAsia="宋体" w:cs="Times New Roman"/>
          <w:b w:val="0"/>
        </w:rPr>
        <w:t>保证数值稳定。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src</m:t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tgt</m:t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o</m:t>
            </m:r>
            <m:r>
              <m:t>r</m:t>
            </m:r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分别监督源样本与目标support的发射机分类；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m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是各类LMMD项的求和；momentum是动量系数，weight decay是权重衰减</w:t>
      </w:r>
      <w:r>
        <w:rPr>
          <w:rFonts w:ascii="Times New Roman" w:hAnsi="Times New Roman" w:cs="Times New Roman" w:eastAsia="宋体"/>
        </w:rPr>
        <w:t>）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ε₀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src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tgt-support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数据与MRIOR-SDA相同；更新完整ADV3B02身份backbone和旧类分类输出。SGD初始学习率为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5"/>
    <w:p w14:paraId="7513F33E">
      <w:pPr>
        <w:pStyle w:val="4"/>
        <w:keepNext/>
      </w:pPr>
      <w:r>
        <w:rPr>
          <w:rFonts w:ascii="Times New Roman" w:hAnsi="Times New Roman" w:eastAsia="宋体" w:cs="Times New Roma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2"/>
    </w:tbl>
    <w:p w14:paraId="025EFCD4">
      <w:pPr>
        <w:pStyle w:val="4"/>
        <w:keepNext/>
      </w:pPr>
      <w:r>
        <w:rPr>
          <w:rFonts w:ascii="Times New Roman" w:hAnsi="Times New Roman" w:eastAsia="宋体" w:cs="Times New Roman"/>
        </w:rPr>
        <w:t>3.6对比方法复现实验结果</w:t>
      </w:r>
    </w:p>
    <w:p w14:paraId="07EB6167">
      <w:pPr>
        <w:pStyle w:val="19"/>
        <w:keepNext w:val="0"/>
      </w:pPr>
      <w:r>
        <w:rPr>
          <w:rFonts w:ascii="Times New Roman" w:hAnsi="Times New Roman" w:eastAsia="宋体" w:cs="Times New Roma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3978B4E3">
      <w:pPr>
        <w:pStyle w:val="5"/>
        <w:keepNext/>
      </w:pPr>
      <w:r>
        <w:rPr>
          <w:rFonts w:ascii="Times New Roman" w:hAnsi="Times New Roman" w:eastAsia="宋体" w:cs="Times New Roman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671A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1FAF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DA0_REG0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DA1_REG0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F8B7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18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BFEC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backbone更新</w:t>
            </w:r>
          </w:p>
        </w:tc>
      </w:tr>
      <w:tr w14:paraId="243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BC2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0A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0E33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59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0E3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69D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8FF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47E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8E08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EEA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380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1EE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396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EB1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FEE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05A3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7A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00B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8157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8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959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633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FF9F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</w:tr>
    </w:tbl>
    <w:p w14:paraId="0CA1A6DF">
      <w:pPr>
        <w:pStyle w:val="19"/>
        <w:keepNext w:val="0"/>
      </w:pPr>
      <w:r>
        <w:rPr>
          <w:rFonts w:ascii="Times New Roman" w:hAnsi="Times New Roman" w:eastAsia="宋体" w:cs="Times New Roman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5FBB1334">
      <w:pPr>
        <w:pStyle w:val="5"/>
        <w:keepNext/>
      </w:pPr>
      <w:r>
        <w:rPr>
          <w:rFonts w:ascii="Times New Roman" w:hAnsi="Times New Roman" w:eastAsia="宋体" w:cs="Times New Roman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243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B15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578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938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9BF7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78E3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7F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8BC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0B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64A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BC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58.67%</w:t>
            </w:r>
          </w:p>
        </w:tc>
      </w:tr>
      <w:tr w14:paraId="6525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C693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A81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ED7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64F7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1BA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64.70%</w:t>
            </w:r>
          </w:p>
        </w:tc>
      </w:tr>
      <w:tr w14:paraId="769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4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029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ED0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14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68.98%</w:t>
            </w:r>
          </w:p>
        </w:tc>
      </w:tr>
      <w:tr w14:paraId="3F6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DD6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C52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802E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A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14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70.42%</w:t>
            </w:r>
          </w:p>
        </w:tc>
      </w:tr>
      <w:tr w14:paraId="4CC9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229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823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A6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09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730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71.48%</w:t>
            </w:r>
          </w:p>
        </w:tc>
      </w:tr>
    </w:tbl>
    <w:p w14:paraId="7BCE328B">
      <w:pPr>
        <w:pStyle w:val="19"/>
        <w:keepNext w:val="0"/>
      </w:pPr>
      <w:r>
        <w:rPr>
          <w:rFonts w:ascii="Times New Roman" w:hAnsi="Times New Roman" w:eastAsia="宋体" w:cs="Times New Roman"/>
        </w:rPr>
        <w:t>K从1增加到20时，MRIOR-SDA与DADDA-SDA持续受益，说明更多target support提高了梯度估计和类条件分布估计的稳定性。ProtoNet CDA也随K增加而改善，但K=20时仍低于直接ADV3B02。</w:t>
      </w:r>
    </w:p>
    <w:p w14:paraId="7930FEE2">
      <w:pPr>
        <w:pStyle w:val="5"/>
        <w:keepNext/>
      </w:pPr>
      <w:r>
        <w:rPr>
          <w:rFonts w:ascii="Times New Roman" w:hAnsi="Times New Roman" w:eastAsia="宋体" w:cs="Times New Roman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2E79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0B893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A849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CEB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3F77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95D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2F4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A67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4E5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CB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9EA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74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60.98%</w:t>
            </w:r>
          </w:p>
        </w:tc>
      </w:tr>
      <w:tr w14:paraId="594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6B1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C32C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109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D1BF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187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48.50%</w:t>
            </w:r>
          </w:p>
        </w:tc>
      </w:tr>
      <w:tr w14:paraId="2E9D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E122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2349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C5F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03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D62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83.53%</w:t>
            </w:r>
          </w:p>
        </w:tc>
      </w:tr>
      <w:tr w14:paraId="3AE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C69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36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BE4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E7B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AA2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74.81%</w:t>
            </w:r>
          </w:p>
        </w:tc>
      </w:tr>
      <w:tr w14:paraId="08E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4DB0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8EF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72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8D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DD9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66.42%</w:t>
            </w:r>
          </w:p>
        </w:tc>
      </w:tr>
    </w:tbl>
    <w:p w14:paraId="39BABBA1">
      <w:pPr>
        <w:pStyle w:val="19"/>
        <w:keepNext w:val="0"/>
      </w:pPr>
      <w:r>
        <w:rPr>
          <w:rFonts w:ascii="Times New Roman" w:hAnsi="Times New Roman" w:eastAsia="宋体" w:cs="Times New Roman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3.6.4qKNN Stage2-B域适应实验结果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quantized K-nearest neighbors，即量化K近邻；其中q表示quantized，KNN表示K-nearest neighbors；qKNN名称中的K不表示K-shot，本文只有单独出现的K才表示每类support物理样本数。本文按照项目命名约定，用qKNN统称Phase2轻量适配/注册路线。所列实验版本在量化近邻/原型记忆基础上加入support稳健状态和共享判别头，因此不能理解为最原始的裸KNN多数投票；S2B-old表示完成旧类target support域适配后、注册新类前的Stage2-B旧类准确率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的Stage2-B状态读取6个旧类的K-shot target support，在注册任何新类之前完成旧类目标域适配。原始artifact将该指标记为B-old；为避免把“注册前”误解成“尚未域适应”，本节统一记为S2B-old。下表按K、target receiver和LEO弱信道场景列出S2B-old，每个单元格为5个seed（713102–713106）的均值。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872"/>
        <w:gridCol w:w="1591"/>
        <w:gridCol w:w="1778"/>
        <w:gridCol w:w="1591"/>
        <w:gridCol w:w="1873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target receiver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clear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low-elev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rain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三场景均值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66.500%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43.333%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49.611%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74.167%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63.833%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77.667%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81.944%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90.333%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82.444%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85.033%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80.400%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78.367%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73.333%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86.278%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94.167%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95.778%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86.000%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84.733%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的Stage2-B域适应准确率随support由K=1增加到K=5、K=10而提升：5个接收机三场景总体均值依次为68.144%、81.267%和86.111%。同一K下，clear场景总体最高，low-elev与rain场景更低；接收机3-19始终最弱，K=10时三场景均值仍仅73.333%，说明接收机域偏移和弱信道扰动尚未被完全消除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3.6.5qKNN与域适应方法的共同LEO场景对照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下表将qKNN的S2B-old与相同三类LEO弱信道场景下的域适应对比方法并列。域适应矩阵使用5个receiver、seed 713101–713105，qKNN使用5个receiver和seed 713102–713106；两套矩阵的seed集合及artifact没有严格一一配对，因此只作描述性比较，不计算paired显著性。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591"/>
        <w:gridCol w:w="1591"/>
        <w:gridCol w:w="1591"/>
        <w:gridCol w:w="1591"/>
        <w:gridCol w:w="2341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直接ADV3B02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MRIOR-SDA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DADDA-SDA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ProtoNet CDA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qKNN Stage2-B旧类准确率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59.47%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76.74%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70.28%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70.86%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在这一描述性口径下，qKNN的Stage2-B旧类准确率在K=5和K=10时分别为81.267%和86.111%，高于同表中的三个论文适配头；K=1时MRIOR-SDA为69.88%，高于qKNN的68.144%。这里比较的是完成旧类support域适应后的S2B-old，而不是Phase1模型直接推理结果。此时尚未加入新类，qKNN的旧/新任务均衡协方差也尚未启用；数值反映qKNN的旧类support稳健状态构造，不能归因于Stage2-C均衡模块。</w:t>
      </w:r>
    </w:p>
    <w:p w14:paraId="6E624E4E">
      <w:pPr>
        <w:pStyle w:val="5"/>
        <w:keepNext/>
      </w:pPr>
      <w:r>
        <w:rPr>
          <w:rFonts w:ascii="Times New Roman" w:hAnsi="Times New Roman" w:cs="Times New Roman" w:eastAsia="宋体"/>
        </w:rPr>
        <w:t>3.6.6结果边界</w:t>
      </w:r>
    </w:p>
    <w:p w14:paraId="591314C4"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qKNN补充表只报告完成旧类域适配后的Stage2-B状态，不应被解释为新类注册结果。</w:t>
      </w:r>
    </w:p>
    <w:p w14:paraId="25988F7C">
      <w:pPr>
        <w:pStyle w:val="3"/>
        <w:keepNext/>
        <w:pageBreakBefore w:val="0"/>
      </w:pPr>
      <w:bookmarkStart w:id="6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7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 w14:paraId="0572DD72">
      <w:r>
        <w:rPr>
          <w:rFonts w:ascii="Times New Roman" w:hAnsi="Times New Roman" w:eastAsia="宋体" w:cs="Times New Roman"/>
          <w:sz w:val="22"/>
        </w:rPr>
        <w:t>Stage2-C在同一target receiver中注册新类，并要求旧类与新类在同一输出空间统一竞争，因此它是跨域FSCIL。本轮每个cell只执行一次新类集合注册，编码器接口替换为ADV3B02的160维，其余训练器、损失和更新范围按官方实现保留。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CSIL是Channel Separation Enabled Incremental Learning，即通道隔离型增量学习；MoPC-HR是Momentum-based Prototype Correction and Hierarchical Regularization，即基于动量的原型校正与分层正则；HR表示Hierarchical Regularization；IoT是Internet of Things，即物联网。exemplar是保存供后续回放的历史原始样本；无exemplar表示不保存旧类原始IQ，但仍可保留旧模型、Fisher信息或类别prototype等聚合历史状态</w:t>
      </w:r>
      <w:r>
        <w:rPr>
          <w:rFonts w:ascii="Times New Roman" w:hAnsi="Times New Roman" w:cs="Times New Roman" w:eastAsia="宋体"/>
        </w:rPr>
        <w:t>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788"/>
        <w:gridCol w:w="428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DBF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D1A9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7"/>
    <w:p w14:paraId="2965CDD7">
      <w:pPr>
        <w:pStyle w:val="4"/>
        <w:keepNext/>
      </w:pPr>
      <w:bookmarkStart w:id="8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Liu等人提出的CSIL属于无exemplar、结构扩展型类增量方法[4]。其特点是冻结ADV3B02 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进入Phase2前，5879条source样本训练fc_bf_fp→zero-bias Fingerprints基座，2521条互斥source样本估计Fisher。Phase2只用target-new support训练；ADV3B02冻结，fc只更新新增行和bias，fingerprint只允许old-old与new-new块更新，两个交叉块保持为0。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π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是当前新类support训练batch，</w:t>
      </w:r>
      <m:oMath xmlns:a="http://schemas.openxmlformats.org/drawingml/2006/main" xmlns:pic="http://schemas.openxmlformats.org/drawingml/2006/picture"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是当前模型对全部已注册类别的概率。</w:t>
      </w:r>
      <m:oMath xmlns:a="http://schemas.openxmlformats.org/drawingml/2006/main" xmlns:pic="http://schemas.openxmlformats.org/drawingml/2006/picture"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 w:cs="Times New Roman"/>
          <w:b w:val="0"/>
        </w:rPr>
        <w:t>是增量前冻结参数，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个参数，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是该参数对旧任务的重要性。EWC是Elastic Weight Consolidation（弹性权重固化），通过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E</m:t>
            </m:r>
            <m:r>
              <m:t>W</m:t>
            </m:r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限制重要参数漂移；KD是Knowledge Distillation（知识蒸馏），</w:t>
      </w:r>
      <m:oMath xmlns:a="http://schemas.openxmlformats.org/drawingml/2006/main" xmlns:pic="http://schemas.openxmlformats.org/drawingml/2006/picture">
        <m:sSubSup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分别是旧模型与当前模型对旧类的fingerprint响应，系数</w:t>
      </w:r>
      <m:oMath xmlns:a="http://schemas.openxmlformats.org/drawingml/2006/main" xmlns:pic="http://schemas.openxmlformats.org/drawingml/2006/picture">
        <m:r>
          <m:t>1</m:t>
        </m:r>
        <m:r>
          <m:rPr>
            <m:sty m:val="p"/>
          </m:rPr>
          <m:t>/</m:t>
        </m:r>
        <m:r>
          <m:t>32</m:t>
        </m:r>
      </m:oMath>
      <w:r>
        <w:rPr>
          <w:rFonts w:ascii="Times New Roman" w:hAnsi="Times New Roman" w:eastAsia="宋体" w:cs="Times New Roman"/>
          <w:b w:val="0"/>
        </w:rPr>
        <w:t>按32维响应取均值。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S</m:t>
            </m:r>
            <m:r>
              <m:t>I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是新类CE、EWC和KD的加权和；SGDM是带动量的SGD；epoch是完整遍历训练集一次，batch size是一次参数更新读取的样本数</w:t>
      </w:r>
      <w:r>
        <w:rPr>
          <w:rFonts w:ascii="Times New Roman" w:hAnsi="Times New Roman" w:cs="Times New Roman" w:eastAsia="宋体"/>
        </w:rPr>
        <w:t>）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20、drop_last=True，手工SGDM学习率为（其中u表示optimizer step）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0.01u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8"/>
    <w:p w14:paraId="20EDCCBB">
      <w:pPr>
        <w:pStyle w:val="4"/>
        <w:keepNext/>
      </w:pPr>
      <w:bookmarkStart w:id="9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Li等人提出的MoPC-HR属于无exemplar、prototype校正型类增量方法[5]。其特点是允许完整ADV3B02随新类support更新，同时用旧prototype伪特征和分层参数正则限制遗忘。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ξ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。ADV3B02 backbone和Linear classifier均更新。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μ</m:t>
            </m:r>
          </m:e>
          <m:sub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sub>
        </m:sSub>
      </m:oMath>
      <w:r>
        <w:rPr>
          <w:rFonts w:ascii="Times New Roman" w:hAnsi="Times New Roman" w:eastAsia="宋体" w:cs="Times New Roman"/>
          <w:b w:val="0"/>
        </w:rPr>
        <w:t>是被采样旧类</w:t>
      </w:r>
      <m:oMath xmlns:a="http://schemas.openxmlformats.org/drawingml/2006/main" xmlns:pic="http://schemas.openxmlformats.org/drawingml/2006/picture"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的prototype，</w:t>
      </w:r>
      <m:oMath xmlns:a="http://schemas.openxmlformats.org/drawingml/2006/main" xmlns:pic="http://schemas.openxmlformats.org/drawingml/2006/picture">
        <m:sSub>
          <m:e>
            <m:r>
              <m:t>ξ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是零均值各向同性高斯扰动向量，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为单位矩阵，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是增强后的伪旧类特征。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是每次采样的旧prototype数，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是当前分类器，</w:t>
      </w:r>
      <m:oMath xmlns:a="http://schemas.openxmlformats.org/drawingml/2006/main" xmlns:pic="http://schemas.openxmlformats.org/drawingml/2006/picture">
        <m:r>
          <m:t>Tₜₑₘₚ</m:t>
        </m:r>
      </m:oMath>
      <w:r>
        <w:rPr>
          <w:rFonts w:ascii="Times New Roman" w:hAnsi="Times New Roman" w:eastAsia="宋体" w:cs="Times New Roman"/>
          <w:b w:val="0"/>
        </w:rPr>
        <w:t>是softmax温度；softmax把logit转换为类别概率。</w:t>
      </w:r>
      <m:oMath xmlns:a="http://schemas.openxmlformats.org/drawingml/2006/main" xmlns:pic="http://schemas.openxmlformats.org/drawingml/2006/picture">
        <m:r>
          <m:rPr>
            <m:sty m:val="p"/>
          </m:rPr>
          <m:t>j</m:t>
        </m:r>
      </m:oMath>
      <w:r>
        <w:rPr>
          <w:rFonts w:ascii="Times New Roman" w:hAnsi="Times New Roman" w:eastAsia="宋体" w:cs="Times New Roman"/>
          <w:b w:val="0"/>
        </w:rPr>
        <w:t>是参数组索引，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是参数组总数，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rPr>
                <m:sty m:val="p"/>
              </m:rP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是逐层正则权重，</w:t>
      </w:r>
      <m:oMath xmlns:a="http://schemas.openxmlformats.org/drawingml/2006/main" xmlns:pic="http://schemas.openxmlformats.org/drawingml/2006/picture">
        <m:sSubSup>
          <m:e>
            <m:r>
              <m:t>θ</m:t>
            </m:r>
          </m:e>
          <m:sub>
            <m:r>
              <m:rPr>
                <m:sty m:val="p"/>
              </m:rP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rPr>
                <m:sty m:val="p"/>
              </m:rP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分别是旧/当前参数组。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是旧类与新类prototype矩阵，</w:t>
      </w:r>
      <m:oMath xmlns:a="http://schemas.openxmlformats.org/drawingml/2006/main" xmlns:pic="http://schemas.openxmlformats.org/drawingml/2006/picture">
        <m:sSubSup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是更新前的新类prototype；0.97/0.03是保留旧prototype与吸收校正量的固定动量系数</w:t>
      </w:r>
      <w:r>
        <w:rPr>
          <w:rFonts w:ascii="Times New Roman" w:hAnsi="Times New Roman" w:cs="Times New Roman" w:eastAsia="宋体"/>
        </w:rPr>
        <w:t>）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ξ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Tₜₑₘₚ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Tₜₑₘₚ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j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j−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J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j=</m:t>
              </m:r>
              <m:r>
                <m:rPr/>
                <m:t>1</m:t>
              </m:r>
            </m:sub>
            <m:sup>
              <m:r>
                <m:rPr/>
                <m:t>J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j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j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9"/>
    <w:p w14:paraId="48787FDB">
      <w:pPr>
        <w:pStyle w:val="4"/>
        <w:keepNext/>
      </w:pPr>
      <w:bookmarkStart w:id="10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ADV3B02增量更新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10"/>
    </w:tbl>
    <w:p w14:paraId="2FA595CC">
      <w:pPr>
        <w:pStyle w:val="4"/>
        <w:keepNext/>
      </w:pPr>
      <w:r>
        <w:rPr>
          <w:rFonts w:ascii="Times New Roman" w:hAnsi="Times New Roman" w:eastAsia="宋体" w:cs="Times New Roman"/>
        </w:rPr>
        <w:t>4.5正式LEO弱信道逐配置结果</w:t>
      </w:r>
    </w:p>
    <w:p w14:paraId="54C54BCE">
      <w:pPr>
        <w:pStyle w:val="5"/>
        <w:keepNext/>
      </w:pPr>
      <w:r>
        <w:rPr>
          <w:rFonts w:ascii="Times New Roman" w:hAnsi="Times New Roman" w:eastAsia="宋体" w:cs="Times New Roman"/>
        </w:rPr>
        <w:t>4.5.1按K-shot与新类规模拆分的正式结果</w:t>
      </w:r>
    </w:p>
    <w:p w14:paraId="785E7855">
      <w:pPr>
        <w:pStyle w:val="19"/>
        <w:keepNext w:val="0"/>
      </w:pPr>
      <w:r>
        <w:rPr>
          <w:rFonts w:ascii="Times New Roman" w:hAnsi="Times New Roman" w:eastAsia="宋体" w:cs="Times New Roman"/>
        </w:rPr>
        <w:t>以下配置表直接采用《学习进展情况+7.24》中的正式LEO结果，按K-shot与新类数拆分，并在每个配置内按方法展开。旧类与新类query只用于冻结后评价；表内数值保持周报原口径，不再汇总为跨条件总均值，也不跨行拼接“最佳指标”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31707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E376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3178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75F4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CDF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C3DB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CD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EB9B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9BDF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A3D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81D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5993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3611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17FF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9AE5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BD5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71D8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C09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76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CCF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209A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9B0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77.44%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C63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25.65%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8C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37.97%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7B1B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10.02%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A12E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CF8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63.80%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9B07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18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32.30%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015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23.67%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8B5A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42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0.78%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E69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5.17%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09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0.54%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E9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82.92%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12D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C57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58.73%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5AA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14.82%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629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23.43%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DE6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28.73%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E1DBB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3536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1047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8FF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2486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3DAA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FF4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5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1186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F516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B2DCC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2FD8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B62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A67D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AE36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FC8D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A5A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4A90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50.40%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364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56.78%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FBE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20.69%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7DD4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250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47.38%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7B7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50.52%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2BC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48.05%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7A52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40.09%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569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7FB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44.69%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193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33.15%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2D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37.57%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11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42.78%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6C85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562C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8.33%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61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5.49%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15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3.17%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20D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75.37%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B800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C3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44.99%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95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73A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29.32%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167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42.48%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61F3C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E17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910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D247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C70C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A16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798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60.76%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DC5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96.53%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728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72.69%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092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26.71%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9EE95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D97A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3ED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B5A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0.14%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30A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83.62%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4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876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48.96%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9341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71.47%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EB7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57.23%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1C65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38.51%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EB59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038E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33.28%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AD7C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61.31%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0E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41.09%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A31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54.19%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A16F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FD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DEB5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41.36%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47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35.48%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163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53.40%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DE5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9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59.84%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8CB8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5.64%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8DD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9.96%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5F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23.86%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7B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AF71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36.66%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37C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27.86%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CB8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30.23%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25B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50.81%</w:t>
            </w:r>
          </w:p>
        </w:tc>
      </w:tr>
    </w:tbl>
    <w:p w14:paraId="6AD37733">
      <w:pPr>
        <w:pStyle w:val="5"/>
        <w:keepNext/>
      </w:pPr>
      <w:r>
        <w:rPr>
          <w:rFonts w:ascii="Times New Roman" w:hAnsi="Times New Roman" w:eastAsia="宋体" w:cs="Times New Roman"/>
        </w:rPr>
        <w:t>4.5.2主要现象</w:t>
      </w:r>
    </w:p>
    <w:p w14:paraId="2F2FB097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低K、少新类时存在零注册。</w:t>
      </w:r>
      <w:r>
        <w:rPr>
          <w:rFonts w:ascii="Times New Roman" w:hAnsi="Times New Roman" w:eastAsia="宋体" w:cs="Times New Roman"/>
          <w:b w:val="0"/>
        </w:rPr>
        <w:t>CSIL在K=5/10且新类数为1或3时seen_new_acc为0；MoPC-HR在K=5或10、新类数为1时也为0。</w:t>
      </w:r>
    </w:p>
    <w:p w14:paraId="6EAE2E34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MoPC-HR的可塑性更强，但会牺牲旧类。</w:t>
      </w:r>
      <w:r>
        <w:rPr>
          <w:rFonts w:ascii="Times New Roman" w:hAnsi="Times New Roman" w:eastAsia="宋体" w:cs="Times New Roman"/>
          <w:b w:val="0"/>
        </w:rPr>
        <w:t>K=20、新类数1时seen_new_acc为96.53%，H_old_new为72.69%；与此同时，old_acc_after降至60.76%，forgetting为26.71个百分点。</w:t>
      </w:r>
    </w:p>
    <w:p w14:paraId="708924D1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新类规模扩大后联合性能下降。</w:t>
      </w:r>
      <w:r>
        <w:rPr>
          <w:rFonts w:ascii="Times New Roman" w:hAnsi="Times New Roman" w:eastAsia="宋体" w:cs="Times New Roman"/>
          <w:b w:val="0"/>
        </w:rPr>
        <w:t>MoPC-HR在K=20时，新类数从1增加到25，seen_new_acc从96.53%降至27.86%，old_acc_after也从60.76%降至36.66%。</w:t>
      </w:r>
    </w:p>
    <w:p w14:paraId="0F426BDF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CSIL呈现明显的稳定性—可塑性极端。</w:t>
      </w:r>
      <w:r>
        <w:rPr>
          <w:rFonts w:ascii="Times New Roman" w:hAnsi="Times New Roman" w:eastAsia="宋体" w:cs="Times New Roman"/>
          <w:b w:val="0"/>
        </w:rPr>
        <w:t>小规模时旧类几乎完全保留但新类不注册；部分较大规模或高K切片中，新类开始被学习，却伴随旧类显著下降。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4.5.3qKNN与类增量方法的共同LEO切片对照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qKNN完成125/125个任务和375/375个LEO场景，失败数为0。以下五张配置表在K1/new20、K5/new20、K10/new5、K10/new10和K10/new20五个共同切片上，对照qKNN与CSIL、MoPC-HR官方流程的三场景平均结果。CSIL和MoPC-HR使用seed 713101–713105，qKNN使用713102–713106；三者的base训练、状态构造和训练权限也不同，因此该表是同LEO场景的描述性对照，不是严格paired显著性比较。</w:t>
      </w:r>
      <w:r>
        <w:rPr>
          <w:rFonts w:ascii="Times New Roman" w:hAnsi="Times New Roman" w:eastAsia="宋体" w:cs="Times New Roman"/>
        </w:rPr>
        <w:t xml:space="preserve"> 状态路径明确为：qKNN采用DA1_REG0→DA1_REG1；CSIL与MoPC-HR官方流程采用DA0_REG0→DA0_REG1。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68.144%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44.033%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27.150%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33.410%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24.111pp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40.722%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1.363%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2.603%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4.600pp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81.267%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63.711%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58.883%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60.955%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17.556pp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0.200%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5.557%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0.316%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42.633pp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17.433%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14.309%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31.811pp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76.189%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74.133%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74.803%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9.922pp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0.689%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20.413%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1.264%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42.144pp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9.322%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49.547%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14.947%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36.000pp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72.533%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66.353%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69.106%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13.578pp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10.460%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9.500%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32.900%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13.770%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35.822pp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71.333%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68.150%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69.555%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14.778pp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38.222%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1.660%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2.979%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4.611pp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7.611%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25.187%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10.695%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37.711pp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在五个共同切片上的旧新调和均值均高于两种论文流程，但不能把差距全部归因于qKNN算法：qKNN的Stage2-B旧类状态明显更强，方法生命周期和允许使用的历史状态也不同。qKNN在K10/new20得到注册后旧类71.333%、新类68.150%、调和均值69.555%，遗忘14.778个百分点；相对其matched D81控制，它改善旧类和遗忘，但新类下降且全部绝对性能门仍失败。正式结论保持COMPLETED_DIAGNOSTIC_NEGATIVE_NOT_PROMOTABLE，不能表述为qKNN已完成晋级。</w:t>
      </w:r>
    </w:p>
    <w:p w14:paraId="7042E6F0">
      <w:pPr>
        <w:pStyle w:val="4"/>
        <w:keepNext/>
      </w:pPr>
      <w:r>
        <w:rPr>
          <w:rFonts w:ascii="Times New Roman" w:hAnsi="Times New Roman" w:eastAsia="宋体" w:cs="Times New Roman"/>
        </w:rPr>
        <w:t>4.6matched无LEO新类归因诊断</w:t>
      </w:r>
    </w:p>
    <w:p w14:paraId="7254FD14">
      <w:pPr>
        <w:pStyle w:val="5"/>
        <w:keepNext/>
      </w:pPr>
      <w:r>
        <w:rPr>
          <w:rFonts w:ascii="Times New Roman" w:hAnsi="Times New Roman" w:eastAsia="宋体" w:cs="Times New Roman"/>
        </w:rPr>
        <w:t>4.6.1按K-shot与新类规模拆分的诊断结果</w:t>
      </w:r>
    </w:p>
    <w:p w14:paraId="308E9191">
      <w:pPr>
        <w:pStyle w:val="19"/>
        <w:keepNext w:val="0"/>
      </w:pPr>
      <w:r>
        <w:rPr>
          <w:rFonts w:ascii="Times New Roman" w:hAnsi="Times New Roman" w:eastAsia="宋体" w:cs="Times New Roman"/>
        </w:rPr>
        <w:t>该诊断保持方法、物理样本ID、support/query划分、K-shot和旧类评测条件一致，只把新类support/query替换为未叠加LEO的同一物理记录。结果永久标记为DIAGNOSTIC_NEW_CLASS_NO_LEO_NON_FORMAL。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211CD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F75A6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B2DF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CA9E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E0B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899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1A7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1C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-0.02pp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D2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88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F55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6B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54.33%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750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+28.68pp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A846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-33.44pp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BABB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+6.75pp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5E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61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63.29%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030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+41.21pp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F6B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-38.09pp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02A9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+3.56pp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C973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0B9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8.05%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E3A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+2.88pp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0D5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-0.78pp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C2CE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3F1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F39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51.02%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C2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+36.20pp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D1D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-40.32pp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0C6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+3.23pp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E61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0D59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4F6E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D182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7088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DD8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E25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63.04%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55F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+12.64pp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48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-12.68pp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C9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3439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021C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90.91%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5E3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+40.39pp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84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-19.80pp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C70F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-6.12pp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09AB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A97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75.63%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EF7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+42.48pp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9E0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-29.12pp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E0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-12.28pp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5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98A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4.98%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EE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-0.50pp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16A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+48.69pp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2A9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+3.10pp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B8BF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79A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64.38%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E4F9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+42.07pp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A2A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-35.71pp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A465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-13.64pp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E8B8A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7FD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45.09%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4DC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+11.04pp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43D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5C8E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-0.14pp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D46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BD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95.64%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C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+24.18pp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4065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+5.46pp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007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+10.85pp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8725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69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94.85%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4F8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+33.55pp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AEC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-10.28pp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E0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-4.69pp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6EE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6BF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81.81%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F2D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+40.45pp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80C8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-20.38pp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16C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-12.51pp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7DD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723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5.03%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1B7E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-0.61pp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C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846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FA0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4A2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70.26%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D66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0135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-29.78pp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B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-18.16pp</w:t>
            </w:r>
          </w:p>
        </w:tc>
      </w:tr>
    </w:tbl>
    <w:p w14:paraId="34988A19">
      <w:pPr>
        <w:pStyle w:val="19"/>
        <w:keepNext w:val="0"/>
      </w:pPr>
      <w:r>
        <w:rPr>
          <w:rFonts w:ascii="Times New Roman" w:hAnsi="Times New Roman" w:eastAsia="宋体" w:cs="Times New Roman"/>
        </w:rPr>
        <w:t>Δ表示无LEO诊断相对正式LEO结果的变化。</w:t>
      </w:r>
    </w:p>
    <w:p w14:paraId="10058240">
      <w:pPr>
        <w:pStyle w:val="5"/>
        <w:keepNext/>
      </w:pPr>
      <w:r>
        <w:rPr>
          <w:rFonts w:ascii="Times New Roman" w:hAnsi="Times New Roman" w:eastAsia="宋体" w:cs="Times New Roman"/>
        </w:rPr>
        <w:t>4.6.2诊断解读</w:t>
      </w:r>
    </w:p>
    <w:p w14:paraId="144AAB78">
      <w:pPr>
        <w:pStyle w:val="19"/>
        <w:keepNext w:val="0"/>
      </w:pPr>
      <w:r>
        <w:rPr>
          <w:rFonts w:ascii="Times New Roman" w:hAnsi="Times New Roman" w:eastAsia="宋体" w:cs="Times New Roman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 w14:paraId="159F0B70">
      <w:pPr>
        <w:pStyle w:val="19"/>
        <w:keepNext w:val="0"/>
      </w:pPr>
      <w:r>
        <w:rPr>
          <w:rFonts w:ascii="Times New Roman" w:hAnsi="Times New Roman" w:eastAsia="宋体" w:cs="Times New Roman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11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是当前增量阶段的新类数，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是每个新类的support数，因此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t>K</m:t>
        </m:r>
      </m:oMath>
      <w:r>
        <w:rPr>
          <w:rFonts w:ascii="Times New Roman" w:hAnsi="Times New Roman" w:eastAsia="宋体" w:cs="Times New Roman"/>
          <w:b w:val="0"/>
        </w:rPr>
        <w:t>是真实增量训练样本总数；</w:t>
      </w:r>
      <m:oMath xmlns:a="http://schemas.openxmlformats.org/drawingml/2006/main" xmlns:pic="http://schemas.openxmlformats.org/drawingml/2006/picture">
        <m:r>
          <m:t>B</m:t>
        </m:r>
      </m:oMath>
      <w:r>
        <w:rPr>
          <w:rFonts w:ascii="Times New Roman" w:hAnsi="Times New Roman" w:eastAsia="宋体" w:cs="Times New Roman"/>
          <w:b w:val="0"/>
        </w:rPr>
        <w:t>是batch size。</w:t>
      </w:r>
      <m:oMath xmlns:a="http://schemas.openxmlformats.org/drawingml/2006/main" xmlns:pic="http://schemas.openxmlformats.org/drawingml/2006/picture">
        <m:r>
          <m:rPr>
            <m:sty m:val="p"/>
          </m:rPr>
          <m:t>floor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n</m:t>
                </m:r>
                <m:r>
                  <m:t>e</m:t>
                </m:r>
                <m:r>
                  <m:t>w</m:t>
                </m:r>
              </m:sub>
            </m:sSub>
            <m:r>
              <m:t>K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表示向下取整后的完整batch数量。当其为0且DataLoader设置drop_last=True时，不足一个batch的样本被丢弃，optimizer step为0，模型没有发生任何梯度更新</w:t>
      </w:r>
      <w:r>
        <w:rPr>
          <w:rFonts w:ascii="Times New Roman" w:hAnsi="Times New Roman" w:cs="Times New Roman" w:eastAsia="宋体"/>
        </w:rPr>
        <w:t>）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eastAsia="宋体" w:cs="Times New Roman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eastAsia="宋体" w:cs="Times New Roman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6"/>
    <w:bookmarkEnd w:id="11"/>
    <w:p w14:paraId="2B02D57B">
      <w:pPr>
        <w:pStyle w:val="3"/>
        <w:keepNext/>
        <w:pageBreakBefore w:val="0"/>
      </w:pPr>
      <w:r>
        <w:rPr>
          <w:rFonts w:ascii="Times New Roman" w:hAnsi="Times New Roman" w:eastAsia="宋体" w:cs="Times New Roman"/>
        </w:rPr>
        <w:t>5.参考文献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https://papers.nips.cc/paper/6996-prototypical-networks-for-few-shot-learning</w: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IEEE是Institute of Electrical and Electronics Engineers，即电气电子工程师学会；DOI是Digital Object Identifier，即数字对象唯一标识符；参考文献类型标识[J]表示期刊论文，[C]表示会议论文</w:t>
      </w:r>
      <w:r>
        <w:rPr>
          <w:rFonts w:ascii="Times New Roman" w:hAnsi="Times New Roman" w:cs="Times New Roman" w:eastAsia="宋体"/>
        </w:rPr>
        <w:t>）</w:t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7924</Words>
  <Characters>14749</Characters>
  <Lines>0</Lines>
  <Paragraphs>0</Paragraphs>
  <TotalTime>5</TotalTime>
  <ScaleCrop>false</ScaleCrop>
  <LinksUpToDate>false</LinksUpToDate>
  <CharactersWithSpaces>15011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符号统一；实验数值、17张表、153行记录和5条对比方法参考文献保持不变。</dc:description>
  <cp:lastModifiedBy>李辉</cp:lastModifiedBy>
  <dcterms:modified xsi:type="dcterms:W3CDTF">2026-07-31T01:26:00Z</dcterms:modified>
  <dc:subject>统一集合、域、状态、概率、prototype和损失记号</dc:subject>
  <dc:title>CVS-RFFI Phase2详细复现报告（符号统一版）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