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3EEA31">
      <w:pPr>
        <w:pStyle w:val="3"/>
        <w:keepNext/>
        <w:pageBreakBefore w:val="0"/>
      </w:pPr>
      <w:r>
        <w:rPr>
          <w:rFonts w:ascii="Times New Roman" w:hAnsi="Times New Roman" w:eastAsia="宋体" w:cs="Times New Roman"/>
          <w:color w:val="1F4E79"/>
        </w:rPr>
        <w:t>1.核心概念与Phase2阶段定位</w:t>
      </w:r>
    </w:p>
    <w:p w14:paraId="67C76557">
      <w:pPr>
        <w:pStyle w:val="4"/>
        <w:keepNext/>
      </w:pPr>
      <w:r>
        <w:rPr>
          <w:rFonts w:ascii="Times New Roman" w:hAnsi="Times New Roman" w:eastAsia="宋体" w:cs="Times New Roman"/>
        </w:rPr>
        <w:t>1.1RFFI任务的三轴谱系</w:t>
      </w:r>
    </w:p>
    <w:p w14:paraId="3736C261">
      <w:r>
        <w:rPr>
          <w:rFonts w:ascii="Times New Roman" w:hAnsi="Times New Roman" w:eastAsia="宋体" w:cs="Times New Roman"/>
          <w:sz w:val="22"/>
        </w:rPr>
        <w:t>表1从三个相互独立的轴定位RFFI</w:t>
      </w:r>
      <w:r>
        <w:rPr>
          <w:rFonts w:ascii="Times New Roman" w:hAnsi="Times New Roman" w:cs="Times New Roman" w:eastAsia="宋体"/>
        </w:rPr>
        <w:t>（</w:t>
      </w:r>
      <w:r>
        <w:rPr>
          <w:rFonts w:ascii="Times New Roman" w:hAnsi="Times New Roman" w:eastAsia="宋体" w:cs="Times New Roman"/>
          <w:b w:val="0"/>
        </w:rPr>
        <w:t>Radio Frequency Fingerprint Identification，即射频指纹识别；FSL是Few-Shot Learning，即少样本学习；DA是Domain Adaptation，即域适应；CIL是Class-Incremental Learning，即类增量学习；FSCIL是Few-Shot Class-Incremental Learning，即少样本类增量学习；UDA是Unsupervised Domain Adaptation，即无监督域适应。IQ是In-phase/Quadrature，即同相/正交基带采样；LEO是Low Earth Orbit，即低地球轨道；TX是transmitter，即发射机；CVS-RFFI是本项目与模型流程的名称，其中CVS不在本文中充当数学变量</w:t>
      </w:r>
      <w:r>
        <w:rPr>
          <w:rFonts w:ascii="Times New Roman" w:hAnsi="Times New Roman" w:cs="Times New Roman" w:eastAsia="宋体"/>
        </w:rPr>
        <w:t>）</w:t>
      </w:r>
      <w:r>
        <w:rPr>
          <w:rFonts w:ascii="Times New Roman" w:hAnsi="Times New Roman" w:eastAsia="宋体" w:cs="Times New Roman"/>
          <w:sz w:val="22"/>
        </w:rPr>
        <w:t>任务：类别轴描述训练、测试及增量阶段的类别关系；域轴描述接收机、信道或采集条件是否变化；时间轴描述任务是否顺序到达，以及更新后的模型状态是否持续保存。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r>
          <m:rPr>
            <m:sty m:val="p"/>
            <m:scr m:val="script"/>
          </m:rPr>
          <m:t>Y</m:t>
        </m:r>
      </m:oMath>
      <w:r>
        <w:rPr>
          <w:rFonts w:ascii="Times New Roman" w:hAnsi="Times New Roman" w:eastAsia="宋体" w:cs="Times New Roman"/>
          <w:b w:val="0"/>
        </w:rPr>
        <w:t>表示发射机类别集合，物理上每个类别对应一台发射机身份；下标</w:t>
      </w:r>
      <m:oMath xmlns:a="http://schemas.openxmlformats.org/drawingml/2006/main" xmlns:pic="http://schemas.openxmlformats.org/drawingml/2006/picture">
        <m:r>
          <m:t>B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,</m:t>
        </m:r>
        <m:r>
          <m:t>src</m:t>
        </m:r>
        <m:r>
          <m:rPr>
            <m:sty m:val="p"/>
          </m:rPr>
          <m:t>,</m:t>
        </m:r>
        <m:r>
          <m:t>tgt</m:t>
        </m:r>
      </m:oMath>
      <w:r>
        <w:rPr>
          <w:rFonts w:ascii="Times New Roman" w:hAnsi="Times New Roman" w:eastAsia="宋体" w:cs="Times New Roman"/>
          <w:b w:val="0"/>
        </w:rPr>
        <w:t>依次表示base（基类）、novel（新类）、source（源域）和target（目标域）。</w:t>
      </w:r>
      <m:oMath xmlns:a="http://schemas.openxmlformats.org/drawingml/2006/main" xmlns:pic="http://schemas.openxmlformats.org/drawingml/2006/picture">
        <m:r>
          <m:t>d</m:t>
        </m:r>
      </m:oMath>
      <w:r>
        <w:rPr>
          <w:rFonts w:ascii="Times New Roman" w:hAnsi="Times New Roman" w:eastAsia="宋体" w:cs="Times New Roman"/>
          <w:b w:val="0"/>
        </w:rPr>
        <w:t>表示观测域，物理上由接收机链路、采集条件和信道共同决定；因此</w:t>
      </w:r>
      <m:oMath xmlns:a="http://schemas.openxmlformats.org/drawingml/2006/main" xmlns:pic="http://schemas.openxmlformats.org/drawingml/2006/picture">
        <m:sSub>
          <m:e>
            <m:r>
              <m:t>d</m:t>
            </m:r>
          </m:e>
          <m:sub>
            <m:r>
              <m:t>src</m:t>
            </m:r>
          </m:sub>
        </m:sSub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t>tgt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表示源接收机域与目标接收机域不同。</w:t>
      </w:r>
      <m:oMath xmlns:a="http://schemas.openxmlformats.org/drawingml/2006/main" xmlns:pic="http://schemas.openxmlformats.org/drawingml/2006/picture">
        <m:r>
          <m:t>t</m:t>
        </m:r>
      </m:oMath>
      <w:r>
        <w:rPr>
          <w:rFonts w:ascii="Times New Roman" w:hAnsi="Times New Roman" w:eastAsia="宋体" w:cs="Times New Roman"/>
          <w:b w:val="0"/>
        </w:rPr>
        <w:t>表示增量session序号，</w:t>
      </w:r>
      <m:oMath xmlns:a="http://schemas.openxmlformats.org/drawingml/2006/main" xmlns:pic="http://schemas.openxmlformats.org/drawingml/2006/picture">
        <m:sSup>
          <m:e>
            <m:r>
              <m:rPr>
                <m:sty m:val="p"/>
                <m:scr m:val="script"/>
              </m:rPr>
              <m:t>Y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≤</m:t>
                </m:r>
                <m:r>
                  <m:t>t</m:t>
                </m:r>
              </m:e>
            </m:d>
          </m:sup>
        </m:sSup>
      </m:oMath>
      <w:r>
        <w:rPr>
          <w:rFonts w:ascii="Times New Roman" w:hAnsi="Times New Roman" w:eastAsia="宋体" w:cs="Times New Roman"/>
          <w:b w:val="0"/>
        </w:rPr>
        <w:t xml:space="preserve">表示截至session </w:t>
      </w:r>
      <m:oMath xmlns:a="http://schemas.openxmlformats.org/drawingml/2006/main" xmlns:pic="http://schemas.openxmlformats.org/drawingml/2006/picture">
        <m:r>
          <m:t>t</m:t>
        </m:r>
      </m:oMath>
      <w:r>
        <w:rPr>
          <w:rFonts w:ascii="Times New Roman" w:hAnsi="Times New Roman" w:eastAsia="宋体" w:cs="Times New Roman"/>
          <w:b w:val="0"/>
        </w:rPr>
        <w:t>已注册的全部类别，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script"/>
              </m:rPr>
              <m:t>Y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w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表示尚未注册的发射机。</w:t>
      </w:r>
      <m:oMath xmlns:a="http://schemas.openxmlformats.org/drawingml/2006/main" xmlns:pic="http://schemas.openxmlformats.org/drawingml/2006/picture">
        <m:r>
          <m:t>K</m:t>
        </m:r>
      </m:oMath>
      <w:r>
        <w:rPr>
          <w:rFonts w:ascii="Times New Roman" w:hAnsi="Times New Roman" w:eastAsia="宋体" w:cs="Times New Roman"/>
          <w:b w:val="0"/>
        </w:rPr>
        <w:t>是每类互不重复的物理support观测数；</w:t>
      </w:r>
      <m:oMath xmlns:a="http://schemas.openxmlformats.org/drawingml/2006/main" xmlns:pic="http://schemas.openxmlformats.org/drawingml/2006/picture">
        <m:r>
          <m:rPr>
            <m:sty m:val="p"/>
          </m:rPr>
          <m:t>∩</m:t>
        </m:r>
      </m:oMath>
      <w:r>
        <w:rPr>
          <w:rFonts w:ascii="Times New Roman" w:hAnsi="Times New Roman" w:eastAsia="宋体" w:cs="Times New Roman"/>
          <w:b w:val="0"/>
        </w:rPr>
        <w:t>、</w:t>
      </w:r>
      <m:oMath xmlns:a="http://schemas.openxmlformats.org/drawingml/2006/main" xmlns:pic="http://schemas.openxmlformats.org/drawingml/2006/picture">
        <m:r>
          <m:rPr>
            <m:sty m:val="p"/>
          </m:rPr>
          <m:t>∪</m:t>
        </m:r>
      </m:oMath>
      <w:r>
        <w:rPr>
          <w:rFonts w:ascii="Times New Roman" w:hAnsi="Times New Roman" w:eastAsia="宋体" w:cs="Times New Roman"/>
          <w:b w:val="0"/>
        </w:rPr>
        <w:t>、</w:t>
      </w:r>
      <m:oMath xmlns:a="http://schemas.openxmlformats.org/drawingml/2006/main" xmlns:pic="http://schemas.openxmlformats.org/drawingml/2006/picture">
        <m:r>
          <m:rPr>
            <m:sty m:val="p"/>
          </m:rPr>
          <m:t>⌀</m:t>
        </m:r>
      </m:oMath>
      <w:r>
        <w:rPr>
          <w:rFonts w:ascii="Times New Roman" w:hAnsi="Times New Roman" w:eastAsia="宋体" w:cs="Times New Roman"/>
          <w:b w:val="0"/>
        </w:rPr>
        <w:t>、</w:t>
      </w:r>
      <m:oMath xmlns:a="http://schemas.openxmlformats.org/drawingml/2006/main" xmlns:pic="http://schemas.openxmlformats.org/drawingml/2006/picture">
        <m:r>
          <m:rPr>
            <m:sty m:val="p"/>
          </m:rPr>
          <m:t>⊂</m:t>
        </m:r>
      </m:oMath>
      <w:r>
        <w:rPr>
          <w:rFonts w:ascii="Times New Roman" w:hAnsi="Times New Roman" w:eastAsia="宋体" w:cs="Times New Roman"/>
          <w:b w:val="0"/>
        </w:rPr>
        <w:t>分别表示交集、并集、空集和真子集</w:t>
      </w:r>
      <w:r>
        <w:rPr>
          <w:rFonts w:ascii="Times New Roman" w:hAnsi="Times New Roman" w:cs="Times New Roman" w:eastAsia="宋体"/>
        </w:rPr>
        <w:t>）</w:t>
      </w:r>
    </w:p>
    <w:p w14:paraId="2A41BFCD">
      <w:pPr>
        <w:pStyle w:val="19"/>
        <w:keepNext/>
        <w:jc w:val="center"/>
      </w:pPr>
      <w:r>
        <w:rPr>
          <w:rFonts w:ascii="Times New Roman" w:hAnsi="Times New Roman" w:eastAsia="宋体" w:cs="Times New Roman"/>
          <w:b/>
          <w:bCs/>
          <w:sz w:val="22"/>
        </w:rPr>
        <w:t>表1 RFFI任务在类别轴、域轴和时间轴上的定位</w:t>
      </w:r>
    </w:p>
    <w:tbl>
      <w:tblPr>
        <w:tblStyle w:val="32"/>
        <w:tblW w:w="9360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1"/>
        <w:gridCol w:w="1497"/>
        <w:gridCol w:w="1029"/>
        <w:gridCol w:w="1497"/>
        <w:gridCol w:w="1684"/>
        <w:gridCol w:w="2062"/>
      </w:tblGrid>
      <w:tr w14:paraId="44D41A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591" w:type="dxa"/>
            <w:shd w:val="clear" w:color="auto" w:fill="1F4E7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B7BFC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6"/>
              </w:rPr>
              <w:t>任务类型</w:t>
            </w:r>
          </w:p>
        </w:tc>
        <w:tc>
          <w:tcPr>
            <w:tcW w:w="1497" w:type="dxa"/>
            <w:shd w:val="clear" w:color="auto" w:fill="1F4E7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1B404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6"/>
              </w:rPr>
              <w:t>类别轴</w:t>
            </w:r>
          </w:p>
        </w:tc>
        <w:tc>
          <w:tcPr>
            <w:tcW w:w="1029" w:type="dxa"/>
            <w:shd w:val="clear" w:color="auto" w:fill="1F4E7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14304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6"/>
              </w:rPr>
              <w:t>域轴</w:t>
            </w:r>
          </w:p>
        </w:tc>
        <w:tc>
          <w:tcPr>
            <w:tcW w:w="1497" w:type="dxa"/>
            <w:shd w:val="clear" w:color="auto" w:fill="1F4E7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88FA5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6"/>
              </w:rPr>
              <w:t>时间轴</w:t>
            </w:r>
          </w:p>
        </w:tc>
        <w:tc>
          <w:tcPr>
            <w:tcW w:w="1684" w:type="dxa"/>
            <w:shd w:val="clear" w:color="auto" w:fill="1F4E7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2EDECE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6"/>
              </w:rPr>
              <w:t>监督预算</w:t>
            </w:r>
          </w:p>
        </w:tc>
        <w:tc>
          <w:tcPr>
            <w:tcW w:w="2062" w:type="dxa"/>
            <w:shd w:val="clear" w:color="auto" w:fill="1F4E7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C75D7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FFFFFF"/>
                <w:sz w:val="16"/>
              </w:rPr>
              <w:t>冻结后推理类别空间</w:t>
            </w:r>
          </w:p>
        </w:tc>
      </w:tr>
      <w:tr w14:paraId="7D7F0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91" w:type="dxa"/>
            <w:shd w:val="clear" w:color="auto" w:fill="F7F7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68F58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标准RFFI-FSL</w:t>
            </w:r>
          </w:p>
        </w:tc>
        <w:tc>
          <w:tcPr>
            <w:tcW w:w="1497" w:type="dxa"/>
            <w:shd w:val="clear" w:color="auto" w:fill="F7F7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8AD2CB6">
            <w:pPr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b>
                    <m:r>
                      <m:rPr/>
                      <m:t>B</m:t>
                    </m:r>
                  </m:sub>
                </m:sSub>
                <m:r>
                  <m:rPr>
                    <m:sty m:val="p"/>
                  </m:rPr>
                  <m:t>∩</m:t>
                </m:r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b>
                    <m:r>
                      <m:rPr/>
                      <m:t>N</m:t>
                    </m:r>
                  </m:sub>
                </m:sSub>
                <m:r>
                  <m:rPr>
                    <m:sty m:val="p"/>
                  </m:rPr>
                  <m:t>=⌀</m:t>
                </m:r>
              </m:oMath>
            </m:oMathPara>
          </w:p>
        </w:tc>
        <w:tc>
          <w:tcPr>
            <w:tcW w:w="1029" w:type="dxa"/>
            <w:shd w:val="clear" w:color="auto" w:fill="F7F7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B477521">
            <w:pPr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B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N</m:t>
                    </m:r>
                  </m:sub>
                </m:sSub>
              </m:oMath>
            </m:oMathPara>
          </w:p>
        </w:tc>
        <w:tc>
          <w:tcPr>
            <w:tcW w:w="1497" w:type="dxa"/>
            <w:shd w:val="clear" w:color="auto" w:fill="F7F7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66954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episodic；episode间不累积</w:t>
            </w:r>
          </w:p>
        </w:tc>
        <w:tc>
          <w:tcPr>
            <w:tcW w:w="1684" w:type="dxa"/>
            <w:shd w:val="clear" w:color="auto" w:fill="F7F7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3A74AE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novel类每类</w:t>
            </w:r>
            <m:oMath>
              <m:r>
                <m:rPr/>
                <m:t>K</m:t>
              </m:r>
            </m:oMath>
            <w:r>
              <w:rPr>
                <w:rFonts w:ascii="Times New Roman" w:hAnsi="Times New Roman" w:eastAsia="宋体" w:cs="Times New Roman"/>
                <w:sz w:val="16"/>
              </w:rPr>
              <w:t>个support</w:t>
            </w:r>
          </w:p>
        </w:tc>
        <w:tc>
          <w:tcPr>
            <w:tcW w:w="2062" w:type="dxa"/>
            <w:shd w:val="clear" w:color="auto" w:fill="F7F7F7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CED08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当前episode的novel类</w:t>
            </w:r>
          </w:p>
        </w:tc>
      </w:tr>
      <w:tr w14:paraId="52450B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91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32C96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RFFI域适应</w:t>
            </w:r>
          </w:p>
        </w:tc>
        <w:tc>
          <w:tcPr>
            <w:tcW w:w="1497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6D74DF9">
            <w:pPr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b>
                    <m:r>
                      <m:rPr/>
                      <m:t>src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b>
                    <m:r>
                      <m:rPr/>
                      <m:t>tgt</m:t>
                    </m:r>
                  </m:sub>
                </m:sSub>
              </m:oMath>
            </m:oMathPara>
          </w:p>
        </w:tc>
        <w:tc>
          <w:tcPr>
            <w:tcW w:w="1029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3215788">
            <w:pPr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src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tgt</m:t>
                    </m:r>
                  </m:sub>
                </m:sSub>
              </m:oMath>
            </m:oMathPara>
          </w:p>
        </w:tc>
        <w:tc>
          <w:tcPr>
            <w:tcW w:w="1497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7968A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单次迁移；类别不扩展</w:t>
            </w:r>
          </w:p>
        </w:tc>
        <w:tc>
          <w:tcPr>
            <w:tcW w:w="1684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4B5A3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target标签可为0、少量或充分</w:t>
            </w:r>
          </w:p>
        </w:tc>
        <w:tc>
          <w:tcPr>
            <w:tcW w:w="2062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412A3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与source相同的发射机集合</w:t>
            </w:r>
          </w:p>
        </w:tc>
      </w:tr>
      <w:tr w14:paraId="2E60AA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91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7BE4A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C00000"/>
                <w:sz w:val="16"/>
              </w:rPr>
              <w:t>RFFI少样本域适应</w:t>
            </w:r>
          </w:p>
        </w:tc>
        <w:tc>
          <w:tcPr>
            <w:tcW w:w="1497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45DDA6">
            <w:pPr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b>
                    <m:r>
                      <m:rPr/>
                      <m:t>src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b>
                    <m:r>
                      <m:rPr/>
                      <m:t>tgt</m:t>
                    </m:r>
                  </m:sub>
                </m:sSub>
              </m:oMath>
            </m:oMathPara>
          </w:p>
        </w:tc>
        <w:tc>
          <w:tcPr>
            <w:tcW w:w="1029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B5E17F">
            <w:pPr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src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tgt</m:t>
                    </m:r>
                  </m:sub>
                </m:sSub>
              </m:oMath>
            </m:oMathPara>
          </w:p>
        </w:tc>
        <w:tc>
          <w:tcPr>
            <w:tcW w:w="1497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64C0A9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单次迁移；类别不扩展</w:t>
            </w:r>
          </w:p>
        </w:tc>
        <w:tc>
          <w:tcPr>
            <w:tcW w:w="1684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5EC821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每个已知类</w:t>
            </w:r>
            <m:oMath>
              <m:r>
                <m:rPr/>
                <m:t>K</m:t>
              </m:r>
            </m:oMath>
            <w:r>
              <w:rPr>
                <w:rFonts w:ascii="Times New Roman" w:hAnsi="Times New Roman" w:eastAsia="宋体" w:cs="Times New Roman"/>
                <w:sz w:val="16"/>
              </w:rPr>
              <w:t>个target support</w:t>
            </w:r>
          </w:p>
        </w:tc>
        <w:tc>
          <w:tcPr>
            <w:tcW w:w="2062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4A204D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与source相同的发射机集合</w:t>
            </w:r>
          </w:p>
        </w:tc>
      </w:tr>
      <w:tr w14:paraId="0EEAC82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91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215F2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跨域RFFI-FSL</w:t>
            </w:r>
          </w:p>
        </w:tc>
        <w:tc>
          <w:tcPr>
            <w:tcW w:w="1497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293C1E">
            <w:pPr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b>
                    <m:r>
                      <m:rPr/>
                      <m:t>B</m:t>
                    </m:r>
                  </m:sub>
                </m:sSub>
                <m:r>
                  <m:rPr>
                    <m:sty m:val="p"/>
                  </m:rPr>
                  <m:t>∩</m:t>
                </m:r>
                <m:sSub>
                  <m:sSub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b>
                    <m:r>
                      <m:rPr/>
                      <m:t>N</m:t>
                    </m:r>
                  </m:sub>
                </m:sSub>
                <m:r>
                  <m:rPr>
                    <m:sty m:val="p"/>
                  </m:rPr>
                  <m:t>=⌀</m:t>
                </m:r>
              </m:oMath>
            </m:oMathPara>
          </w:p>
        </w:tc>
        <w:tc>
          <w:tcPr>
            <w:tcW w:w="1029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38B967">
            <w:pPr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B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tgt</m:t>
                    </m:r>
                  </m:sub>
                </m:sSub>
              </m:oMath>
            </m:oMathPara>
          </w:p>
        </w:tc>
        <w:tc>
          <w:tcPr>
            <w:tcW w:w="1497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27D2B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episodic；通常不持久化</w:t>
            </w:r>
          </w:p>
        </w:tc>
        <w:tc>
          <w:tcPr>
            <w:tcW w:w="1684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448B5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target novel类每类</w:t>
            </w:r>
            <m:oMath>
              <m:r>
                <m:rPr/>
                <m:t>K</m:t>
              </m:r>
            </m:oMath>
            <w:r>
              <w:rPr>
                <w:rFonts w:ascii="Times New Roman" w:hAnsi="Times New Roman" w:eastAsia="宋体" w:cs="Times New Roman"/>
                <w:sz w:val="16"/>
              </w:rPr>
              <w:t>个support</w:t>
            </w:r>
          </w:p>
        </w:tc>
        <w:tc>
          <w:tcPr>
            <w:tcW w:w="2062" w:type="dxa"/>
            <w:shd w:val="clear" w:color="auto" w:fill="EAF2F8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14CADC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标准FSL为novel类；</w:t>
            </w:r>
          </w:p>
        </w:tc>
      </w:tr>
      <w:tr w14:paraId="4E5825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91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2DDE8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RFFI-CIL</w:t>
            </w:r>
          </w:p>
        </w:tc>
        <w:tc>
          <w:tcPr>
            <w:tcW w:w="1497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4D738C8">
            <w:pPr>
              <w:spacing w:before="0" w:after="0" w:line="240" w:lineRule="auto"/>
              <w:jc w:val="center"/>
            </w:pPr>
            <m:oMathPara>
              <m:oMath>
                <m:sSup>
                  <m:sSup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p>
                    <m:d>
                      <m:dPr>
                        <m:sepChr m:val=""/>
                      </m:dPr>
                      <m:e>
                        <m:r>
                          <m:rPr>
                            <m:sty m:val="p"/>
                          </m:rPr>
                          <m:t>≤</m:t>
                        </m:r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/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⊂</m:t>
                </m:r>
                <m:sSup>
                  <m:sSup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p>
                    <m:d>
                      <m:dPr>
                        <m:sepChr m:val=""/>
                      </m:dPr>
                      <m:e>
                        <m:r>
                          <m:rPr>
                            <m:sty m:val="p"/>
                          </m:rPr>
                          <m:t>≤</m:t>
                        </m:r>
                        <m:r>
                          <m:rPr/>
                          <m:t>t</m:t>
                        </m:r>
                      </m:e>
                    </m:d>
                  </m:sup>
                </m:sSup>
              </m:oMath>
            </m:oMathPara>
          </w:p>
        </w:tc>
        <w:tc>
          <w:tcPr>
            <w:tcW w:w="1029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A794D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sz w:val="16"/>
              </w:rPr>
              <w:t>通常</w:t>
            </w:r>
            <m:oMath>
              <m:sSub>
                <m:sSubPr/>
                <m:e>
                  <m:r>
                    <m:rPr/>
                    <m:t>d</m:t>
                  </m:r>
                </m:e>
                <m:sub>
                  <m:r>
                    <m:rPr/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d</m:t>
                  </m:r>
                </m:e>
                <m:sub>
                  <m:r>
                    <m:rPr/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rPr/>
                    <m:t>1</m:t>
                  </m:r>
                </m:sub>
              </m:sSub>
            </m:oMath>
          </w:p>
        </w:tc>
        <w:tc>
          <w:tcPr>
            <w:tcW w:w="1497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CF940A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session顺序到达；状态持续保存</w:t>
            </w:r>
          </w:p>
        </w:tc>
        <w:tc>
          <w:tcPr>
            <w:tcW w:w="1684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C0F15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新增类标签数量不限定为少样本</w:t>
            </w:r>
          </w:p>
        </w:tc>
        <w:tc>
          <w:tcPr>
            <w:tcW w:w="2062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33F42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全部累计已注册类</w:t>
            </w:r>
          </w:p>
        </w:tc>
      </w:tr>
      <w:tr w14:paraId="402835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91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BB54E2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RFFI-FSCIL</w:t>
            </w:r>
          </w:p>
        </w:tc>
        <w:tc>
          <w:tcPr>
            <w:tcW w:w="1497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DBABF17">
            <w:pPr>
              <w:spacing w:before="0" w:after="0" w:line="240" w:lineRule="auto"/>
              <w:jc w:val="center"/>
            </w:pPr>
            <m:oMathPara>
              <m:oMath>
                <m:sSup>
                  <m:sSup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p>
                    <m:d>
                      <m:dPr>
                        <m:sepChr m:val=""/>
                      </m:dPr>
                      <m:e>
                        <m:r>
                          <m:rPr>
                            <m:sty m:val="p"/>
                          </m:rPr>
                          <m:t>≤</m:t>
                        </m:r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/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⊂</m:t>
                </m:r>
                <m:sSup>
                  <m:sSup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p>
                    <m:d>
                      <m:dPr>
                        <m:sepChr m:val=""/>
                      </m:dPr>
                      <m:e>
                        <m:r>
                          <m:rPr>
                            <m:sty m:val="p"/>
                          </m:rPr>
                          <m:t>≤</m:t>
                        </m:r>
                        <m:r>
                          <m:rPr/>
                          <m:t>t</m:t>
                        </m:r>
                      </m:e>
                    </m:d>
                  </m:sup>
                </m:sSup>
              </m:oMath>
            </m:oMathPara>
          </w:p>
        </w:tc>
        <w:tc>
          <w:tcPr>
            <w:tcW w:w="1029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E3DF4A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sz w:val="16"/>
              </w:rPr>
              <w:t>通常</w:t>
            </w:r>
            <m:oMath>
              <m:sSub>
                <m:sSubPr/>
                <m:e>
                  <m:r>
                    <m:rPr/>
                    <m:t>d</m:t>
                  </m:r>
                </m:e>
                <m:sub>
                  <m:r>
                    <m:rPr/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d</m:t>
                  </m:r>
                </m:e>
                <m:sub>
                  <m:r>
                    <m:rPr/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rPr/>
                    <m:t>1</m:t>
                  </m:r>
                </m:sub>
              </m:sSub>
            </m:oMath>
          </w:p>
        </w:tc>
        <w:tc>
          <w:tcPr>
            <w:tcW w:w="1497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D95199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session顺序到达；状态持续保存</w:t>
            </w:r>
          </w:p>
        </w:tc>
        <w:tc>
          <w:tcPr>
            <w:tcW w:w="1684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8FD8B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每个增量新类</w:t>
            </w:r>
            <m:oMath>
              <m:r>
                <m:rPr/>
                <m:t>K</m:t>
              </m:r>
            </m:oMath>
            <w:r>
              <w:rPr>
                <w:rFonts w:ascii="Times New Roman" w:hAnsi="Times New Roman" w:eastAsia="宋体" w:cs="Times New Roman"/>
                <w:sz w:val="16"/>
              </w:rPr>
              <w:t>个support</w:t>
            </w:r>
          </w:p>
        </w:tc>
        <w:tc>
          <w:tcPr>
            <w:tcW w:w="2062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EA3BF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全部累计已注册类</w:t>
            </w:r>
          </w:p>
        </w:tc>
      </w:tr>
      <w:tr w14:paraId="1975A38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91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65871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C00000"/>
                <w:sz w:val="16"/>
              </w:rPr>
              <w:t>跨域RFFI-FSCIL</w:t>
            </w:r>
          </w:p>
        </w:tc>
        <w:tc>
          <w:tcPr>
            <w:tcW w:w="1497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4A68EB">
            <w:pPr>
              <w:spacing w:before="0" w:after="0" w:line="240" w:lineRule="auto"/>
              <w:jc w:val="center"/>
            </w:pPr>
            <m:oMathPara>
              <m:oMath>
                <m:sSup>
                  <m:sSup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p>
                    <m:d>
                      <m:dPr>
                        <m:sepChr m:val=""/>
                      </m:dPr>
                      <m:e>
                        <m:r>
                          <m:rPr>
                            <m:sty m:val="p"/>
                          </m:rPr>
                          <m:t>≤</m:t>
                        </m:r>
                        <m:r>
                          <m:rPr/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/>
                          <m:t>1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⊂</m:t>
                </m:r>
                <m:sSup>
                  <m:sSupPr/>
                  <m:e>
                    <m:r>
                      <m:rPr>
                        <m:sty m:val="p"/>
                        <m:scr m:val="script"/>
                      </m:rPr>
                      <m:t>Y</m:t>
                    </m:r>
                  </m:e>
                  <m:sup>
                    <m:d>
                      <m:dPr>
                        <m:sepChr m:val=""/>
                      </m:dPr>
                      <m:e>
                        <m:r>
                          <m:rPr>
                            <m:sty m:val="p"/>
                          </m:rPr>
                          <m:t>≤</m:t>
                        </m:r>
                        <m:r>
                          <m:rPr/>
                          <m:t>t</m:t>
                        </m:r>
                      </m:e>
                    </m:d>
                  </m:sup>
                </m:sSup>
              </m:oMath>
            </m:oMathPara>
          </w:p>
        </w:tc>
        <w:tc>
          <w:tcPr>
            <w:tcW w:w="1029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BE76E0">
            <w:pPr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t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sSubPr/>
                  <m:e>
                    <m:r>
                      <m:rPr/>
                      <m:t>d</m:t>
                    </m:r>
                  </m:e>
                  <m:sub>
                    <m:r>
                      <m:rPr/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/>
                      <m:t>1</m:t>
                    </m:r>
                  </m:sub>
                </m:sSub>
              </m:oMath>
            </m:oMathPara>
          </w:p>
        </w:tc>
        <w:tc>
          <w:tcPr>
            <w:tcW w:w="1497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992BA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session顺序到达；状态持续保存</w:t>
            </w:r>
          </w:p>
        </w:tc>
        <w:tc>
          <w:tcPr>
            <w:tcW w:w="1684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48166D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target新类每类</w:t>
            </w:r>
            <m:oMath>
              <m:r>
                <m:rPr/>
                <m:t>K</m:t>
              </m:r>
            </m:oMath>
            <w:r>
              <w:rPr>
                <w:rFonts w:ascii="Times New Roman" w:hAnsi="Times New Roman" w:eastAsia="宋体" w:cs="Times New Roman"/>
                <w:sz w:val="16"/>
              </w:rPr>
              <w:t>个support</w:t>
            </w:r>
          </w:p>
        </w:tc>
        <w:tc>
          <w:tcPr>
            <w:tcW w:w="2062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2CA2A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全部累计已注册旧类与新类</w:t>
            </w:r>
          </w:p>
        </w:tc>
      </w:tr>
      <w:tr w14:paraId="3317F3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91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314B49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sz w:val="16"/>
              </w:rPr>
              <w:t>开放世界跨域RFFI-FSCIL（扩展）</w:t>
            </w:r>
          </w:p>
        </w:tc>
        <w:tc>
          <w:tcPr>
            <w:tcW w:w="1497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A1ED68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sz w:val="16"/>
              </w:rPr>
              <w:t>类别增长且存在</w:t>
            </w:r>
            <m:oMath>
              <m:sSub>
                <m:sSubPr/>
                <m:e>
                  <m:r>
                    <m:rPr>
                      <m:sty m:val="p"/>
                      <m:scr m:val="script"/>
                    </m:rPr>
                    <m:t>Y</m:t>
                  </m:r>
                </m:e>
                <m:sub>
                  <m:r>
                    <m:rPr>
                      <m:sty m:val="p"/>
                    </m:rPr>
                    <m:t>unknown</m:t>
                  </m:r>
                </m:sub>
              </m:sSub>
            </m:oMath>
          </w:p>
        </w:tc>
        <w:tc>
          <w:tcPr>
            <w:tcW w:w="1029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FFCD0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sz w:val="16"/>
              </w:rPr>
              <w:t>域随部署阶段变化</w:t>
            </w:r>
          </w:p>
        </w:tc>
        <w:tc>
          <w:tcPr>
            <w:tcW w:w="1497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F18C52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注册与拒识顺序执行；状态持续保存</w:t>
            </w:r>
          </w:p>
        </w:tc>
        <w:tc>
          <w:tcPr>
            <w:tcW w:w="1684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7111E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已注册新类为K-shot；unknown无标签</w:t>
            </w:r>
          </w:p>
        </w:tc>
        <w:tc>
          <w:tcPr>
            <w:tcW w:w="2062" w:type="dxa"/>
            <w:shd w:val="clear" w:color="auto" w:fill="FDF2E9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C8B8A0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6"/>
              </w:rPr>
              <w:t>已注册旧类与新类，并拒识未注册unknown</w:t>
            </w:r>
          </w:p>
        </w:tc>
      </w:tr>
    </w:tbl>
    <w:p w14:paraId="02E6E1FA">
      <w:pPr>
        <w:pStyle w:val="19"/>
        <w:rPr>
          <w:rFonts w:hint="eastAsia" w:eastAsia="宋体"/>
          <w:lang w:eastAsia="zh-CN"/>
        </w:rPr>
      </w:pPr>
      <w:r>
        <w:rPr>
          <w:rFonts w:ascii="Times New Roman" w:hAnsi="Times New Roman" w:eastAsia="宋体" w:cs="Times New Roman"/>
          <w:b/>
          <w:bCs/>
          <w:color w:val="C00000"/>
          <w:sz w:val="22"/>
        </w:rPr>
        <w:t>CVS阶段定位：Stage2-A是零标签target迁移参考；Stage2-B对应RFFI少样本监督域适应；Stage2-C在同一row中提供旧类与新类K-shot target support，对应跨域单步FSCIL与新类注册，连续执行多个增量session后才构成完整FSCIL</w:t>
      </w:r>
      <w:r>
        <w:rPr>
          <w:rFonts w:hint="eastAsia" w:cs="Times New Roman" w:ascii="Times New Roman" w:hAnsi="Times New Roman" w:eastAsia="宋体"/>
          <w:b/>
          <w:bCs/>
          <w:color w:val="C00000"/>
          <w:sz w:val="22"/>
          <w:lang w:eastAsia="zh-CN"/>
        </w:rPr>
        <w:t>。</w:t>
      </w:r>
    </w:p>
    <w:p w14:paraId="38068436">
      <w:pPr>
        <w:pStyle w:val="4"/>
        <w:keepNext/>
      </w:pPr>
      <w:r>
        <w:rPr>
          <w:rFonts w:ascii="Times New Roman" w:hAnsi="Times New Roman" w:eastAsia="宋体" w:cs="Times New Roman"/>
        </w:rPr>
        <w:t>1.2少样本学习的定义</w:t>
      </w:r>
    </w:p>
    <w:p w14:paraId="62551DB0">
      <w:r>
        <w:rPr>
          <w:rFonts w:ascii="Times New Roman" w:hAnsi="Times New Roman" w:eastAsia="宋体" w:cs="Times New Roman"/>
          <w:sz w:val="22"/>
        </w:rPr>
        <w:t>少样本学习是指模型已经从base数据或预训练状态中获得先验，在目标任务每类只有少量带标签样本时，仍能泛化到未参与适配的query。</w:t>
      </w:r>
    </w:p>
    <w:p w14:paraId="190E7357">
      <w:pPr>
        <w:pStyle w:val="19"/>
      </w:pPr>
      <w:r>
        <w:rPr>
          <w:rFonts w:ascii="Times New Roman" w:hAnsi="Times New Roman" w:eastAsia="宋体" w:cs="Times New Roman"/>
          <w:sz w:val="22"/>
        </w:rPr>
        <w:t>一次</w:t>
      </w:r>
      <m:oMath>
        <m:r>
          <m:rPr/>
          <m:t>N</m:t>
        </m:r>
      </m:oMath>
      <w:r>
        <w:rPr>
          <w:rFonts w:ascii="Times New Roman" w:hAnsi="Times New Roman" w:eastAsia="宋体" w:cs="Times New Roman"/>
          <w:sz w:val="22"/>
        </w:rPr>
        <w:t xml:space="preserve">-way </w:t>
      </w:r>
      <m:oMath>
        <m:r>
          <m:rPr/>
          <m:t>K</m:t>
        </m:r>
      </m:oMath>
      <w:r>
        <w:rPr>
          <w:rFonts w:ascii="Times New Roman" w:hAnsi="Times New Roman" w:eastAsia="宋体" w:cs="Times New Roman"/>
          <w:sz w:val="22"/>
        </w:rPr>
        <w:t>-shot任务记为</w:t>
      </w:r>
      <m:oMath>
        <m:r>
          <m:rPr/>
          <m:t>τ</m:t>
        </m:r>
        <m:r>
          <m:rPr>
            <m:sty m:val="p"/>
          </m:rPr>
          <m:t>=</m:t>
        </m:r>
        <m:d>
          <m:dPr>
            <m:sepChr m:val=""/>
          </m:dPr>
          <m:e>
            <m:sSub>
              <m:sSubPr/>
              <m:e>
                <m:r>
                  <m:rPr/>
                  <m:t>S</m:t>
                </m:r>
              </m:e>
              <m:sub>
                <m:r>
                  <m:rPr/>
                  <m:t>τ</m:t>
                </m:r>
              </m:sub>
            </m:sSub>
            <m:r>
              <m:rPr>
                <m:sty m:val="p"/>
              </m:rPr>
              <m:t>,</m:t>
            </m:r>
            <m:sSub>
              <m:sSubPr/>
              <m:e>
                <m:r>
                  <m:rPr/>
                  <m:t>Q</m:t>
                </m:r>
              </m:e>
              <m:sub>
                <m:r>
                  <m:rPr/>
                  <m:t>τ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sz w:val="22"/>
        </w:rPr>
        <w:t>。support包含</w:t>
      </w:r>
      <m:oMath>
        <m:r>
          <m:rPr/>
          <m:t>N</m:t>
        </m:r>
      </m:oMath>
      <w:r>
        <w:rPr>
          <w:rFonts w:ascii="Times New Roman" w:hAnsi="Times New Roman" w:eastAsia="宋体" w:cs="Times New Roman"/>
          <w:sz w:val="22"/>
        </w:rPr>
        <w:t>个类别，每类</w:t>
      </w:r>
      <m:oMath>
        <m:r>
          <m:rPr/>
          <m:t>K</m:t>
        </m:r>
      </m:oMath>
      <w:r>
        <w:rPr>
          <w:rFonts w:ascii="Times New Roman" w:hAnsi="Times New Roman" w:eastAsia="宋体" w:cs="Times New Roman"/>
          <w:sz w:val="22"/>
        </w:rPr>
        <w:t>个独立带标签样本：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r>
          <m:t>τ</m:t>
        </m:r>
      </m:oMath>
      <w:r>
        <w:rPr>
          <w:rFonts w:ascii="Times New Roman" w:hAnsi="Times New Roman" w:eastAsia="宋体" w:cs="Times New Roman"/>
          <w:b w:val="0"/>
        </w:rPr>
        <w:t>是一次独立少样本任务；</w:t>
      </w:r>
      <m:oMath xmlns:a="http://schemas.openxmlformats.org/drawingml/2006/main" xmlns:pic="http://schemas.openxmlformats.org/drawingml/2006/picture">
        <m:sSub>
          <m:e>
            <m:r>
              <m:t>S</m:t>
            </m:r>
          </m:e>
          <m:sub>
            <m:r>
              <m:t>τ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>
          <m:e>
            <m:r>
              <m:t>Q</m:t>
            </m:r>
          </m:e>
          <m:sub>
            <m:r>
              <m:t>τ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分别是该任务的support集合与query集合。support是允许建立或更新模型状态的带标签样本，query只用于冻结后的测试。</w:t>
      </w:r>
      <m:oMath xmlns:a="http://schemas.openxmlformats.org/drawingml/2006/main" xmlns:pic="http://schemas.openxmlformats.org/drawingml/2006/picture">
        <m:r>
          <m:t>N</m:t>
        </m:r>
      </m:oMath>
      <w:r>
        <w:rPr>
          <w:rFonts w:ascii="Times New Roman" w:hAnsi="Times New Roman" w:eastAsia="宋体" w:cs="Times New Roman"/>
          <w:b w:val="0"/>
        </w:rPr>
        <w:t>是任务中的类别数，</w:t>
      </w:r>
      <m:oMath xmlns:a="http://schemas.openxmlformats.org/drawingml/2006/main" xmlns:pic="http://schemas.openxmlformats.org/drawingml/2006/picture">
        <m:r>
          <m:t>K</m:t>
        </m:r>
      </m:oMath>
      <w:r>
        <w:rPr>
          <w:rFonts w:ascii="Times New Roman" w:hAnsi="Times New Roman" w:eastAsia="宋体" w:cs="Times New Roman"/>
          <w:b w:val="0"/>
        </w:rPr>
        <w:t>是每类support数，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script"/>
              </m:rPr>
              <m:t>Y</m:t>
            </m:r>
          </m:e>
          <m:sub>
            <m:r>
              <m:t>τ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是任务类别集合；</w:t>
      </w:r>
      <m:oMath xmlns:a="http://schemas.openxmlformats.org/drawingml/2006/main" xmlns:pic="http://schemas.openxmlformats.org/drawingml/2006/picture">
        <m:r>
          <m:t>c</m:t>
        </m:r>
      </m:oMath>
      <w:r>
        <w:rPr>
          <w:rFonts w:ascii="Times New Roman" w:hAnsi="Times New Roman" w:eastAsia="宋体" w:cs="Times New Roman"/>
          <w:b w:val="0"/>
        </w:rPr>
        <w:t>是类别索引，</w:t>
      </w:r>
      <m:oMath xmlns:a="http://schemas.openxmlformats.org/drawingml/2006/main" xmlns:pic="http://schemas.openxmlformats.org/drawingml/2006/picture">
        <m:r>
          <m:t>k</m:t>
        </m:r>
      </m:oMath>
      <w:r>
        <w:rPr>
          <w:rFonts w:ascii="Times New Roman" w:hAnsi="Times New Roman" w:eastAsia="宋体" w:cs="Times New Roman"/>
          <w:b w:val="0"/>
        </w:rPr>
        <w:t>是类内样本索引，</w:t>
      </w:r>
      <m:oMath xmlns:a="http://schemas.openxmlformats.org/drawingml/2006/main" xmlns:pic="http://schemas.openxmlformats.org/drawingml/2006/picture">
        <m:sSub>
          <m:e>
            <m:r>
              <m:t>x</m:t>
            </m:r>
          </m:e>
          <m:sub>
            <m:r>
              <m:t>c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是类别</w:t>
      </w:r>
      <m:oMath xmlns:a="http://schemas.openxmlformats.org/drawingml/2006/main" xmlns:pic="http://schemas.openxmlformats.org/drawingml/2006/picture">
        <m:r>
          <m:t>c</m:t>
        </m:r>
      </m:oMath>
      <w:r>
        <w:rPr>
          <w:rFonts w:ascii="Times New Roman" w:hAnsi="Times New Roman" w:eastAsia="宋体" w:cs="Times New Roman"/>
          <w:b w:val="0"/>
        </w:rPr>
        <w:t>的第</w:t>
      </w:r>
      <m:oMath xmlns:a="http://schemas.openxmlformats.org/drawingml/2006/main" xmlns:pic="http://schemas.openxmlformats.org/drawingml/2006/picture">
        <m:r>
          <m:t>k</m:t>
        </m:r>
      </m:oMath>
      <w:r>
        <w:rPr>
          <w:rFonts w:ascii="Times New Roman" w:hAnsi="Times New Roman" w:eastAsia="宋体" w:cs="Times New Roman"/>
          <w:b w:val="0"/>
        </w:rPr>
        <w:t>个固定接收IQ观测。</w:t>
      </w:r>
      <m:oMath xmlns:a="http://schemas.openxmlformats.org/drawingml/2006/main" xmlns:pic="http://schemas.openxmlformats.org/drawingml/2006/picture"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rPr>
          <w:rFonts w:ascii="Times New Roman" w:hAnsi="Times New Roman" w:eastAsia="宋体" w:cs="Times New Roman"/>
          <w:b w:val="0"/>
        </w:rPr>
        <w:t>表示集合基数，</w:t>
      </w:r>
      <m:oMath xmlns:a="http://schemas.openxmlformats.org/drawingml/2006/main" xmlns:pic="http://schemas.openxmlformats.org/drawingml/2006/picture">
        <m:r>
          <m:rPr>
            <m:sty m:val="p"/>
          </m:rPr>
          <m:t>⋃</m:t>
        </m:r>
      </m:oMath>
      <w:r>
        <w:rPr>
          <w:rFonts w:ascii="Times New Roman" w:hAnsi="Times New Roman" w:eastAsia="宋体" w:cs="Times New Roman"/>
          <w:b w:val="0"/>
        </w:rPr>
        <w:t>表示把各类样本合并为support集合</w:t>
      </w:r>
      <w:r>
        <w:rPr>
          <w:rFonts w:ascii="Times New Roman" w:hAnsi="Times New Roman" w:cs="Times New Roman" w:eastAsia="宋体"/>
        </w:rPr>
        <w:t>）</w:t>
      </w:r>
    </w:p>
    <w:p w14:paraId="286AC452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/>
                <m:t>S</m:t>
              </m:r>
            </m:e>
            <m:sub>
              <m:r>
                <m:rPr/>
                <m:t>τ</m:t>
              </m:r>
            </m:sub>
          </m:sSub>
          <m:r>
            <m:rPr>
              <m:sty m:val="p"/>
            </m:rPr>
            <m:t>=</m:t>
          </m:r>
          <m:limLow>
            <m:limLowPr/>
            <m:e>
              <m:r>
                <m:rPr>
                  <m:sty m:val="p"/>
                </m:rPr>
                <m:t>⋃</m:t>
              </m:r>
            </m:e>
            <m:lim>
              <m:r>
                <m:rPr/>
                <m:t>c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>
                      <m:sty m:val="p"/>
                      <m:scr m:val="script"/>
                    </m:rPr>
                    <m:t>Y</m:t>
                  </m:r>
                </m:e>
                <m:sub>
                  <m:r>
                    <m:rPr/>
                    <m:t>τ</m:t>
                  </m:r>
                </m:sub>
              </m:sSub>
            </m:lim>
          </m:limLow>
          <m:sSubSup>
            <m:sSubSupPr/>
            <m:e>
              <m:d>
                <m:dPr>
                  <m:begChr m:val="{"/>
                  <m:sepChr m:val=""/>
                  <m:endChr m:val="}"/>
                </m:dPr>
                <m:e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x</m:t>
                          </m:r>
                        </m:e>
                        <m:sub>
                          <m:r>
                            <m:rPr/>
                            <m:t>c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/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rPr/>
                        <m:t>c</m:t>
                      </m:r>
                    </m:e>
                  </m:d>
                </m:e>
              </m:d>
            </m:e>
            <m:sub>
              <m:r>
                <m:rPr/>
                <m:t>k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</m:sub>
            <m:sup>
              <m:r>
                <m:rPr/>
                <m:t>K</m:t>
              </m:r>
            </m:sup>
          </m:sSubSup>
          <m:r>
            <m:rPr>
              <m:sty m:val="p"/>
            </m:rPr>
            <m:t>,</m:t>
          </m:r>
          <m:r>
            <m:rPr/>
            <m:t>  </m:t>
          </m:r>
          <m:d>
            <m:dPr>
              <m:begChr m:val="|"/>
              <m:sepChr m:val=""/>
              <m:endChr m:val="|"/>
            </m:dPr>
            <m:e>
              <m:sSub>
                <m:sSubPr/>
                <m:e>
                  <m:r>
                    <m:rPr>
                      <m:sty m:val="p"/>
                      <m:scr m:val="script"/>
                    </m:rPr>
                    <m:t>Y</m:t>
                  </m:r>
                </m:e>
                <m:sub>
                  <m:r>
                    <m:rPr/>
                    <m:t>τ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/>
            <m:t>N</m:t>
          </m:r>
          <m:r>
            <m:rPr>
              <m:sty m:val="p"/>
            </m:rPr>
            <m:t>,</m:t>
          </m:r>
          <m:r>
            <m:rPr/>
            <m:t>  </m:t>
          </m:r>
          <m:d>
            <m:dPr>
              <m:begChr m:val="|"/>
              <m:sepChr m:val=""/>
              <m:endChr m:val="|"/>
            </m:dPr>
            <m:e>
              <m:sSub>
                <m:sSubPr/>
                <m:e>
                  <m:r>
                    <m:rPr/>
                    <m:t>S</m:t>
                  </m:r>
                </m:e>
                <m:sub>
                  <m:r>
                    <m:rPr/>
                    <m:t>τ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/>
            <m:t>NK</m:t>
          </m:r>
          <m:r>
            <m:rPr>
              <m:sty m:val="p"/>
            </m:rPr>
            <m:t>.</m:t>
          </m:r>
        </m:oMath>
      </m:oMathPara>
    </w:p>
    <w:p w14:paraId="763007A7">
      <w:r>
        <w:rPr>
          <w:rFonts w:ascii="Times New Roman" w:hAnsi="Times New Roman" w:eastAsia="宋体" w:cs="Times New Roman"/>
          <w:sz w:val="22"/>
        </w:rPr>
        <w:t>学习算法读取先验状态</w:t>
      </w:r>
      <m:oMath>
        <m:sSub>
          <m:sSubPr/>
          <m:e>
            <m:r>
              <m:rPr/>
              <m:t>Ω</m:t>
            </m:r>
          </m:e>
          <m:sub>
            <m:r>
              <m:rPr/>
              <m:t>0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和support，生成当前任务预测器：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>
          <m:e>
            <m:r>
              <m:t>Ω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是任务开始前的冻结先验状态，例如Phase1 deployment bundle；</w:t>
      </w:r>
      <m:oMath xmlns:a="http://schemas.openxmlformats.org/drawingml/2006/main" xmlns:pic="http://schemas.openxmlformats.org/drawingml/2006/picture">
        <m:r>
          <m:rPr>
            <m:sty m:val="p"/>
            <m:scr m:val="script"/>
          </m:rPr>
          <m:t>A</m:t>
        </m:r>
      </m:oMath>
      <w:r>
        <w:rPr>
          <w:rFonts w:ascii="Times New Roman" w:hAnsi="Times New Roman" w:eastAsia="宋体" w:cs="Times New Roman"/>
          <w:b w:val="0"/>
        </w:rPr>
        <w:t>是只读取先验状态和support的适配/注册算法；</w:t>
      </w:r>
      <m:oMath xmlns:a="http://schemas.openxmlformats.org/drawingml/2006/main" xmlns:pic="http://schemas.openxmlformats.org/drawingml/2006/picture">
        <m:sSub>
          <m:e>
            <m:r>
              <m:t>h</m:t>
            </m:r>
          </m:e>
          <m:sub>
            <m:r>
              <m:t>τ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是由它生成的当前任务预测器。</w:t>
      </w:r>
      <m:oMath xmlns:a="http://schemas.openxmlformats.org/drawingml/2006/main" xmlns:pic="http://schemas.openxmlformats.org/drawingml/2006/picture">
        <m:sSub>
          <m:e>
            <m:r>
              <m:t>x</m:t>
            </m:r>
          </m:e>
          <m:sub>
            <m:r>
              <m:t>q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是单个query观测，</w:t>
      </w:r>
      <m:oMath xmlns:a="http://schemas.openxmlformats.org/drawingml/2006/main" xmlns:pic="http://schemas.openxmlformats.org/drawingml/2006/picture">
        <m:sSub>
          <m:e>
            <m:r>
              <m:t>y</m:t>
            </m:r>
          </m:e>
          <m:sub>
            <m:r>
              <m:t>q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是真实发射机标签，</w:t>
      </w:r>
      <m:oMath xmlns:a="http://schemas.openxmlformats.org/drawingml/2006/main" xmlns:pic="http://schemas.openxmlformats.org/drawingml/2006/picture"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q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是模型预测；</w:t>
      </w:r>
      <m:oMath xmlns:a="http://schemas.openxmlformats.org/drawingml/2006/main" xmlns:pic="http://schemas.openxmlformats.org/drawingml/2006/picture">
        <m:sSub>
          <m:e>
            <m:r>
              <m:t>h</m:t>
            </m:r>
          </m:e>
          <m:sub>
            <m:r>
              <m:t>τ</m:t>
            </m:r>
          </m:sub>
        </m:sSub>
        <m:sSub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q</m:t>
                    </m:r>
                  </m:sub>
                </m:sSub>
              </m:e>
            </m:d>
          </m:e>
          <m:sub>
            <m:r>
              <m:t>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是query属于类别</w:t>
      </w:r>
      <m:oMath xmlns:a="http://schemas.openxmlformats.org/drawingml/2006/main" xmlns:pic="http://schemas.openxmlformats.org/drawingml/2006/picture">
        <m:r>
          <m:t>c</m:t>
        </m:r>
      </m:oMath>
      <w:r>
        <w:rPr>
          <w:rFonts w:ascii="Times New Roman" w:hAnsi="Times New Roman" w:eastAsia="宋体" w:cs="Times New Roman"/>
          <w:b w:val="0"/>
        </w:rPr>
        <w:t>的分数。</w:t>
      </w:r>
      <m:oMath xmlns:a="http://schemas.openxmlformats.org/drawingml/2006/main" xmlns:pic="http://schemas.openxmlformats.org/drawingml/2006/picture">
        <m:r>
          <m:rPr>
            <m:sty m:val="p"/>
          </m:rPr>
          <m:t>arg</m:t>
        </m:r>
        <m:r>
          <m:rPr>
            <m:sty m:val="p"/>
          </m:rPr>
          <m:t>max</m:t>
        </m:r>
      </m:oMath>
      <w:r>
        <w:rPr>
          <w:rFonts w:ascii="Times New Roman" w:hAnsi="Times New Roman" w:eastAsia="宋体" w:cs="Times New Roman"/>
          <w:b w:val="0"/>
        </w:rPr>
        <w:t>表示选择分数最大的类别。</w:t>
      </w:r>
      <m:oMath xmlns:a="http://schemas.openxmlformats.org/drawingml/2006/main" xmlns:pic="http://schemas.openxmlformats.org/drawingml/2006/picture">
        <m:sSub>
          <m:e>
            <m:r>
              <m:t>S</m:t>
            </m:r>
          </m:e>
          <m:sub>
            <m:r>
              <m:t>τ</m:t>
            </m:r>
          </m:sub>
        </m:sSub>
        <m:r>
          <m:rPr>
            <m:sty m:val="p"/>
          </m:rPr>
          <m:t>∩</m:t>
        </m:r>
        <m:sSub>
          <m:e>
            <m:r>
              <m:t>Q</m:t>
            </m:r>
          </m:e>
          <m:sub>
            <m:r>
              <m:t>τ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⌀</m:t>
        </m:r>
      </m:oMath>
      <w:r>
        <w:rPr>
          <w:rFonts w:ascii="Times New Roman" w:hAnsi="Times New Roman" w:eastAsia="宋体" w:cs="Times New Roman"/>
          <w:b w:val="0"/>
        </w:rPr>
        <w:t>表示support与query不能共享同一物理样本</w:t>
      </w:r>
      <w:r>
        <w:rPr>
          <w:rFonts w:ascii="Times New Roman" w:hAnsi="Times New Roman" w:cs="Times New Roman" w:eastAsia="宋体"/>
        </w:rPr>
        <w:t>）</w:t>
      </w:r>
    </w:p>
    <w:p w14:paraId="6F55F8C0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/>
                <m:t>h</m:t>
              </m:r>
            </m:e>
            <m:sub>
              <m:r>
                <m:rPr/>
                <m:t>τ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script"/>
            </m:rPr>
            <m:t>A</m:t>
          </m:r>
          <m:d>
            <m:dPr>
              <m:sepChr m:val=""/>
            </m:dPr>
            <m:e>
              <m:sSub>
                <m:sSubPr/>
                <m:e>
                  <m:r>
                    <m:rPr/>
                    <m:t>S</m:t>
                  </m:r>
                </m:e>
                <m:sub>
                  <m:r>
                    <m:rPr/>
                    <m:t>τ</m:t>
                  </m:r>
                </m:sub>
              </m:sSub>
              <m:r>
                <m:rPr>
                  <m:sty m:val="p"/>
                </m:rPr>
                <m:t>;</m:t>
              </m:r>
              <m:sSub>
                <m:sSubPr/>
                <m:e>
                  <m:r>
                    <m:rPr/>
                    <m:t>Ω</m:t>
                  </m:r>
                </m:e>
                <m:sub>
                  <m:r>
                    <m:rPr/>
                    <m:t>0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acc>
                <m:accPr/>
                <m:e>
                  <m:r>
                    <m:rPr/>
                    <m:t>y</m:t>
                  </m:r>
                </m:e>
              </m:acc>
            </m:e>
            <m:sub>
              <m:r>
                <m:rPr/>
                <m:t>q</m:t>
              </m:r>
            </m:sub>
          </m:sSub>
          <m:r>
            <m:rPr>
              <m:sty m:val="p"/>
            </m:rPr>
            <m:t>=arg</m:t>
          </m:r>
          <m:limLow>
            <m:limLowPr/>
            <m:e>
              <m:r>
                <m:rPr>
                  <m:sty m:val="p"/>
                </m:rPr>
                <m:t>max</m:t>
              </m:r>
            </m:e>
            <m:lim>
              <m:r>
                <m:rPr/>
                <m:t>c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>
                      <m:sty m:val="p"/>
                      <m:scr m:val="script"/>
                    </m:rPr>
                    <m:t>Y</m:t>
                  </m:r>
                </m:e>
                <m:sub>
                  <m:r>
                    <m:rPr/>
                    <m:t>τ</m:t>
                  </m:r>
                </m:sub>
              </m:sSub>
            </m:lim>
          </m:limLow>
          <m:sSub>
            <m:sSubPr/>
            <m:e>
              <m:r>
                <m:rPr/>
                <m:t>h</m:t>
              </m:r>
            </m:e>
            <m:sub>
              <m:r>
                <m:rPr/>
                <m:t>τ</m:t>
              </m:r>
            </m:sub>
          </m:sSub>
          <m:sSub>
            <m:sSubPr/>
            <m:e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x</m:t>
                      </m:r>
                    </m:e>
                    <m:sub>
                      <m:r>
                        <m:rPr/>
                        <m:t>q</m:t>
                      </m:r>
                    </m:sub>
                  </m:sSub>
                </m:e>
              </m:d>
            </m:e>
            <m:sub>
              <m:r>
                <m:rPr/>
                <m:t>c</m:t>
              </m:r>
            </m:sub>
          </m:sSub>
          <m:r>
            <m:rPr>
              <m:sty m:val="p"/>
            </m:rPr>
            <m:t>,</m:t>
          </m:r>
          <m:r>
            <m:rPr/>
            <m:t> </m:t>
          </m:r>
          <m:d>
            <m:dPr>
              <m:sepChr m:val=""/>
            </m:dPr>
            <m:e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q</m:t>
                  </m:r>
                </m:sub>
              </m:sSub>
              <m:r>
                <m:rPr>
                  <m:sty m:val="p"/>
                </m:rPr>
                <m:t>,</m:t>
              </m:r>
              <m:sSub>
                <m:sSubPr/>
                <m:e>
                  <m:r>
                    <m:rPr/>
                    <m:t>y</m:t>
                  </m:r>
                </m:e>
                <m:sub>
                  <m:r>
                    <m:rPr/>
                    <m:t>q</m:t>
                  </m:r>
                </m:sub>
              </m:sSub>
            </m:e>
          </m:d>
          <m:r>
            <m:rPr>
              <m:sty m:val="p"/>
            </m:rPr>
            <m:t>∈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τ</m:t>
              </m:r>
            </m:sub>
          </m:sSub>
          <m:r>
            <m:rPr>
              <m:sty m:val="p"/>
            </m:rPr>
            <m:t>.</m:t>
          </m:r>
        </m:oMath>
      </m:oMathPara>
    </w:p>
    <w:p w14:paraId="60C3696E">
      <w:r>
        <w:rPr>
          <w:rFonts w:ascii="Times New Roman" w:hAnsi="Times New Roman" w:eastAsia="宋体" w:cs="Times New Roman"/>
          <w:sz w:val="22"/>
        </w:rPr>
        <w:t>support与query必须样本级互斥：</w:t>
      </w:r>
    </w:p>
    <w:p w14:paraId="205618F9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/>
                <m:t>S</m:t>
              </m:r>
            </m:e>
            <m:sub>
              <m:r>
                <m:rPr/>
                <m:t>τ</m:t>
              </m:r>
            </m:sub>
          </m:sSub>
          <m:r>
            <m:rPr>
              <m:sty m:val="p"/>
            </m:rPr>
            <m:t>∩</m:t>
          </m:r>
          <m:sSub>
            <m:sSubPr/>
            <m:e>
              <m:r>
                <m:rPr/>
                <m:t>Q</m:t>
              </m:r>
            </m:e>
            <m:sub>
              <m:r>
                <m:rPr/>
                <m:t>τ</m:t>
              </m:r>
            </m:sub>
          </m:sSub>
          <m:r>
            <m:rPr>
              <m:sty m:val="p"/>
            </m:rPr>
            <m:t>=⌀.</m:t>
          </m:r>
        </m:oMath>
      </m:oMathPara>
    </w:p>
    <w:p w14:paraId="1FCA6847">
      <w:r>
        <w:rPr>
          <w:rFonts w:ascii="Times New Roman" w:hAnsi="Times New Roman" w:eastAsia="宋体" w:cs="Times New Roman"/>
          <w:sz w:val="22"/>
        </w:rPr>
        <w:t>标准novel-class FSL还要求base类与novel类互斥，query通常只在当前novel类中竞争。若训练与测试类别相同，只是每类样本较少，更准确的名称是low-shot closed-set classification。ProtoNet[1]属于度量型FSL方法，但把prototype估计器用于旧类target support，并不会自动把任务变成标准novel-class FSL。</w:t>
      </w:r>
    </w:p>
    <w:p w14:paraId="29FBB891">
      <w:pPr>
        <w:pStyle w:val="19"/>
      </w:pPr>
      <w:r>
        <w:rPr>
          <w:rFonts w:ascii="Times New Roman" w:hAnsi="Times New Roman" w:eastAsia="宋体" w:cs="Times New Roman"/>
          <w:b/>
          <w:bCs/>
          <w:sz w:val="22"/>
        </w:rPr>
        <w:t>K-shot统计的是每类K个独立物理IQ记录；同一IQ的FFT、裁剪、均衡或数据增强view均不增加K。query只用于冻结后评价，不能训练、调参、早停、设阈值或回滚。</w:t>
      </w:r>
    </w:p>
    <w:p w14:paraId="05CFD8F0">
      <w:pPr>
        <w:pStyle w:val="4"/>
        <w:keepNext/>
      </w:pPr>
      <w:r>
        <w:rPr>
          <w:rFonts w:ascii="Times New Roman" w:hAnsi="Times New Roman" w:eastAsia="宋体" w:cs="Times New Roman"/>
        </w:rPr>
        <w:t>1.3域适应及Stage2-B定位</w:t>
      </w:r>
    </w:p>
    <w:p w14:paraId="3B3DEC9C">
      <w:r>
        <w:rPr>
          <w:rFonts w:ascii="Times New Roman" w:hAnsi="Times New Roman" w:eastAsia="宋体" w:cs="Times New Roman"/>
          <w:sz w:val="22"/>
        </w:rPr>
        <w:t>source域与target域可写为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src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script"/>
              </m:rPr>
              <m:t>D</m:t>
            </m:r>
          </m:e>
          <m:sub>
            <m:r>
              <m:t>tgt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分别表示源域与目标域数据分布；</w:t>
      </w:r>
      <m:oMath xmlns:a="http://schemas.openxmlformats.org/drawingml/2006/main" xmlns:pic="http://schemas.openxmlformats.org/drawingml/2006/picture">
        <m:r>
          <m:rPr>
            <m:sty m:val="p"/>
            <m:scr m:val="script"/>
          </m:rPr>
          <m:t>X</m:t>
        </m:r>
      </m:oMath>
      <w:r>
        <w:rPr>
          <w:rFonts w:ascii="Times New Roman" w:hAnsi="Times New Roman" w:eastAsia="宋体" w:cs="Times New Roman"/>
          <w:b w:val="0"/>
        </w:rPr>
        <w:t>是接收IQ的输入空间，</w:t>
      </w:r>
      <m:oMath xmlns:a="http://schemas.openxmlformats.org/drawingml/2006/main" xmlns:pic="http://schemas.openxmlformats.org/drawingml/2006/picture">
        <m:r>
          <m:rPr>
            <m:sty m:val="p"/>
            <m:scr m:val="script"/>
          </m:rPr>
          <m:t>Y</m:t>
        </m:r>
      </m:oMath>
      <w:r>
        <w:rPr>
          <w:rFonts w:ascii="Times New Roman" w:hAnsi="Times New Roman" w:eastAsia="宋体" w:cs="Times New Roman"/>
          <w:b w:val="0"/>
        </w:rPr>
        <w:t>是发射机标签空间。</w:t>
      </w:r>
      <m:oMath xmlns:a="http://schemas.openxmlformats.org/drawingml/2006/main" xmlns:pic="http://schemas.openxmlformats.org/drawingml/2006/picture">
        <m:sSub>
          <m:e>
            <m:r>
              <m:t>P</m:t>
            </m:r>
          </m:e>
          <m:sub>
            <m:r>
              <m:t>src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rPr>
                <m:scr m:val="script"/>
              </m:rPr>
              <m:t>Y</m:t>
            </m:r>
          </m:e>
        </m:d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>
          <m:e>
            <m:r>
              <m:t>P</m:t>
            </m:r>
          </m:e>
          <m:sub>
            <m:r>
              <m:t>tgt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rPr>
                <m:scr m:val="script"/>
              </m:rPr>
              <m:t>Y</m:t>
            </m:r>
          </m:e>
        </m:d>
      </m:oMath>
      <w:r>
        <w:rPr>
          <w:rFonts w:ascii="Times New Roman" w:hAnsi="Times New Roman" w:eastAsia="宋体" w:cs="Times New Roman"/>
          <w:b w:val="0"/>
        </w:rPr>
        <w:t>是两个域中的联合分布，</w:t>
      </w:r>
      <m:oMath xmlns:a="http://schemas.openxmlformats.org/drawingml/2006/main" xmlns:pic="http://schemas.openxmlformats.org/drawingml/2006/picture"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rPr>
                <m:scr m:val="script"/>
              </m:rPr>
              <m:t>Y</m:t>
            </m:r>
          </m:e>
        </m:d>
      </m:oMath>
      <w:r>
        <w:rPr>
          <w:rFonts w:ascii="Times New Roman" w:hAnsi="Times New Roman" w:eastAsia="宋体" w:cs="Times New Roman"/>
          <w:b w:val="0"/>
        </w:rPr>
        <w:t>表示给定同一发射机身份时观测到某种IQ波形的条件分布。CVS中的物理含义是发射机身份不变，但目标接收机与LEO弱信道使波形分布改变</w:t>
      </w:r>
      <w:r>
        <w:rPr>
          <w:rFonts w:ascii="Times New Roman" w:hAnsi="Times New Roman" w:cs="Times New Roman" w:eastAsia="宋体"/>
        </w:rPr>
        <w:t>）</w:t>
      </w:r>
    </w:p>
    <w:p w14:paraId="7D9B4AF3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D</m:t>
              </m:r>
            </m:e>
            <m:sub>
              <m:r>
                <m:rPr/>
                <m:t>src</m:t>
              </m:r>
            </m:sub>
          </m:sSub>
          <m:r>
            <m:rPr>
              <m:sty m:val="p"/>
            </m:rPr>
            <m:t>=</m:t>
          </m:r>
          <m:d>
            <m:dPr>
              <m:sepChr m:val=""/>
            </m:dPr>
            <m:e>
              <m:r>
                <m:rPr>
                  <m:sty m:val="p"/>
                  <m:scr m:val="script"/>
                </m:rPr>
                <m:t>X</m:t>
              </m:r>
              <m:r>
                <m:rPr>
                  <m:sty m:val="p"/>
                </m:rPr>
                <m:t>,</m:t>
              </m:r>
              <m:sSub>
                <m:sSubPr/>
                <m:e>
                  <m:r>
                    <m:rPr/>
                    <m:t>P</m:t>
                  </m:r>
                </m:e>
                <m:sub>
                  <m:r>
                    <m:rPr/>
                    <m:t>src</m:t>
                  </m:r>
                </m:sub>
              </m:sSub>
              <m:d>
                <m:dPr>
                  <m:sepChr m:val=""/>
                </m:dPr>
                <m:e>
                  <m:r>
                    <m:rPr/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script"/>
                    </m:rPr>
                    <m:t>Y</m:t>
                  </m:r>
                </m:e>
              </m:d>
            </m:e>
          </m:d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>
                  <m:sty m:val="p"/>
                  <m:scr m:val="script"/>
                </m:rPr>
                <m:t>D</m:t>
              </m:r>
            </m:e>
            <m:sub>
              <m:r>
                <m:rPr/>
                <m:t>tgt</m:t>
              </m:r>
            </m:sub>
          </m:sSub>
          <m:r>
            <m:rPr>
              <m:sty m:val="p"/>
            </m:rPr>
            <m:t>=</m:t>
          </m:r>
          <m:d>
            <m:dPr>
              <m:sepChr m:val=""/>
            </m:dPr>
            <m:e>
              <m:r>
                <m:rPr>
                  <m:sty m:val="p"/>
                  <m:scr m:val="script"/>
                </m:rPr>
                <m:t>X</m:t>
              </m:r>
              <m:r>
                <m:rPr>
                  <m:sty m:val="p"/>
                </m:rPr>
                <m:t>,</m:t>
              </m:r>
              <m:sSub>
                <m:sSubPr/>
                <m:e>
                  <m:r>
                    <m:rPr/>
                    <m:t>P</m:t>
                  </m:r>
                </m:e>
                <m:sub>
                  <m:r>
                    <m:rPr/>
                    <m:t>tgt</m:t>
                  </m:r>
                </m:sub>
              </m:sSub>
              <m:d>
                <m:dPr>
                  <m:sepChr m:val=""/>
                </m:dPr>
                <m:e>
                  <m:r>
                    <m:rPr/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script"/>
                    </m:rPr>
                    <m:t>Y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 w14:paraId="5E88F9D4">
      <w:r>
        <w:rPr>
          <w:rFonts w:ascii="Times New Roman" w:hAnsi="Times New Roman" w:eastAsia="宋体" w:cs="Times New Roman"/>
          <w:sz w:val="22"/>
        </w:rPr>
        <w:t>跨接收机RFFI保持旧类标签空间不变，但类别条件分布发生变化：</w:t>
      </w:r>
    </w:p>
    <w:p w14:paraId="486207BE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Y</m:t>
              </m:r>
            </m:e>
            <m:sub>
              <m:r>
                <m:rPr/>
                <m:t>src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>
                  <m:sty m:val="p"/>
                  <m:scr m:val="script"/>
                </m:rPr>
                <m:t>Y</m:t>
              </m:r>
            </m:e>
            <m:sub>
              <m:r>
                <m:rPr/>
                <m:t>tgt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>
                  <m:sty m:val="p"/>
                  <m:scr m:val="script"/>
                </m:rPr>
                <m:t>Y</m:t>
              </m:r>
            </m:e>
            <m:sub>
              <m:r>
                <m:rPr>
                  <m:sty m:val="p"/>
                </m:rPr>
                <m:t>old</m:t>
              </m:r>
            </m:sub>
          </m:sSub>
          <m:r>
            <m:rPr>
              <m:sty m:val="p"/>
            </m:rPr>
            <m:t>,</m:t>
          </m:r>
          <m:r>
            <m:rPr/>
            <m:t>  </m:t>
          </m:r>
          <m:sSub>
            <m:sSubPr/>
            <m:e>
              <m:r>
                <m:rPr/>
                <m:t>P</m:t>
              </m:r>
            </m:e>
            <m:sub>
              <m:r>
                <m:rPr/>
                <m:t>src</m:t>
              </m:r>
            </m:sub>
          </m:sSub>
          <m:d>
            <m:dPr>
              <m:sepChr m:val=""/>
            </m:dPr>
            <m:e>
              <m:r>
                <m:rPr/>
                <m:t>X</m:t>
              </m:r>
              <m:r>
                <m:rPr>
                  <m:sty m:val="p"/>
                </m:rPr>
                <m:t>∣</m:t>
              </m:r>
              <m:r>
                <m:rPr/>
                <m:t>Y</m:t>
              </m:r>
            </m:e>
          </m:d>
          <m:r>
            <m:rPr>
              <m:sty m:val="p"/>
            </m:rPr>
            <m:t>≠</m:t>
          </m:r>
          <m:sSub>
            <m:sSubPr/>
            <m:e>
              <m:r>
                <m:rPr/>
                <m:t>P</m:t>
              </m:r>
            </m:e>
            <m:sub>
              <m:r>
                <m:rPr/>
                <m:t>tgt</m:t>
              </m:r>
            </m:sub>
          </m:sSub>
          <m:d>
            <m:dPr>
              <m:sepChr m:val=""/>
            </m:dPr>
            <m:e>
              <m:r>
                <m:rPr/>
                <m:t>X</m:t>
              </m:r>
              <m:r>
                <m:rPr>
                  <m:sty m:val="p"/>
                </m:rPr>
                <m:t>∣</m:t>
              </m:r>
              <m:r>
                <m:rPr/>
                <m:t>Y</m:t>
              </m:r>
            </m:e>
          </m:d>
          <m:r>
            <m:rPr>
              <m:sty m:val="p"/>
            </m:rPr>
            <m:t>.</m:t>
          </m:r>
        </m:oMath>
      </m:oMathPara>
    </w:p>
    <w:p w14:paraId="1ADC9CFF">
      <w:r>
        <w:rPr>
          <w:rFonts w:ascii="Times New Roman" w:hAnsi="Times New Roman" w:eastAsia="宋体" w:cs="Times New Roman"/>
          <w:sz w:val="22"/>
        </w:rPr>
        <w:t>域适应的目标是利用source知识和允许读取的target数据，降低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>
          <m:e>
            <m:r>
              <m:t>R</m:t>
            </m:r>
          </m:e>
          <m:sub>
            <m:r>
              <m:t>tgt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</m:oMath>
      <w:r>
        <w:rPr>
          <w:rFonts w:ascii="Times New Roman" w:hAnsi="Times New Roman" w:eastAsia="宋体" w:cs="Times New Roman"/>
          <w:b w:val="0"/>
        </w:rPr>
        <w:t>是预测器</w:t>
      </w:r>
      <m:oMath xmlns:a="http://schemas.openxmlformats.org/drawingml/2006/main" xmlns:pic="http://schemas.openxmlformats.org/drawingml/2006/picture">
        <m:r>
          <m:t>h</m:t>
        </m:r>
      </m:oMath>
      <w:r>
        <w:rPr>
          <w:rFonts w:ascii="Times New Roman" w:hAnsi="Times New Roman" w:eastAsia="宋体" w:cs="Times New Roman"/>
          <w:b w:val="0"/>
        </w:rPr>
        <w:t>在目标接收机域上的期望分类风险；</w:t>
      </w:r>
      <m:oMath xmlns:a="http://schemas.openxmlformats.org/drawingml/2006/main" xmlns:pic="http://schemas.openxmlformats.org/drawingml/2006/picture">
        <m:r>
          <m:rPr>
            <m:sty m:val="p"/>
          </m:rPr>
          <m:t>ℓ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,</m:t>
            </m:r>
            <m:r>
              <m:rPr>
                <m:scr m:val="script"/>
              </m:rPr>
              <m:t>Y</m:t>
            </m:r>
          </m:e>
        </m:d>
      </m:oMath>
      <w:r>
        <w:rPr>
          <w:rFonts w:ascii="Times New Roman" w:hAnsi="Times New Roman" w:eastAsia="宋体" w:cs="Times New Roman"/>
          <w:b w:val="0"/>
        </w:rPr>
        <w:t>是单个样本的分类损失；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double-struck"/>
              </m:rPr>
              <m:t>E</m:t>
            </m:r>
          </m:e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rPr>
                    <m:scr m:val="script"/>
                  </m:rPr>
                  <m:t>Y</m:t>
                </m:r>
              </m:e>
            </m:d>
            <m:r>
              <m:rPr>
                <m:sty m:val="p"/>
              </m:rPr>
              <m:t>∼</m:t>
            </m:r>
            <m:sSub>
              <m:e>
                <m:r>
                  <m:t>P</m:t>
                </m:r>
              </m:e>
              <m:sub>
                <m:r>
                  <m:t>tgt</m:t>
                </m:r>
              </m:sub>
            </m:sSub>
          </m:sub>
        </m:sSub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rPr>
          <w:rFonts w:ascii="Times New Roman" w:hAnsi="Times New Roman" w:eastAsia="宋体" w:cs="Times New Roman"/>
          <w:b w:val="0"/>
        </w:rPr>
        <w:t>表示对目标域分布中的样本取数学期望。物理上，降低</w:t>
      </w:r>
      <m:oMath xmlns:a="http://schemas.openxmlformats.org/drawingml/2006/main" xmlns:pic="http://schemas.openxmlformats.org/drawingml/2006/picture">
        <m:sSub>
          <m:e>
            <m:r>
              <m:t>R</m:t>
            </m:r>
          </m:e>
          <m:sub>
            <m:r>
              <m:t>tgt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就是减少目标卫星接收机上旧发射机的平均识别错误</w:t>
      </w:r>
      <w:r>
        <w:rPr>
          <w:rFonts w:ascii="Times New Roman" w:hAnsi="Times New Roman" w:cs="Times New Roman" w:eastAsia="宋体"/>
        </w:rPr>
        <w:t>）</w:t>
      </w:r>
    </w:p>
    <w:p w14:paraId="7F184A1A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/>
                <m:t>R</m:t>
              </m:r>
            </m:e>
            <m:sub>
              <m:r>
                <m:rPr/>
                <m:t>tgt</m:t>
              </m:r>
            </m:sub>
          </m:sSub>
          <m:d>
            <m:dPr>
              <m:sepChr m:val=""/>
            </m:dPr>
            <m:e>
              <m:r>
                <m:rPr/>
                <m:t>h</m:t>
              </m:r>
            </m:e>
          </m:d>
          <m:r>
            <m:rPr>
              <m:sty m:val="p"/>
            </m:rPr>
            <m:t>=</m:t>
          </m:r>
          <m:sSub>
            <m:sSubPr/>
            <m:e>
              <m:r>
                <m:rPr>
                  <m:sty m:val="p"/>
                  <m:scr m:val="double-struck"/>
                </m:rPr>
                <m:t>E</m:t>
              </m:r>
            </m:e>
            <m:sub>
              <m:d>
                <m:dPr>
                  <m:sepChr m:val=""/>
                </m:dPr>
                <m:e>
                  <m:r>
                    <m:rPr/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script"/>
                    </m:rPr>
                    <m:t>Y</m:t>
                  </m:r>
                </m:e>
              </m:d>
              <m:r>
                <m:rPr>
                  <m:sty m:val="p"/>
                </m:rPr>
                <m:t>∼</m:t>
              </m:r>
              <m:sSub>
                <m:sSubPr/>
                <m:e>
                  <m:r>
                    <m:rPr/>
                    <m:t>P</m:t>
                  </m:r>
                </m:e>
                <m:sub>
                  <m:r>
                    <m:rPr/>
                    <m:t>tgt</m:t>
                  </m:r>
                </m:sub>
              </m:sSub>
            </m:sub>
          </m:sSub>
          <m:r>
            <m:rPr/>
            <m:t>​</m:t>
          </m:r>
          <m:d>
            <m:dPr>
              <m:begChr m:val="["/>
              <m:sepChr m:val=""/>
              <m:endChr m:val="]"/>
            </m:dPr>
            <m:e>
              <m:r>
                <m:rPr>
                  <m:sty m:val="p"/>
                </m:rPr>
                <m:t>ℓ</m:t>
              </m:r>
              <m:d>
                <m:dPr>
                  <m:sepChr m:val=""/>
                </m:dPr>
                <m:e>
                  <m:r>
                    <m:rPr/>
                    <m:t>h</m:t>
                  </m:r>
                  <m:d>
                    <m:dPr>
                      <m:sepChr m:val=""/>
                    </m:dPr>
                    <m:e>
                      <m:r>
                        <m:rPr/>
                        <m:t>X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rPr>
                      <m:scr m:val="script"/>
                    </m:rPr>
                    <m:t>Y</m:t>
                  </m:r>
                </m:e>
              </m:d>
            </m:e>
          </m:d>
          <m:r>
            <m:rPr>
              <m:sty m:val="p"/>
            </m:rPr>
            <m:t>.</m:t>
          </m:r>
        </m:oMath>
      </m:oMathPara>
    </w:p>
    <w:p w14:paraId="0B711868">
      <w:r>
        <w:rPr>
          <w:rFonts w:ascii="Times New Roman" w:hAnsi="Times New Roman" w:eastAsia="宋体" w:cs="Times New Roman"/>
          <w:sz w:val="22"/>
        </w:rPr>
        <w:t>Stage2-B每个旧类仅提供K个target-old support，因此属于</w:t>
      </w:r>
      <w:r>
        <w:rPr>
          <w:rFonts w:ascii="Times New Roman" w:hAnsi="Times New Roman" w:eastAsia="宋体" w:cs="Times New Roman"/>
          <w:b/>
          <w:bCs/>
          <w:sz w:val="22"/>
        </w:rPr>
        <w:t>少样本监督域适应</w:t>
      </w:r>
      <w:r>
        <w:rPr>
          <w:rFonts w:ascii="Times New Roman" w:hAnsi="Times New Roman" w:eastAsia="宋体" w:cs="Times New Roman"/>
          <w:sz w:val="22"/>
        </w:rPr>
        <w:t xml:space="preserve"> ：少样本描述target标签预算，域适应才是任务本质。Phase1域泛化训练不能读取未来target receiver；Phase2域适应发生在部署以后，可以读取协议允许的target support。是否接触target数据，是DG与DA的关键边界。</w:t>
      </w:r>
    </w:p>
    <w:p w14:paraId="5CB6D9C4">
      <w:pPr>
        <w:pStyle w:val="4"/>
        <w:keepNext/>
      </w:pPr>
      <w:r>
        <w:rPr>
          <w:rFonts w:ascii="Times New Roman" w:hAnsi="Times New Roman" w:eastAsia="宋体" w:cs="Times New Roman"/>
        </w:rPr>
        <w:t>1.4类增量、FSCIL与新类注册</w:t>
      </w:r>
    </w:p>
    <w:p w14:paraId="6FF3AD3F">
      <w:r>
        <w:rPr>
          <w:rFonts w:ascii="Times New Roman" w:hAnsi="Times New Roman" w:eastAsia="宋体" w:cs="Times New Roman"/>
          <w:sz w:val="22"/>
        </w:rPr>
        <w:t>类增量学习要求新类按阶段到达，并把更新后的状态持续保存：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p>
          <m:e>
            <m:r>
              <m:rPr>
                <m:sty m:val="p"/>
                <m:scr m:val="script"/>
              </m:rPr>
              <m:t>Y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≤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sup>
        </m:sSup>
      </m:oMath>
      <w:r>
        <w:rPr>
          <w:rFonts w:ascii="Times New Roman" w:hAnsi="Times New Roman" w:eastAsia="宋体" w:cs="Times New Roman"/>
          <w:b w:val="0"/>
        </w:rPr>
        <w:t>是进入第</w:t>
      </w:r>
      <m:oMath xmlns:a="http://schemas.openxmlformats.org/drawingml/2006/main" xmlns:pic="http://schemas.openxmlformats.org/drawingml/2006/picture">
        <m:r>
          <m:t>t</m:t>
        </m:r>
      </m:oMath>
      <w:r>
        <w:rPr>
          <w:rFonts w:ascii="Times New Roman" w:hAnsi="Times New Roman" w:eastAsia="宋体" w:cs="Times New Roman"/>
          <w:b w:val="0"/>
        </w:rPr>
        <w:t>次增量前已经注册的类别，</w:t>
      </w:r>
      <m:oMath xmlns:a="http://schemas.openxmlformats.org/drawingml/2006/main" xmlns:pic="http://schemas.openxmlformats.org/drawingml/2006/picture">
        <m:sSubSup>
          <m:e>
            <m:r>
              <m:rPr>
                <m:sty m:val="p"/>
                <m:scr m:val="script"/>
              </m:rPr>
              <m:t>Y</m:t>
            </m:r>
          </m:e>
          <m:sub>
            <m:r>
              <m:t>t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是本次到达并获得合法support的新发射机，二者并集构成</w:t>
      </w:r>
      <m:oMath xmlns:a="http://schemas.openxmlformats.org/drawingml/2006/main" xmlns:pic="http://schemas.openxmlformats.org/drawingml/2006/picture">
        <m:sSup>
          <m:e>
            <m:r>
              <m:rPr>
                <m:sty m:val="p"/>
                <m:scr m:val="script"/>
              </m:rPr>
              <m:t>Y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≤</m:t>
                </m:r>
                <m:r>
                  <m:t>t</m:t>
                </m:r>
              </m:e>
            </m:d>
          </m:sup>
        </m:sSup>
      </m:oMath>
      <w:r>
        <w:rPr>
          <w:rFonts w:ascii="Times New Roman" w:hAnsi="Times New Roman" w:eastAsia="宋体" w:cs="Times New Roman"/>
          <w:b w:val="0"/>
        </w:rPr>
        <w:t>。</w:t>
      </w:r>
      <m:oMath xmlns:a="http://schemas.openxmlformats.org/drawingml/2006/main" xmlns:pic="http://schemas.openxmlformats.org/drawingml/2006/picture">
        <m:sSub>
          <m:e>
            <m:r>
              <m:t>h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是完成第</w:t>
      </w:r>
      <m:oMath xmlns:a="http://schemas.openxmlformats.org/drawingml/2006/main" xmlns:pic="http://schemas.openxmlformats.org/drawingml/2006/picture">
        <m:r>
          <m:t>t</m:t>
        </m:r>
      </m:oMath>
      <w:r>
        <w:rPr>
          <w:rFonts w:ascii="Times New Roman" w:hAnsi="Times New Roman" w:eastAsia="宋体" w:cs="Times New Roman"/>
          <w:b w:val="0"/>
        </w:rPr>
        <w:t>次更新后持续保存的预测器，</w:t>
      </w:r>
      <m:oMath xmlns:a="http://schemas.openxmlformats.org/drawingml/2006/main" xmlns:pic="http://schemas.openxmlformats.org/drawingml/2006/picture">
        <m:sSub>
          <m:e>
            <m:r>
              <m:t>h</m:t>
            </m:r>
          </m:e>
          <m:sub>
            <m:r>
              <m:t>t</m:t>
            </m:r>
          </m:sub>
        </m:sSub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  <m:sub>
            <m:r>
              <m:t>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是观测</w:t>
      </w:r>
      <m:oMath xmlns:a="http://schemas.openxmlformats.org/drawingml/2006/main" xmlns:pic="http://schemas.openxmlformats.org/drawingml/2006/picture">
        <m:r>
          <m:t>x</m:t>
        </m:r>
      </m:oMath>
      <w:r>
        <w:rPr>
          <w:rFonts w:ascii="Times New Roman" w:hAnsi="Times New Roman" w:eastAsia="宋体" w:cs="Times New Roman"/>
          <w:b w:val="0"/>
        </w:rPr>
        <w:t>对类别</w:t>
      </w:r>
      <m:oMath xmlns:a="http://schemas.openxmlformats.org/drawingml/2006/main" xmlns:pic="http://schemas.openxmlformats.org/drawingml/2006/picture">
        <m:r>
          <m:t>c</m:t>
        </m:r>
      </m:oMath>
      <w:r>
        <w:rPr>
          <w:rFonts w:ascii="Times New Roman" w:hAnsi="Times New Roman" w:eastAsia="宋体" w:cs="Times New Roman"/>
          <w:b w:val="0"/>
        </w:rPr>
        <w:t>的分类分数。统一</w:t>
      </w:r>
      <m:oMath xmlns:a="http://schemas.openxmlformats.org/drawingml/2006/main" xmlns:pic="http://schemas.openxmlformats.org/drawingml/2006/picture">
        <m:r>
          <m:rPr>
            <m:sty m:val="p"/>
          </m:rPr>
          <m:t>arg</m:t>
        </m:r>
        <m:r>
          <m:rPr>
            <m:sty m:val="p"/>
          </m:rPr>
          <m:t>max</m:t>
        </m:r>
      </m:oMath>
      <w:r>
        <w:rPr>
          <w:rFonts w:ascii="Times New Roman" w:hAnsi="Times New Roman" w:eastAsia="宋体" w:cs="Times New Roman"/>
          <w:b w:val="0"/>
        </w:rPr>
        <w:t>意味着旧类和已注册新类在同一候选空间竞争</w:t>
      </w:r>
      <w:r>
        <w:rPr>
          <w:rFonts w:ascii="Times New Roman" w:hAnsi="Times New Roman" w:cs="Times New Roman" w:eastAsia="宋体"/>
        </w:rPr>
        <w:t>）</w:t>
      </w:r>
    </w:p>
    <w:p w14:paraId="251A770F">
      <w:pPr>
        <w:pStyle w:val="19"/>
      </w:pPr>
      <m:oMathPara>
        <m:oMathParaPr>
          <m:jc m:val="center"/>
        </m:oMathParaPr>
        <m:oMath>
          <m:sSup>
            <m:sSupPr/>
            <m:e>
              <m:r>
                <m:rPr>
                  <m:sty m:val="p"/>
                  <m:scr m:val="script"/>
                </m:rPr>
                <m:t>Y</m:t>
              </m:r>
            </m:e>
            <m:sup>
              <m:d>
                <m:dPr>
                  <m:sepChr m:val=""/>
                </m:dPr>
                <m:e>
                  <m:r>
                    <m:rPr>
                      <m:sty m:val="p"/>
                    </m:rPr>
                    <m:t>≤</m:t>
                  </m:r>
                  <m:r>
                    <m:rPr/>
                    <m:t>t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sSupPr/>
            <m:e>
              <m:r>
                <m:rPr>
                  <m:sty m:val="p"/>
                  <m:scr m:val="script"/>
                </m:rPr>
                <m:t>Y</m:t>
              </m:r>
            </m:e>
            <m:sup>
              <m:d>
                <m:dPr>
                  <m:sepChr m:val=""/>
                </m:dPr>
                <m:e>
                  <m:r>
                    <m:rPr>
                      <m:sty m:val="p"/>
                    </m:rPr>
                    <m:t>≤</m:t>
                  </m:r>
                  <m:r>
                    <m:rPr/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rPr/>
                    <m:t>1</m:t>
                  </m:r>
                </m:e>
              </m:d>
            </m:sup>
          </m:sSup>
          <m:r>
            <m:rPr>
              <m:sty m:val="p"/>
            </m:rPr>
            <m:t>∪</m:t>
          </m:r>
          <m:sSubSup>
            <m:sSubSupPr/>
            <m:e>
              <m:r>
                <m:rPr>
                  <m:sty m:val="p"/>
                  <m:scr m:val="script"/>
                </m:rPr>
                <m:t>Y</m:t>
              </m:r>
            </m:e>
            <m:sub>
              <m:r>
                <m:rPr/>
                <m:t>t</m:t>
              </m:r>
            </m:sub>
            <m:sup>
              <m:r>
                <m:rPr>
                  <m:sty m:val="p"/>
                </m:rPr>
                <m:t>new</m:t>
              </m:r>
            </m:sup>
          </m:sSubSup>
          <m:r>
            <m:rPr>
              <m:sty m:val="p"/>
            </m:rPr>
            <m:t>,</m:t>
          </m:r>
          <m:r>
            <m:rPr/>
            <m:t>  </m:t>
          </m:r>
          <m:acc>
            <m:accPr/>
            <m:e>
              <m:r>
                <m:rPr/>
                <m:t>y</m:t>
              </m:r>
            </m:e>
          </m:acc>
          <m:r>
            <m:rPr>
              <m:sty m:val="p"/>
            </m:rPr>
            <m:t>=arg</m:t>
          </m:r>
          <m:limLow>
            <m:limLowPr/>
            <m:e>
              <m:r>
                <m:rPr>
                  <m:sty m:val="p"/>
                </m:rPr>
                <m:t>max</m:t>
              </m:r>
            </m:e>
            <m:lim>
              <m:r>
                <m:rPr/>
                <m:t>c</m:t>
              </m:r>
              <m:r>
                <m:rPr>
                  <m:sty m:val="p"/>
                </m:rPr>
                <m:t>∈</m:t>
              </m:r>
              <m:sSup>
                <m:sSupPr/>
                <m:e>
                  <m:r>
                    <m:rPr>
                      <m:sty m:val="p"/>
                      <m:scr m:val="script"/>
                    </m:rPr>
                    <m:t>Y</m:t>
                  </m:r>
                </m:e>
                <m:sup>
                  <m:d>
                    <m:dPr>
                      <m:sepChr m:val=""/>
                    </m:dPr>
                    <m:e>
                      <m:r>
                        <m:rPr>
                          <m:sty m:val="p"/>
                        </m:rPr>
                        <m:t>≤</m:t>
                      </m:r>
                      <m:r>
                        <m:rPr/>
                        <m:t>t</m:t>
                      </m:r>
                    </m:e>
                  </m:d>
                </m:sup>
              </m:sSup>
            </m:lim>
          </m:limLow>
          <m:sSub>
            <m:sSubPr/>
            <m:e>
              <m:r>
                <m:rPr/>
                <m:t>h</m:t>
              </m:r>
            </m:e>
            <m:sub>
              <m:r>
                <m:rPr/>
                <m:t>t</m:t>
              </m:r>
            </m:sub>
          </m:sSub>
          <m:sSub>
            <m:sSubPr/>
            <m:e>
              <m:d>
                <m:dPr>
                  <m:sepChr m:val=""/>
                </m:dPr>
                <m:e>
                  <m:r>
                    <m:rPr/>
                    <m:t>x</m:t>
                  </m:r>
                </m:e>
              </m:d>
            </m:e>
            <m:sub>
              <m:r>
                <m:rPr/>
                <m:t>c</m:t>
              </m:r>
            </m:sub>
          </m:sSub>
          <m:r>
            <m:rPr>
              <m:sty m:val="p"/>
            </m:rPr>
            <m:t>.</m:t>
          </m:r>
        </m:oMath>
      </m:oMathPara>
    </w:p>
    <w:p w14:paraId="2A5D1612">
      <w:r>
        <w:rPr>
          <w:rFonts w:ascii="Times New Roman" w:hAnsi="Times New Roman" w:eastAsia="宋体" w:cs="Times New Roman"/>
          <w:sz w:val="22"/>
        </w:rPr>
        <w:t>推理时不提供task ID，模型必须让旧类与新类在同一标签空间竞争。当每个增量新类只有K个support时，任务成为FSCIL。一次新类集合注册只能评价single-session/one-step类扩展；若要声明持续FSCIL，还需连续执行多个增量session，并在每个session后评价累计类别和遗忘。</w:t>
      </w:r>
    </w:p>
    <w:p w14:paraId="6038CE23">
      <w:pPr>
        <w:pStyle w:val="19"/>
      </w:pPr>
      <w:r>
        <w:rPr>
          <w:rFonts w:ascii="Times New Roman" w:hAnsi="Times New Roman" w:eastAsia="宋体" w:cs="Times New Roman"/>
          <w:sz w:val="22"/>
        </w:rPr>
        <w:t>CVS中的“新类注册”是部署操作：利用带标签新类support建立prototype、分类权重、adapter或其他持久状态，使该身份从未注册unknown转为seen-new class。应严格区分</w:t>
      </w:r>
    </w:p>
    <w:p w14:paraId="2C107466">
      <w:pPr>
        <w:pStyle w:val="19"/>
      </w:pPr>
      <m:oMathPara>
        <m:oMathParaPr>
          <m:jc m:val="center"/>
        </m:oMathParaPr>
        <m:oMath>
          <m:r>
            <m:rPr>
              <m:nor/>
              <m:sty m:val="p"/>
            </m:rPr>
            <w:rPr>
              <w:b w:val="0"/>
              <w:i w:val="0"/>
            </w:rPr>
            <m:t>unknown rejection</m:t>
          </m:r>
          <m:r>
            <m:rPr>
              <m:sty m:val="p"/>
            </m:rPr>
            <m:t>≠</m:t>
          </m:r>
          <m:r>
            <m:rPr>
              <m:nor/>
              <m:sty m:val="p"/>
            </m:rPr>
            <m:t>new-class registration</m:t>
          </m:r>
          <m:r>
            <m:rPr>
              <m:sty m:val="p"/>
            </m:rPr>
            <m:t>.</m:t>
          </m:r>
        </m:oMath>
      </m:oMathPara>
    </w:p>
    <w:p w14:paraId="365ED83F">
      <w:r>
        <w:rPr>
          <w:rFonts w:ascii="Times New Roman" w:hAnsi="Times New Roman" w:eastAsia="宋体" w:cs="Times New Roman"/>
          <w:sz w:val="22"/>
        </w:rPr>
        <w:t>unknown尚未获得可信标签，不能直接进入注册集合；只有获得合法标签和support后，才能成为已注册新类。</w:t>
      </w:r>
    </w:p>
    <w:p w14:paraId="1A9932D9">
      <w:pPr>
        <w:pStyle w:val="4"/>
        <w:keepNext/>
      </w:pPr>
      <w:r>
        <w:rPr>
          <w:rFonts w:ascii="Times New Roman" w:hAnsi="Times New Roman" w:eastAsia="宋体" w:cs="Times New Roman"/>
        </w:rPr>
        <w:t>1.5与CVS-RFFI Phase2阶段的对应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4"/>
        <w:gridCol w:w="720"/>
        <w:gridCol w:w="810"/>
        <w:gridCol w:w="1860"/>
        <w:gridCol w:w="3810"/>
        <w:gridCol w:w="1526"/>
      </w:tblGrid>
      <w:tr w14:paraId="29A247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7A9173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阶段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1429C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域是否变化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0FAE1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类别是否增加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93C36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可用target标签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278CF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准确任务定位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73F4C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sz w:val="18"/>
              </w:rPr>
              <w:t>冻结后query范围</w:t>
            </w:r>
          </w:p>
        </w:tc>
      </w:tr>
      <w:tr w14:paraId="6FAFBD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E616B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C00000"/>
                <w:sz w:val="18"/>
              </w:rPr>
              <w:t>Stage2-A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84C59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是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AB794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否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941B3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无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BCEB2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zero-label transfer/reference；仅在实际使用无标签target更新时才属于UDA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4468A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旧类target query</w:t>
            </w:r>
          </w:p>
        </w:tc>
      </w:tr>
      <w:tr w14:paraId="1540F2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DEAEDB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C00000"/>
                <w:sz w:val="18"/>
              </w:rPr>
              <w:t>Stage2-B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E1025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是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5024B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否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FFB85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旧类K-shot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A83305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少样本监督域适应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EB83A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旧类target query</w:t>
            </w:r>
          </w:p>
        </w:tc>
      </w:tr>
      <w:tr w14:paraId="6E4BA6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492FF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C00000"/>
                <w:sz w:val="18"/>
              </w:rPr>
              <w:t>Stage2-C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697D5E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是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A3FC38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是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42640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旧类与新类均为K-shot target support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8BBC5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跨域单步FSCIL/新类注册；连续多session时为完整FSCIL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9913A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旧类＋已注册新类统一query</w:t>
            </w:r>
          </w:p>
        </w:tc>
      </w:tr>
    </w:tbl>
    <w:p w14:paraId="2D7736A1">
      <w:pPr>
        <w:pStyle w:val="4"/>
        <w:keepNext/>
      </w:pPr>
      <w:r>
        <w:rPr>
          <w:rFonts w:ascii="Times New Roman" w:hAnsi="Times New Roman" w:eastAsia="宋体" w:cs="Times New Roman"/>
        </w:rPr>
        <w:t>1.6样本角色与成功条件</w:t>
      </w:r>
    </w:p>
    <w:p w14:paraId="7347AAD2">
      <w:pPr>
        <w:numPr>
          <w:ilvl w:val="0"/>
          <w:numId w:val="7"/>
        </w:numPr>
      </w:pPr>
      <w:r>
        <w:rPr>
          <w:rFonts w:ascii="Times New Roman" w:hAnsi="Times New Roman" w:eastAsia="宋体" w:cs="Times New Roman"/>
          <w:b/>
          <w:bCs/>
          <w:sz w:val="22"/>
        </w:rPr>
        <w:t>旧类</w:t>
      </w:r>
      <m:oMath>
        <m:sSub>
          <m:sSubPr/>
          <m:e>
            <m:r>
              <m:rPr>
                <m:sty m:val="p"/>
                <m:scr m:val="script"/>
              </m:rPr>
              <m:t>Y</m:t>
            </m:r>
          </m:e>
          <m:sub>
            <m:r>
              <m:rPr>
                <m:sty m:val="p"/>
              </m:rPr>
              <m:t>old</m:t>
            </m:r>
          </m:sub>
        </m:sSub>
      </m:oMath>
      <w:r>
        <w:rPr>
          <w:rFonts w:ascii="Times New Roman" w:hAnsi="Times New Roman" w:eastAsia="宋体" w:cs="Times New Roman"/>
          <w:b/>
          <w:bCs/>
          <w:sz w:val="22"/>
        </w:rPr>
        <w:t>：</w:t>
      </w:r>
      <w:r>
        <w:rPr>
          <w:rFonts w:ascii="Times New Roman" w:hAnsi="Times New Roman" w:eastAsia="宋体" w:cs="Times New Roman"/>
          <w:sz w:val="22"/>
        </w:rPr>
        <w:t xml:space="preserve"> Phase1已经见过的发射机；更换receiver不改变其身份。</w:t>
      </w:r>
    </w:p>
    <w:p w14:paraId="428553DC">
      <w:pPr>
        <w:numPr>
          <w:ilvl w:val="0"/>
          <w:numId w:val="7"/>
        </w:numPr>
      </w:pPr>
      <w:r>
        <w:rPr>
          <w:rFonts w:ascii="Times New Roman" w:hAnsi="Times New Roman" w:eastAsia="宋体" w:cs="Times New Roman"/>
          <w:b/>
          <w:bCs/>
          <w:sz w:val="22"/>
        </w:rPr>
        <w:t>新类</w:t>
      </w:r>
      <m:oMath>
        <m:sSubSup>
          <m:sSubSupPr/>
          <m:e>
            <m:r>
              <m:rPr>
                <m:sty m:val="p"/>
                <m:scr m:val="script"/>
              </m:rPr>
              <m:t>Y</m:t>
            </m:r>
          </m:e>
          <m:sub>
            <m:r>
              <m:rPr/>
              <m:t>t</m:t>
            </m:r>
          </m:sub>
          <m:sup>
            <m:r>
              <m:rPr>
                <m:sty m:val="p"/>
              </m:rPr>
              <m:t>new</m:t>
            </m:r>
          </m:sup>
        </m:sSubSup>
      </m:oMath>
      <w:r>
        <w:rPr>
          <w:rFonts w:ascii="Times New Roman" w:hAnsi="Times New Roman" w:eastAsia="宋体" w:cs="Times New Roman"/>
          <w:b/>
          <w:bCs/>
          <w:sz w:val="22"/>
        </w:rPr>
        <w:t>：</w:t>
      </w:r>
      <w:r>
        <w:rPr>
          <w:rFonts w:ascii="Times New Roman" w:hAnsi="Times New Roman" w:eastAsia="宋体" w:cs="Times New Roman"/>
          <w:sz w:val="22"/>
        </w:rPr>
        <w:t xml:space="preserve"> Phase1未见、在Stage2-C通过合法support注册的发射机。</w:t>
      </w:r>
    </w:p>
    <w:p w14:paraId="2F81B49B">
      <w:pPr>
        <w:numPr>
          <w:ilvl w:val="0"/>
          <w:numId w:val="7"/>
        </w:numPr>
      </w:pPr>
      <w:r>
        <w:rPr>
          <w:rFonts w:ascii="Times New Roman" w:hAnsi="Times New Roman" w:eastAsia="宋体" w:cs="Times New Roman"/>
          <w:b/>
          <w:bCs/>
          <w:sz w:val="22"/>
        </w:rPr>
        <w:t>未注册unknown：</w:t>
      </w:r>
      <w:r>
        <w:rPr>
          <w:rFonts w:ascii="Times New Roman" w:hAnsi="Times New Roman" w:eastAsia="宋体" w:cs="Times New Roman"/>
          <w:sz w:val="22"/>
        </w:rPr>
        <w:t xml:space="preserve"> 尚未获得可信标签或尚未加入已注册类别集合的发射机。</w:t>
      </w:r>
    </w:p>
    <w:p w14:paraId="4C7D04B6">
      <w:pPr>
        <w:numPr>
          <w:ilvl w:val="0"/>
          <w:numId w:val="7"/>
        </w:numPr>
      </w:pPr>
      <w:r>
        <w:rPr>
          <w:rFonts w:ascii="Times New Roman" w:hAnsi="Times New Roman" w:eastAsia="宋体" w:cs="Times New Roman"/>
          <w:b/>
          <w:bCs/>
          <w:sz w:val="22"/>
        </w:rPr>
        <w:t>support：</w:t>
      </w:r>
      <w:r>
        <w:rPr>
          <w:rFonts w:ascii="Times New Roman" w:hAnsi="Times New Roman" w:eastAsia="宋体" w:cs="Times New Roman"/>
          <w:sz w:val="22"/>
        </w:rPr>
        <w:t xml:space="preserve"> 唯一允许参与适应、注册和状态更新的带标签样本。</w:t>
      </w:r>
    </w:p>
    <w:p w14:paraId="11DA6263">
      <w:pPr>
        <w:numPr>
          <w:ilvl w:val="0"/>
          <w:numId w:val="7"/>
        </w:numPr>
      </w:pPr>
      <w:r>
        <w:rPr>
          <w:rFonts w:ascii="Times New Roman" w:hAnsi="Times New Roman" w:eastAsia="宋体" w:cs="Times New Roman"/>
          <w:b/>
          <w:bCs/>
          <w:sz w:val="22"/>
        </w:rPr>
        <w:t>query：</w:t>
      </w:r>
      <w:r>
        <w:rPr>
          <w:rFonts w:ascii="Times New Roman" w:hAnsi="Times New Roman" w:eastAsia="宋体" w:cs="Times New Roman"/>
          <w:sz w:val="22"/>
        </w:rPr>
        <w:t xml:space="preserve"> 模型冻结后用于评价的独立样本，不得影响predictor。</w:t>
      </w:r>
    </w:p>
    <w:p w14:paraId="56663E75">
      <w:pPr>
        <w:numPr>
          <w:ilvl w:val="0"/>
          <w:numId w:val="7"/>
        </w:numPr>
      </w:pPr>
      <w:r>
        <w:rPr>
          <w:rFonts w:ascii="Times New Roman" w:hAnsi="Times New Roman" w:eastAsia="宋体" w:cs="Times New Roman"/>
          <w:b/>
          <w:bCs/>
          <w:sz w:val="22"/>
        </w:rPr>
        <w:t>K-shot：</w:t>
      </w:r>
      <w:r>
        <w:rPr>
          <w:rFonts w:ascii="Times New Roman" w:hAnsi="Times New Roman" w:eastAsia="宋体" w:cs="Times New Roman"/>
          <w:sz w:val="22"/>
        </w:rPr>
        <w:t xml:space="preserve"> 每类K个互不重复的物理接收观测。</w:t>
      </w:r>
    </w:p>
    <w:p w14:paraId="7735C441">
      <w:pPr>
        <w:pStyle w:val="3"/>
        <w:keepNext/>
        <w:pageBreakBefore w:val="0"/>
      </w:pPr>
      <w:bookmarkStart w:id="0" w:name="Xa4b16eab3645cd06e297e8c59920ba7f89a3828"/>
      <w:r>
        <w:rPr>
          <w:rFonts w:ascii="Times New Roman" w:hAnsi="Times New Roman" w:eastAsia="宋体" w:cs="Times New Roman"/>
          <w:sz w:val="32"/>
        </w:rPr>
        <w:t>2.数据、权限与评价框架</w:t>
      </w:r>
    </w:p>
    <w:p w14:paraId="4972DEE3">
      <w:pPr>
        <w:pStyle w:val="4"/>
        <w:keepNext/>
      </w:pPr>
      <w:bookmarkStart w:id="1" w:name="X8fa98ef5c1a5d93584cb015cb15574040e70ae8"/>
      <w:r>
        <w:rPr>
          <w:rFonts w:ascii="Times New Roman" w:hAnsi="Times New Roman" w:eastAsia="宋体" w:cs="Times New Roman"/>
          <w:sz w:val="26"/>
        </w:rPr>
        <w:t>2.1从Phase1训练到Phase2部署</w:t>
      </w:r>
    </w:p>
    <w:p w14:paraId="15429BFD">
      <w:r>
        <w:rPr>
          <w:rFonts w:ascii="Times New Roman" w:hAnsi="Times New Roman" w:eastAsia="宋体" w:cs="Times New Roman"/>
          <w:sz w:val="22"/>
        </w:rPr>
        <w:t>两轮实验统一使用ADV3B02</w:t>
      </w:r>
      <w:r>
        <w:rPr>
          <w:rFonts w:ascii="Times New Roman" w:hAnsi="Times New Roman" w:cs="Times New Roman" w:eastAsia="宋体"/>
        </w:rPr>
        <w:t>（</w:t>
      </w:r>
      <w:r>
        <w:rPr>
          <w:rFonts w:ascii="Times New Roman" w:hAnsi="Times New Roman" w:eastAsia="宋体" w:cs="Times New Roman"/>
          <w:b w:val="0"/>
        </w:rPr>
        <w:t>ADV3B02是本项目Phase1地面域泛化基座的实验版本标识，不是通用算法缩写；checkpoint是训练后冻结的模型参数快照，deployment bundle是与checkpoint共同封存、可供Phase2只读使用的部署状态。backbone指把接收IQ映射为身份特征的主干网络，adapter是附加的小型可训练适配模块，prototype是某一发射机类别的特征中心</w:t>
      </w:r>
      <w:r>
        <w:rPr>
          <w:rFonts w:ascii="Times New Roman" w:hAnsi="Times New Roman" w:cs="Times New Roman" w:eastAsia="宋体"/>
        </w:rPr>
        <w:t>）</w:t>
      </w:r>
      <w:r>
        <w:rPr>
          <w:rFonts w:ascii="Times New Roman" w:hAnsi="Times New Roman" w:eastAsia="宋体" w:cs="Times New Roman"/>
          <w:sz w:val="22"/>
        </w:rPr>
        <w:t>地面域泛化checkpoint，避免backbone差异干扰方法比较。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34"/>
        <w:gridCol w:w="3232"/>
        <w:gridCol w:w="3290"/>
        <w:gridCol w:w="1784"/>
      </w:tblGrid>
      <w:tr w14:paraId="29FDF7C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E878D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环节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0A953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可用数据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3BD4C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允许更新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338CA4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输出</w:t>
            </w:r>
          </w:p>
        </w:tc>
      </w:tr>
      <w:tr w14:paraId="02D614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9D2AF8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Phase1地面训练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AB75E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source数据及物理启发的LEO增强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2F759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身份backbone与训练状态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D37FD6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不可变deployment bundle</w:t>
            </w:r>
          </w:p>
        </w:tc>
      </w:tr>
      <w:tr w14:paraId="3FF08E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0D66D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Phase2适应/注册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8A5FF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bundle、固定LEO target IQ、当前row的support标签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CFAB36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由方法声明的prototype、分类头、adapter或backbone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E9BED2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冻结后的目标域预测器</w:t>
            </w:r>
          </w:p>
        </w:tc>
      </w:tr>
      <w:tr w14:paraId="5123DD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02EA0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独立评分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0D16A5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prediction artifact与query真值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F6E48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不得回流到predictor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08BC6B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同一row评价指标</w:t>
            </w:r>
          </w:p>
        </w:tc>
      </w:tr>
      <w:bookmarkEnd w:id="1"/>
    </w:tbl>
    <w:p w14:paraId="560F91F1">
      <w:pPr>
        <w:pStyle w:val="4"/>
        <w:keepNext/>
      </w:pPr>
      <w:r>
        <w:rPr>
          <w:rFonts w:ascii="Times New Roman" w:hAnsi="Times New Roman" w:eastAsia="宋体" w:cs="Times New Roman"/>
        </w:rPr>
        <w:t>2.2实验矩阵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3"/>
        <w:gridCol w:w="3014"/>
        <w:gridCol w:w="2503"/>
        <w:gridCol w:w="1671"/>
        <w:gridCol w:w="1729"/>
      </w:tblGrid>
      <w:tr w14:paraId="24E6F0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766238F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工作包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3DA8C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基座与数据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030899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target设置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6383F9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实验规模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AA966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输出</w:t>
            </w:r>
          </w:p>
        </w:tc>
      </w:tr>
      <w:tr w14:paraId="31D5A5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86647A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旧类域适应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9DC9A8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ADV3B02＋target-old support/query；MRIOR/DADDA另读source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07C56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5个target receiver；</w:t>
            </w:r>
            <m:oMath>
              <m:r>
                <m:rPr/>
                <m:t>K</m:t>
              </m:r>
              <m:r>
                <m:rPr>
                  <m:sty m:val="p"/>
                </m:rPr>
                <m:t>∈{</m:t>
              </m:r>
              <m:r>
                <m:rPr/>
                <m:t>1</m:t>
              </m:r>
              <m:r>
                <m:rPr>
                  <m:sty m:val="p"/>
                </m:rPr>
                <m:t>,</m:t>
              </m:r>
              <m:r>
                <m:rPr/>
                <m:t>2</m:t>
              </m:r>
              <m:r>
                <m:rPr>
                  <m:sty m:val="p"/>
                </m:rPr>
                <m:t>,</m:t>
              </m:r>
              <m:r>
                <m:rPr/>
                <m:t>5</m:t>
              </m:r>
              <m:r>
                <m:rPr>
                  <m:sty m:val="p"/>
                </m:rPr>
                <m:t>,</m:t>
              </m:r>
              <m:r>
                <m:rPr/>
                <m:t>10</m:t>
              </m:r>
              <m:r>
                <m:rPr>
                  <m:sty m:val="p"/>
                </m:rPr>
                <m:t>,</m:t>
              </m:r>
              <m:r>
                <m:rPr/>
                <m:t>20</m:t>
              </m:r>
              <m:r>
                <m:rPr>
                  <m:sty m:val="p"/>
                </m:rPr>
                <m:t>}</m:t>
              </m:r>
            </m:oMath>
            <w:r>
              <w:rPr>
                <w:rFonts w:ascii="Times New Roman" w:hAnsi="Times New Roman" w:eastAsia="宋体" w:cs="Times New Roman"/>
                <w:sz w:val="18"/>
              </w:rPr>
              <w:t>；5个seed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40AA9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5×5×5×3=375个方法任务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F1BEBFD">
            <w:pPr>
              <w:spacing w:before="0" w:after="0" w:line="240" w:lineRule="auto"/>
              <w:jc w:val="left"/>
            </w:pPr>
            <m:oMath>
              <m:sSubSup>
                <m:sSubSupPr/>
                <m:e>
                  <m:r>
                    <m:rPr/>
                    <m:t>A</m:t>
                  </m:r>
                </m:e>
                <m:sub>
                  <m:r>
                    <m:rPr/>
                    <m:t>old</m:t>
                  </m:r>
                </m:sub>
                <m:sup>
                  <m:r>
                    <m:rPr/>
                    <m:t>DA0_REG0</m:t>
                  </m:r>
                  <m:r>
                    <m:rPr>
                      <m:sty m:val="p"/>
                    </m:rPr>
                    <m:t>/</m:t>
                  </m:r>
                  <m:r>
                    <m:rPr/>
                    <m:t>DA1_REG0</m:t>
                  </m:r>
                </m:sup>
              </m:sSubSup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sSub>
                <m:sSubPr/>
                <m:e>
                  <m:r>
                    <m:rPr/>
                    <m:t>G</m:t>
                  </m:r>
                </m:e>
                <m:sub>
                  <m:r>
                    <m:rPr/>
                    <m:t>old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18"/>
              </w:rPr>
              <w:t>、正/负迁移、时延</w:t>
            </w:r>
          </w:p>
        </w:tc>
      </w:tr>
      <w:tr w14:paraId="5AADF4F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A24D0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新类注册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FF969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ADV3B02接口＋Phase2前base状态＋target-new support；old/new query只评分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882401">
            <w:pPr>
              <w:spacing w:before="0" w:after="0"/>
            </w:pPr>
            <w:r>
              <w:rPr>
                <w:rFonts w:ascii="Times New Roman" w:hAnsi="Times New Roman" w:eastAsia="宋体" w:cs="Times New Roman"/>
                <w:sz w:val="18"/>
              </w:rPr>
              <w:t>K∈{5,10,20}；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14080F2">
            <w:pPr>
              <w:spacing w:before="0" w:after="0"/>
            </w:pPr>
            <w:r>
              <w:rPr>
                <w:rFonts w:ascii="Times New Roman" w:hAnsi="Times New Roman" w:eastAsia="宋体" w:cs="Times New Roman"/>
                <w:sz w:val="18"/>
              </w:rPr>
              <w:t>24个正式LEO逐配置结果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DF02DA8">
            <w:pPr>
              <w:spacing w:before="0" w:after="0" w:line="240" w:lineRule="auto"/>
              <w:jc w:val="left"/>
            </w:pPr>
            <m:oMath>
              <m:sSubSup>
                <m:sSubSupPr/>
                <m:e>
                  <m:r>
                    <m:rPr/>
                    <m:t>A</m:t>
                  </m:r>
                </m:e>
                <m:sub>
                  <m:r>
                    <m:rPr/>
                    <m:t>old</m:t>
                  </m:r>
                </m:sub>
                <m:sup>
                  <m:r>
                    <m:rPr/>
                    <m:t>DA1_REG0</m:t>
                  </m:r>
                  <m:r>
                    <m:rPr>
                      <m:sty m:val="p"/>
                    </m:rPr>
                    <m:t>/</m:t>
                  </m:r>
                  <m:r>
                    <m:rPr/>
                    <m:t>DA1_REG1</m:t>
                  </m:r>
                </m:sup>
              </m:sSubSup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new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sSub>
                <m:sSubPr/>
                <m:e>
                  <m:r>
                    <m:rPr/>
                    <m:t>H</m:t>
                  </m:r>
                </m:e>
                <m:sub>
                  <m:r>
                    <m:rPr/>
                    <m:t>old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new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sSub>
                <m:sSubPr/>
                <m:e>
                  <m:r>
                    <m:rPr/>
                    <m:t>F</m:t>
                  </m:r>
                </m:e>
                <m:sub>
                  <m:r>
                    <m:rPr/>
                    <m:t>old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>
                      <m:sty m:val="p"/>
                    </m:rPr>
                    <m:t>min,</m:t>
                  </m:r>
                  <m:r>
                    <m:rPr/>
                    <m:t>old</m:t>
                  </m:r>
                </m:sub>
              </m:sSub>
            </m:oMath>
          </w:p>
        </w:tc>
      </w:tr>
      <w:tr w14:paraId="65464F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E7097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信道归因诊断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1EDA87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保持方法、物理ID、split、K、seed和旧类条件一致，仅替换新类IQ为无LEO版本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4A03BE">
            <w:pPr>
              <w:spacing w:before="0" w:after="0"/>
            </w:pPr>
            <w:r>
              <w:rPr>
                <w:rFonts w:ascii="Times New Roman" w:hAnsi="Times New Roman" w:eastAsia="宋体" w:cs="Times New Roman"/>
                <w:sz w:val="18"/>
              </w:rPr>
              <w:t>K∈{5,10,20}；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8AC95D">
            <w:pPr>
              <w:spacing w:before="0" w:after="0"/>
            </w:pPr>
            <w:r>
              <w:rPr>
                <w:rFonts w:ascii="Times New Roman" w:hAnsi="Times New Roman" w:eastAsia="宋体" w:cs="Times New Roman"/>
                <w:sz w:val="18"/>
              </w:rPr>
              <w:t>18个matched无LEO逐配置结果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7227D4F">
            <w:pPr>
              <w:spacing w:before="0" w:after="0" w:line="240" w:lineRule="auto"/>
              <w:jc w:val="left"/>
            </w:pPr>
            <m:oMath>
              <m:r>
                <m:rPr/>
                <m:t>Δ</m:t>
              </m:r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new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r>
                <m:rPr/>
                <m:t>Δ</m:t>
              </m:r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old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r>
                <m:rPr/>
                <m:t>ΔH</m:t>
              </m:r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r>
                <m:rPr/>
                <m:t>Δ</m:t>
              </m:r>
              <m:sSub>
                <m:sSubPr/>
                <m:e>
                  <m:r>
                    <m:rPr/>
                    <m:t>F</m:t>
                  </m:r>
                </m:e>
                <m:sub>
                  <m:r>
                    <m:rPr/>
                    <m:t>old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r>
                <m:rPr/>
                <m:t>Δ</m:t>
              </m:r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>
                      <m:sty m:val="p"/>
                    </m:rPr>
                    <m:t>min,</m:t>
                  </m:r>
                  <m:r>
                    <m:rPr/>
                    <m:t>old</m:t>
                  </m:r>
                </m:sub>
              </m:sSub>
            </m:oMath>
          </w:p>
        </w:tc>
      </w:tr>
    </w:tbl>
    <w:p w14:paraId="3340DDFA">
      <w:pPr>
        <w:pStyle w:val="4"/>
        <w:keepNext/>
      </w:pPr>
      <w:r>
        <w:rPr>
          <w:rFonts w:ascii="Times New Roman" w:hAnsi="Times New Roman" w:eastAsia="宋体" w:cs="Times New Roman"/>
        </w:rPr>
        <w:t>2.3评价指标</w:t>
      </w:r>
    </w:p>
    <w:p w14:paraId="69A70F37">
      <w:r>
        <w:rPr>
          <w:rFonts w:ascii="Times New Roman" w:hAnsi="Times New Roman" w:eastAsia="宋体" w:cs="Times New Roman"/>
          <w:sz w:val="22"/>
        </w:rPr>
        <w:t>记</w:t>
      </w:r>
      <m:oMath>
        <m:sSub>
          <m:sSubPr/>
          <m:e>
            <m:r>
              <m:rPr/>
              <m:t>Q</m:t>
            </m:r>
          </m:e>
          <m:sub>
            <m:r>
              <m:rPr/>
              <m:t>old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和</w:t>
      </w:r>
      <m:oMath>
        <m:sSub>
          <m:sSubPr/>
          <m:e>
            <m:r>
              <m:rPr/>
              <m:t>Q</m:t>
            </m:r>
          </m:e>
          <m:sub>
            <m:r>
              <m:rPr/>
              <m:t>new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分别为旧类、新类query集合，</w:t>
      </w:r>
      <m:oMath>
        <m:sSub>
          <m:sSubPr/>
          <m:e>
            <m:r>
              <m:rPr/>
              <m:t>Q</m:t>
            </m:r>
          </m:e>
          <m:sub>
            <m:r>
              <m:rPr/>
              <m:t>c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为旧类</w:t>
      </w:r>
      <m:oMath>
        <m:r>
          <m:rPr/>
          <m:t>c</m:t>
        </m:r>
      </m:oMath>
      <w:r>
        <w:rPr>
          <w:rFonts w:ascii="Times New Roman" w:hAnsi="Times New Roman" w:eastAsia="宋体" w:cs="Times New Roman"/>
          <w:sz w:val="22"/>
        </w:rPr>
        <w:t>的query集合；</w:t>
      </w:r>
      <m:oMath>
        <m:sSub>
          <m:sSubPr/>
          <m:e>
            <m:r>
              <m:rPr/>
              <m:t>y</m:t>
            </m:r>
          </m:e>
          <m:sub>
            <m:r>
              <m:rPr/>
              <m:t>i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是真值，</w:t>
      </w:r>
      <m:oMath>
        <m:sSubSup>
          <m:sSubSupPr/>
          <m:e>
            <m:acc>
              <m:accPr/>
              <m:e>
                <m:r>
                  <m:rPr/>
                  <m:t>y</m:t>
                </m:r>
              </m:e>
            </m:acc>
          </m:e>
          <m:sub>
            <m:r>
              <m:rPr/>
              <m:t>i</m:t>
            </m:r>
          </m:sub>
          <m:sup>
            <m:d>
              <m:dPr>
                <m:sepChr m:val=""/>
              </m:dPr>
              <m:e>
                <m:r>
                  <m:rPr/>
                  <m:t>DA0_REG0</m:t>
                </m:r>
              </m:e>
            </m:d>
          </m:sup>
        </m:sSubSup>
      </m:oMath>
      <w:r>
        <w:rPr>
          <w:rFonts w:ascii="Times New Roman" w:hAnsi="Times New Roman" w:eastAsia="宋体" w:cs="Times New Roman"/>
          <w:sz w:val="22"/>
        </w:rPr>
        <w:t>和</w:t>
      </w:r>
      <m:oMath>
        <m:sSubSup>
          <m:sSubSupPr/>
          <m:e>
            <m:acc>
              <m:accPr/>
              <m:e>
                <m:r>
                  <m:rPr/>
                  <m:t>y</m:t>
                </m:r>
              </m:e>
            </m:acc>
          </m:e>
          <m:sub>
            <m:r>
              <m:rPr/>
              <m:t>i</m:t>
            </m:r>
          </m:sub>
          <m:sup>
            <m:d>
              <m:dPr>
                <m:sepChr m:val=""/>
              </m:dPr>
              <m:e>
                <m:r>
                  <m:rPr/>
                  <m:t>DA1_REG0</m:t>
                </m:r>
              </m:e>
            </m:d>
          </m:sup>
        </m:sSubSup>
      </m:oMath>
      <w:r>
        <w:rPr>
          <w:rFonts w:ascii="Times New Roman" w:hAnsi="Times New Roman" w:eastAsia="宋体" w:cs="Times New Roman"/>
          <w:sz w:val="22"/>
        </w:rPr>
        <w:t>分别表示Stage2-B域适应前后的预测，</w:t>
      </w:r>
      <m:oMath>
        <m:r>
          <m:rPr>
            <m:sty m:val="p"/>
            <m:scr m:val="double-struck"/>
          </m:rPr>
          <m:t>I</m:t>
        </m:r>
        <m:r>
          <m:rPr>
            <m:sty m:val="p"/>
          </m:rPr>
          <m:t>[⋅]</m:t>
        </m:r>
      </m:oMath>
      <w:r>
        <w:rPr>
          <w:rFonts w:ascii="Times New Roman" w:hAnsi="Times New Roman" w:eastAsia="宋体" w:cs="Times New Roman"/>
          <w:sz w:val="22"/>
        </w:rPr>
        <w:t>为指示函数。为同时保证数学表达和实验字段可追溯，本文采用</w:t>
      </w:r>
      <m:oMath>
        <m:sSubSup>
          <m:sSubSupPr/>
          <m:e>
            <m:r>
              <m:rPr/>
              <m:t>A</m:t>
            </m:r>
          </m:e>
          <m:sub>
            <m:r>
              <m:rPr/>
              <m:t>old</m:t>
            </m:r>
          </m:sub>
          <m:sup>
            <m:r>
              <m:rPr/>
              <m:t>DA0_REG0</m:t>
            </m:r>
          </m:sup>
        </m:sSubSup>
      </m:oMath>
      <w:r>
        <w:rPr>
          <w:rFonts w:ascii="Times New Roman" w:hAnsi="Times New Roman" w:eastAsia="宋体" w:cs="Times New Roman"/>
          <w:sz w:val="22"/>
        </w:rPr>
        <w:t>、</w:t>
      </w:r>
      <m:oMath>
        <m:sSubSup>
          <m:sSubSupPr/>
          <m:e>
            <m:r>
              <m:rPr/>
              <m:t>A</m:t>
            </m:r>
          </m:e>
          <m:sub>
            <m:r>
              <m:rPr/>
              <m:t>old</m:t>
            </m:r>
          </m:sub>
          <m:sup>
            <m:r>
              <m:rPr/>
              <m:t>DA1_REG0</m:t>
            </m:r>
          </m:sup>
        </m:sSubSup>
      </m:oMath>
      <w:r>
        <w:rPr>
          <w:rFonts w:ascii="Times New Roman" w:hAnsi="Times New Roman" w:eastAsia="宋体" w:cs="Times New Roman"/>
          <w:sz w:val="22"/>
        </w:rPr>
        <w:t>、</w:t>
      </w:r>
      <m:oMath>
        <m:sSub>
          <m:sSubPr/>
          <m:e>
            <m:r>
              <m:rPr/>
              <m:t>A</m:t>
            </m:r>
          </m:e>
          <m:sub>
            <m:r>
              <m:rPr/>
              <m:t>new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、</w:t>
      </w:r>
      <m:oMath>
        <m:sSub>
          <m:sSubPr/>
          <m:e>
            <m:r>
              <m:rPr/>
              <m:t>H</m:t>
            </m:r>
          </m:e>
          <m:sub>
            <m:r>
              <m:rPr/>
              <m:t>old</m:t>
            </m:r>
            <m:r>
              <m:rPr>
                <m:sty m:val="p"/>
              </m:rPr>
              <m:t>,</m:t>
            </m:r>
            <m:r>
              <m:rPr/>
              <m:t>new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、</w:t>
      </w:r>
      <m:oMath>
        <m:sSub>
          <m:sSubPr/>
          <m:e>
            <m:r>
              <m:rPr/>
              <m:t>F</m:t>
            </m:r>
          </m:e>
          <m:sub>
            <m:r>
              <m:rPr/>
              <m:t>old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和</w:t>
      </w:r>
      <m:oMath>
        <m:sSub>
          <m:sSubPr/>
          <m:e>
            <m:r>
              <m:rPr/>
              <m:t>A</m:t>
            </m:r>
          </m:e>
          <m:sub>
            <m:r>
              <m:rPr>
                <m:sty m:val="p"/>
              </m:rPr>
              <m:t>min,</m:t>
            </m:r>
            <m:r>
              <m:rPr/>
              <m:t>old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，分别对应结果字段old_acc_before、old_acc_after、seen_new_acc、H_old_new、forgetting和min_old。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Sup>
          <m:e>
            <m:r>
              <m:t>A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  <m:sup>
            <m:r>
              <m:t>DA0_REG0</m:t>
            </m:r>
            <m:r>
              <m:t/>
            </m:r>
            <m:r>
              <m:t/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Sup>
          <m:e>
            <m:r>
              <m:t>A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  <m:sup>
            <m:r>
              <m:t>DA1_REG0</m:t>
            </m:r>
            <m:r>
              <m:t/>
            </m:r>
            <m:r>
              <m:t/>
            </m:r>
            <m:r>
              <m:t/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分别是DA0_REG0与DA1_REG0状态的旧类准确率；</w:t>
      </w:r>
      <m:oMath xmlns:a="http://schemas.openxmlformats.org/drawingml/2006/main" xmlns:pic="http://schemas.openxmlformats.org/drawingml/2006/picture">
        <m:sSub>
          <m:e>
            <m:r>
              <m:t>G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是旧类适配收益；</w:t>
      </w:r>
      <m:oMath xmlns:a="http://schemas.openxmlformats.org/drawingml/2006/main" xmlns:pic="http://schemas.openxmlformats.org/drawingml/2006/picture">
        <m:sSub>
          <m:e>
            <m:r>
              <m:t>A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是已注册新类准确率；</w:t>
      </w:r>
      <m:oMath xmlns:a="http://schemas.openxmlformats.org/drawingml/2006/main" xmlns:pic="http://schemas.openxmlformats.org/drawingml/2006/picture">
        <m:sSub>
          <m:e>
            <m:r>
              <m:t>H</m:t>
            </m:r>
          </m:e>
          <m:sub>
            <m:r>
              <m:t>o</m:t>
            </m:r>
            <m:r>
              <m:t>l</m:t>
            </m:r>
            <m:r>
              <m:t>d</m:t>
            </m:r>
            <m:r>
              <m:rPr>
                <m:sty m:val="p"/>
              </m:rPr>
              <m:t>,</m:t>
            </m:r>
            <m:r>
              <m:t>n</m:t>
            </m:r>
            <m:r>
              <m:t>e</m:t>
            </m:r>
            <m:r>
              <m:t>w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是旧类与新类准确率的调和均值；</w:t>
      </w:r>
      <m:oMath xmlns:a="http://schemas.openxmlformats.org/drawingml/2006/main" xmlns:pic="http://schemas.openxmlformats.org/drawingml/2006/picture">
        <m:sSub>
          <m:e>
            <m:r>
              <m:t>F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是旧类遗忘量；</w:t>
      </w:r>
      <m:oMath xmlns:a="http://schemas.openxmlformats.org/drawingml/2006/main" xmlns:pic="http://schemas.openxmlformats.org/drawingml/2006/picture">
        <m:sSub>
          <m:e>
            <m:r>
              <m:t>A</m:t>
            </m:r>
          </m:e>
          <m:sub>
            <m:r>
              <m:t>m</m:t>
            </m:r>
            <m:r>
              <m:t>i</m:t>
            </m:r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是所有旧发射机中最低的单类准确率。</w:t>
      </w:r>
      <m:oMath xmlns:a="http://schemas.openxmlformats.org/drawingml/2006/main" xmlns:pic="http://schemas.openxmlformats.org/drawingml/2006/picture">
        <m:r>
          <m:t>Δ</m:t>
        </m:r>
      </m:oMath>
      <w:r>
        <w:rPr>
          <w:rFonts w:ascii="Times New Roman" w:hAnsi="Times New Roman" w:eastAsia="宋体" w:cs="Times New Roman"/>
          <w:b w:val="0"/>
        </w:rPr>
        <w:t>表示相对正式LEO结果的变化量；pp是percentage points，即百分点；s是second，即秒</w:t>
      </w:r>
      <w:r>
        <w:rPr>
          <w:rFonts w:ascii="Times New Roman" w:hAnsi="Times New Roman" w:cs="Times New Roman" w:eastAsia="宋体"/>
        </w:rPr>
        <w:t>）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>
          <m:e>
            <m:r>
              <m:t>Q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、</w:t>
      </w:r>
      <m:oMath xmlns:a="http://schemas.openxmlformats.org/drawingml/2006/main" xmlns:pic="http://schemas.openxmlformats.org/drawingml/2006/picture">
        <m:sSub>
          <m:e>
            <m:r>
              <m:t>Q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>
          <m:e>
            <m:r>
              <m:t>Q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分别是旧类query集、新类query集和旧类</w:t>
      </w:r>
      <m:oMath xmlns:a="http://schemas.openxmlformats.org/drawingml/2006/main" xmlns:pic="http://schemas.openxmlformats.org/drawingml/2006/picture">
        <m:r>
          <m:t>c</m:t>
        </m:r>
      </m:oMath>
      <w:r>
        <w:rPr>
          <w:rFonts w:ascii="Times New Roman" w:hAnsi="Times New Roman" w:eastAsia="宋体" w:cs="Times New Roman"/>
          <w:b w:val="0"/>
        </w:rPr>
        <w:t>的query子集；</w:t>
      </w:r>
      <m:oMath xmlns:a="http://schemas.openxmlformats.org/drawingml/2006/main" xmlns:pic="http://schemas.openxmlformats.org/drawingml/2006/picture">
        <m:r>
          <m:t>i</m:t>
        </m:r>
      </m:oMath>
      <w:r>
        <w:rPr>
          <w:rFonts w:ascii="Times New Roman" w:hAnsi="Times New Roman" w:eastAsia="宋体" w:cs="Times New Roman"/>
          <w:b w:val="0"/>
        </w:rPr>
        <w:t>是query样本索引。</w:t>
      </w:r>
      <m:oMath xmlns:a="http://schemas.openxmlformats.org/drawingml/2006/main" xmlns:pic="http://schemas.openxmlformats.org/drawingml/2006/picture"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是真值，</w:t>
      </w:r>
      <m:oMath xmlns:a="http://schemas.openxmlformats.org/drawingml/2006/main" xmlns:pic="http://schemas.openxmlformats.org/drawingml/2006/picture">
        <m:sSub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DA0_REG0</m:t>
                </m:r>
              </m:e>
            </m:d>
          </m:sup>
        </m:sSubSup>
      </m:oMath>
      <w:r>
        <w:rPr>
          <w:rFonts w:ascii="Times New Roman" w:hAnsi="Times New Roman" w:eastAsia="宋体" w:cs="Times New Roman"/>
          <w:b w:val="0"/>
        </w:rPr>
        <w:t>与</w:t>
      </w:r>
      <m:oMath xmlns:a="http://schemas.openxmlformats.org/drawingml/2006/main" xmlns:pic="http://schemas.openxmlformats.org/drawingml/2006/picture">
        <m:sSub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DA1_REG0</m:t>
                </m:r>
              </m:e>
            </m:d>
          </m:sup>
        </m:sSubSup>
      </m:oMath>
      <w:r>
        <w:rPr>
          <w:rFonts w:ascii="Times New Roman" w:hAnsi="Times New Roman" w:eastAsia="宋体" w:cs="Times New Roman"/>
          <w:b w:val="0"/>
        </w:rPr>
        <w:t>分别是DA0_REG0与DA1_REG0状态的预测。</w:t>
      </w:r>
      <m:oMath xmlns:a="http://schemas.openxmlformats.org/drawingml/2006/main" xmlns:pic="http://schemas.openxmlformats.org/drawingml/2006/picture">
        <m:r>
          <m:rPr>
            <m:sty m:val="p"/>
            <m:scr m:val="double-struck"/>
          </m:rPr>
          <m:t>I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rPr>
          <w:rFonts w:ascii="Times New Roman" w:hAnsi="Times New Roman" w:eastAsia="宋体" w:cs="Times New Roman"/>
          <w:b w:val="0"/>
        </w:rPr>
        <w:t>是指示函数：条件成立取1，否则取0；求和后除以query数即得到准确率。</w:t>
      </w:r>
      <m:oMath xmlns:a="http://schemas.openxmlformats.org/drawingml/2006/main" xmlns:pic="http://schemas.openxmlformats.org/drawingml/2006/picture">
        <m:r>
          <m:rPr>
            <m:sty m:val="p"/>
          </m:rPr>
          <m:t>min</m:t>
        </m:r>
      </m:oMath>
      <w:r>
        <w:rPr>
          <w:rFonts w:ascii="Times New Roman" w:hAnsi="Times New Roman" w:eastAsia="宋体" w:cs="Times New Roman"/>
          <w:b w:val="0"/>
        </w:rPr>
        <w:t>表示在旧类集合</w:t>
      </w:r>
      <m:oMath xmlns:a="http://schemas.openxmlformats.org/drawingml/2006/main" xmlns:pic="http://schemas.openxmlformats.org/drawingml/2006/picture">
        <m:sSub>
          <m:e>
            <m:r>
              <m:rPr>
                <m:scr m:val="script"/>
              </m:rPr>
              <m:t>Y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中取最低单类准确率</w:t>
      </w:r>
      <w:r>
        <w:rPr>
          <w:rFonts w:ascii="Times New Roman" w:hAnsi="Times New Roman" w:cs="Times New Roman" w:eastAsia="宋体"/>
        </w:rPr>
        <w:t>）</w:t>
      </w:r>
      <w:r>
        <w:rPr>
          <w:rFonts w:ascii="Times New Roman" w:hAnsi="Times New Roman" w:eastAsia="宋体" w:cs="Times New Roman"/>
        </w:rPr>
        <w:t xml:space="preserve"> 四个完整状态记为DA0_REG0（域适应前/注册前）、DA1_REG0（域适应后/注册前）、DA0_REG1（域适应前/注册后）和DA1_REG1（域适应后/注册后）。</w:t>
      </w:r>
    </w:p>
    <w:p w14:paraId="0C7737E3">
      <w:pPr>
        <w:pStyle w:val="5"/>
        <w:keepNext/>
      </w:pPr>
      <w:r>
        <w:rPr>
          <w:rFonts w:ascii="Times New Roman" w:hAnsi="Times New Roman" w:eastAsia="宋体" w:cs="Times New Roman"/>
        </w:rPr>
        <w:t>2.3.1旧类适应</w:t>
      </w:r>
    </w:p>
    <w:p w14:paraId="11805FA0">
      <w:r>
        <w:rPr>
          <w:rFonts w:ascii="Times New Roman" w:hAnsi="Times New Roman" w:eastAsia="宋体" w:cs="Times New Roman"/>
          <w:b/>
          <w:bCs/>
          <w:sz w:val="22"/>
        </w:rPr>
        <w:t>适应前旧类准确率：</w:t>
      </w:r>
    </w:p>
    <w:p w14:paraId="1D0ED348">
      <w:pPr>
        <w:pStyle w:val="19"/>
      </w:pPr>
      <m:oMathPara>
        <m:oMathParaPr>
          <m:jc m:val="center"/>
        </m:oMathParaPr>
        <m:oMath>
          <m:sSubSup>
            <m:sSubSupPr/>
            <m:e>
              <m:r>
                <m:rPr/>
                <m:t>A</m:t>
              </m:r>
            </m:e>
            <m:sub>
              <m:r>
                <m:rPr/>
                <m:t>old</m:t>
              </m:r>
            </m:sub>
            <m:sup>
              <m:r>
                <m:rPr/>
                <m:t>DA0_REG0</m:t>
              </m:r>
            </m:sup>
          </m:sSubSup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Q</m:t>
                      </m:r>
                    </m:e>
                    <m:sub>
                      <m:r>
                        <m:rPr/>
                        <m:t>old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/>
                    <m:t>old</m:t>
                  </m:r>
                </m:sub>
              </m:sSub>
            </m:sub>
            <m:sup>
              <m:r>
                <m:rPr/>
                <m:t>​</m:t>
              </m:r>
            </m:sup>
            <m:e>
              <m:r>
                <m:rPr>
                  <m:sty m:val="p"/>
                  <m:scr m:val="double-struck"/>
                </m:rPr>
                <m:t>I</m:t>
              </m:r>
            </m:e>
          </m:nary>
          <m:d>
            <m:dPr>
              <m:begChr m:val="["/>
              <m:sepChr m:val=""/>
              <m:endChr m:val="]"/>
            </m:dPr>
            <m:e>
              <m:sSubSup>
                <m:sSubSupPr/>
                <m:e>
                  <m:acc>
                    <m:accPr/>
                    <m:e>
                      <m:r>
                        <m:rPr/>
                        <m:t>y</m:t>
                      </m:r>
                    </m:e>
                  </m:acc>
                </m:e>
                <m:sub>
                  <m:r>
                    <m:rPr/>
                    <m:t>i</m:t>
                  </m:r>
                </m:sub>
                <m:sup>
                  <m:d>
                    <m:dPr>
                      <m:sepChr m:val=""/>
                    </m:dPr>
                    <m:e>
                      <m:r>
                        <m:rPr/>
                        <m:t>DA0_REG0</m:t>
                      </m:r>
                    </m:e>
                  </m:d>
                </m:sup>
              </m:sSubSup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y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</m:oMath>
      </m:oMathPara>
    </w:p>
    <w:p w14:paraId="04CB3C88">
      <w:r>
        <w:rPr>
          <w:rFonts w:ascii="Times New Roman" w:hAnsi="Times New Roman" w:eastAsia="宋体" w:cs="Times New Roman"/>
          <w:b/>
          <w:bCs/>
          <w:sz w:val="22"/>
        </w:rPr>
        <w:t>适应后旧类准确率：</w:t>
      </w:r>
    </w:p>
    <w:p w14:paraId="594E8899">
      <w:pPr>
        <w:pStyle w:val="19"/>
      </w:pPr>
      <m:oMathPara>
        <m:oMathParaPr>
          <m:jc m:val="center"/>
        </m:oMathParaPr>
        <m:oMath>
          <m:sSubSup>
            <m:sSubSupPr/>
            <m:e>
              <m:r>
                <m:rPr/>
                <m:t>A</m:t>
              </m:r>
            </m:e>
            <m:sub>
              <m:r>
                <m:rPr/>
                <m:t>old</m:t>
              </m:r>
            </m:sub>
            <m:sup>
              <m:r>
                <m:rPr/>
                <m:t>DA1_REG0</m:t>
              </m:r>
            </m:sup>
          </m:sSubSup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Q</m:t>
                      </m:r>
                    </m:e>
                    <m:sub>
                      <m:r>
                        <m:rPr/>
                        <m:t>old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/>
                    <m:t>old</m:t>
                  </m:r>
                </m:sub>
              </m:sSub>
            </m:sub>
            <m:sup>
              <m:r>
                <m:rPr/>
                <m:t>​</m:t>
              </m:r>
            </m:sup>
            <m:e>
              <m:r>
                <m:rPr>
                  <m:sty m:val="p"/>
                  <m:scr m:val="double-struck"/>
                </m:rPr>
                <m:t>I</m:t>
              </m:r>
            </m:e>
          </m:nary>
          <m:d>
            <m:dPr>
              <m:begChr m:val="["/>
              <m:sepChr m:val=""/>
              <m:endChr m:val="]"/>
            </m:dPr>
            <m:e>
              <m:sSubSup>
                <m:sSubSupPr/>
                <m:e>
                  <m:acc>
                    <m:accPr/>
                    <m:e>
                      <m:r>
                        <m:rPr/>
                        <m:t>y</m:t>
                      </m:r>
                    </m:e>
                  </m:acc>
                </m:e>
                <m:sub>
                  <m:r>
                    <m:rPr/>
                    <m:t>i</m:t>
                  </m:r>
                </m:sub>
                <m:sup>
                  <m:d>
                    <m:dPr>
                      <m:sepChr m:val=""/>
                    </m:dPr>
                    <m:e>
                      <m:r>
                        <m:rPr/>
                        <m:t>DA1_REG0</m:t>
                      </m:r>
                    </m:e>
                  </m:d>
                </m:sup>
              </m:sSubSup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y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</m:oMath>
      </m:oMathPara>
    </w:p>
    <w:p w14:paraId="510FF1DD">
      <w:r>
        <w:rPr>
          <w:rFonts w:ascii="Times New Roman" w:hAnsi="Times New Roman" w:eastAsia="宋体" w:cs="Times New Roman"/>
          <w:b/>
          <w:bCs/>
          <w:sz w:val="22"/>
        </w:rPr>
        <w:t>适应收益：</w:t>
      </w:r>
    </w:p>
    <w:p w14:paraId="1C85C32E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/>
                <m:t>G</m:t>
              </m:r>
            </m:e>
            <m:sub>
              <m:r>
                <m:rPr/>
                <m:t>old</m:t>
              </m:r>
            </m:sub>
          </m:sSub>
          <m:r>
            <m:rPr>
              <m:sty m:val="p"/>
            </m:rPr>
            <m:t>=</m:t>
          </m:r>
          <m:sSubSup>
            <m:sSubSupPr/>
            <m:e>
              <m:r>
                <m:rPr/>
                <m:t>A</m:t>
              </m:r>
            </m:e>
            <m:sub>
              <m:r>
                <m:rPr/>
                <m:t>old</m:t>
              </m:r>
            </m:sub>
            <m:sup>
              <m:r>
                <m:rPr/>
                <m:t>DA1_REG0</m:t>
              </m:r>
            </m:sup>
          </m:sSubSup>
          <m:r>
            <m:rPr>
              <m:sty m:val="p"/>
            </m:rPr>
            <m:t>−</m:t>
          </m:r>
          <m:sSubSup>
            <m:sSubSupPr/>
            <m:e>
              <m:r>
                <m:rPr/>
                <m:t>A</m:t>
              </m:r>
            </m:e>
            <m:sub>
              <m:r>
                <m:rPr/>
                <m:t>old</m:t>
              </m:r>
            </m:sub>
            <m:sup>
              <m:r>
                <m:rPr/>
                <m:t>DA0_REG0</m:t>
              </m:r>
            </m:sup>
          </m:sSubSup>
        </m:oMath>
      </m:oMathPara>
    </w:p>
    <w:p w14:paraId="18F3AE68">
      <m:oMath>
        <m:sSub>
          <m:sSubPr/>
          <m:e>
            <m:r>
              <m:rPr/>
              <m:t>G</m:t>
            </m:r>
          </m:e>
          <m:sub>
            <m:r>
              <m:rPr/>
              <m:t>old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为正表示正迁移，为负表示适应损伤了原有能力。</w:t>
      </w:r>
    </w:p>
    <w:p w14:paraId="2B192C9A">
      <w:pPr>
        <w:pStyle w:val="5"/>
        <w:keepNext/>
      </w:pPr>
      <w:r>
        <w:rPr>
          <w:rFonts w:ascii="Times New Roman" w:hAnsi="Times New Roman" w:eastAsia="宋体" w:cs="Times New Roman"/>
        </w:rPr>
        <w:t>2.3.2新类注册</w:t>
      </w:r>
    </w:p>
    <w:p w14:paraId="5DAC5347">
      <w:r>
        <w:rPr>
          <w:rFonts w:ascii="Times New Roman" w:hAnsi="Times New Roman" w:eastAsia="宋体" w:cs="Times New Roman"/>
          <w:b/>
          <w:bCs/>
          <w:sz w:val="22"/>
        </w:rPr>
        <w:t>已注册新类准确率：</w:t>
      </w:r>
    </w:p>
    <w:p w14:paraId="1C3D1CEE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/>
                <m:t>A</m:t>
              </m:r>
            </m:e>
            <m:sub>
              <m:r>
                <m:rPr/>
                <m:t>new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Q</m:t>
                      </m:r>
                    </m:e>
                    <m:sub>
                      <m:r>
                        <m:rPr/>
                        <m:t>new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/>
                    <m:t>new</m:t>
                  </m:r>
                </m:sub>
              </m:sSub>
            </m:sub>
            <m:sup>
              <m:r>
                <m:rPr/>
                <m:t>​</m:t>
              </m:r>
            </m:sup>
            <m:e>
              <m:r>
                <m:rPr>
                  <m:sty m:val="p"/>
                  <m:scr m:val="double-struck"/>
                </m:rPr>
                <m:t>I</m:t>
              </m:r>
            </m:e>
          </m:nary>
          <m:d>
            <m:dPr>
              <m:begChr m:val="["/>
              <m:sepChr m:val=""/>
              <m:endChr m:val="]"/>
            </m:dPr>
            <m:e>
              <m:sSubSup>
                <m:sSubSupPr/>
                <m:e>
                  <m:acc>
                    <m:accPr/>
                    <m:e>
                      <m:r>
                        <m:rPr/>
                        <m:t>y</m:t>
                      </m:r>
                    </m:e>
                  </m:acc>
                </m:e>
                <m:sub>
                  <m:r>
                    <m:rPr/>
                    <m:t>i</m:t>
                  </m:r>
                </m:sub>
                <m:sup>
                  <m:d>
                    <m:dPr>
                      <m:sepChr m:val=""/>
                    </m:dPr>
                    <m:e>
                      <m:r>
                        <m:rPr/>
                        <m:t>DA1_REG1</m:t>
                      </m:r>
                    </m:e>
                  </m:d>
                </m:sup>
              </m:sSubSup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y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</m:oMath>
      </m:oMathPara>
    </w:p>
    <w:p w14:paraId="5344D592">
      <w:r>
        <w:rPr>
          <w:rFonts w:ascii="Times New Roman" w:hAnsi="Times New Roman" w:eastAsia="宋体" w:cs="Times New Roman"/>
          <w:sz w:val="22"/>
        </w:rPr>
        <w:t>该指标为0意味着新类support没有形成可用的分类身份，或者增量训练根本没有产生有效更新。</w:t>
      </w:r>
    </w:p>
    <w:p w14:paraId="6D693737">
      <w:pPr>
        <w:pStyle w:val="5"/>
        <w:keepNext/>
      </w:pPr>
      <w:r>
        <w:rPr>
          <w:rFonts w:ascii="Times New Roman" w:hAnsi="Times New Roman" w:eastAsia="宋体" w:cs="Times New Roman"/>
        </w:rPr>
        <w:t>2.3.3旧新联合评价</w:t>
      </w:r>
    </w:p>
    <w:p w14:paraId="48E132C2">
      <w:r>
        <w:rPr>
          <w:rFonts w:ascii="Times New Roman" w:hAnsi="Times New Roman" w:eastAsia="宋体" w:cs="Times New Roman"/>
          <w:b/>
          <w:bCs/>
          <w:sz w:val="22"/>
        </w:rPr>
        <w:t>旧新调和均值：</w:t>
      </w:r>
    </w:p>
    <w:p w14:paraId="3319559B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/>
                <m:t>H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old,new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2</m:t>
              </m:r>
              <m:sSubSup>
                <m:sSubSupPr/>
                <m:e>
                  <m:r>
                    <m:rPr/>
                    <m:t>A</m:t>
                  </m:r>
                </m:e>
                <m:sub>
                  <m:r>
                    <m:rPr/>
                    <m:t>old</m:t>
                  </m:r>
                </m:sub>
                <m:sup>
                  <m:r>
                    <m:rPr/>
                    <m:t>DA1_REG1</m:t>
                  </m:r>
                </m:sup>
              </m:sSubSup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new</m:t>
                  </m:r>
                </m:sub>
              </m:sSub>
            </m:num>
            <m:den>
              <m:sSubSup>
                <m:sSubSupPr/>
                <m:e>
                  <m:r>
                    <m:rPr/>
                    <m:t>A</m:t>
                  </m:r>
                </m:e>
                <m:sub>
                  <m:r>
                    <m:rPr/>
                    <m:t>old</m:t>
                  </m:r>
                </m:sub>
                <m:sup>
                  <m:r>
                    <m:rPr/>
                    <m:t>DA1_REG1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new</m:t>
                  </m:r>
                </m:sub>
              </m:sSub>
            </m:den>
          </m:f>
        </m:oMath>
      </m:oMathPara>
    </w:p>
    <w:p w14:paraId="43DF5DF6">
      <w:r>
        <w:rPr>
          <w:rFonts w:ascii="Times New Roman" w:hAnsi="Times New Roman" w:eastAsia="宋体" w:cs="Times New Roman"/>
          <w:sz w:val="22"/>
        </w:rPr>
        <w:t>调和均值会惩罚“只保旧类、不学新类”和“只学新类、忘掉旧类”。任意一侧接近0，</w:t>
      </w:r>
      <m:oMath>
        <m:sSub>
          <m:sSubPr/>
          <m:e>
            <m:r>
              <m:rPr/>
              <m:t>H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old,new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都会接近0。</w:t>
      </w:r>
    </w:p>
    <w:p w14:paraId="4FECECB5">
      <w:pPr>
        <w:pStyle w:val="19"/>
      </w:pPr>
      <w:r>
        <w:rPr>
          <w:rFonts w:ascii="Times New Roman" w:hAnsi="Times New Roman" w:eastAsia="宋体" w:cs="Times New Roman"/>
          <w:b/>
          <w:bCs/>
          <w:sz w:val="22"/>
        </w:rPr>
        <w:t>遗忘：</w:t>
      </w:r>
    </w:p>
    <w:p w14:paraId="6E8A2F1F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/>
                <m:t>F</m:t>
              </m:r>
            </m:e>
            <m:sub>
              <m:r>
                <m:rPr/>
                <m:t>old</m:t>
              </m:r>
            </m:sub>
          </m:sSub>
          <m:r>
            <m:rPr>
              <m:sty m:val="p"/>
            </m:rPr>
            <m:t>=</m:t>
          </m:r>
          <m:sSubSup>
            <m:sSubSupPr/>
            <m:e>
              <m:r>
                <m:rPr/>
                <m:t>A</m:t>
              </m:r>
            </m:e>
            <m:sub>
              <m:r>
                <m:rPr/>
                <m:t>old</m:t>
              </m:r>
            </m:sub>
            <m:sup>
              <m:r>
                <m:rPr/>
                <m:t>DA1_REG0</m:t>
              </m:r>
            </m:sup>
          </m:sSubSup>
          <m:r>
            <m:rPr>
              <m:sty m:val="p"/>
            </m:rPr>
            <m:t>−</m:t>
          </m:r>
          <m:sSubSup>
            <m:sSubSupPr/>
            <m:e>
              <m:r>
                <m:rPr/>
                <m:t>A</m:t>
              </m:r>
            </m:e>
            <m:sub>
              <m:r>
                <m:rPr/>
                <m:t>old</m:t>
              </m:r>
            </m:sub>
            <m:sup>
              <m:r>
                <m:rPr/>
                <m:t>DA1_REG1</m:t>
              </m:r>
            </m:sup>
          </m:sSubSup>
        </m:oMath>
      </m:oMathPara>
    </w:p>
    <w:p w14:paraId="5EA943B9">
      <w:r>
        <w:rPr>
          <w:rFonts w:ascii="Times New Roman" w:hAnsi="Times New Roman" w:eastAsia="宋体" w:cs="Times New Roman"/>
          <w:sz w:val="22"/>
        </w:rPr>
        <w:t>遗忘越大，说明增量学习对旧知识破坏越严重。</w:t>
      </w:r>
    </w:p>
    <w:p w14:paraId="4B53DCA6">
      <w:pPr>
        <w:pStyle w:val="19"/>
      </w:pPr>
      <w:r>
        <w:rPr>
          <w:rFonts w:ascii="Times New Roman" w:hAnsi="Times New Roman" w:eastAsia="宋体" w:cs="Times New Roman"/>
          <w:b/>
          <w:bCs/>
          <w:sz w:val="22"/>
        </w:rPr>
        <w:t>最低旧类准确率：</w:t>
      </w:r>
    </w:p>
    <w:p w14:paraId="4A0063AD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/>
                <m:t>A</m:t>
              </m:r>
            </m:e>
            <m:sub>
              <m:r>
                <m:rPr/>
                <m:t>c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Q</m:t>
                      </m:r>
                    </m:e>
                    <m:sub>
                      <m:r>
                        <m:rPr/>
                        <m:t>c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Q</m:t>
                  </m:r>
                </m:e>
                <m:sub>
                  <m:r>
                    <m:rPr/>
                    <m:t>c</m:t>
                  </m:r>
                </m:sub>
              </m:sSub>
            </m:sub>
            <m:sup>
              <m:r>
                <m:rPr/>
                <m:t>​</m:t>
              </m:r>
            </m:sup>
            <m:e>
              <m:r>
                <m:rPr>
                  <m:sty m:val="p"/>
                  <m:scr m:val="double-struck"/>
                </m:rPr>
                <m:t>I</m:t>
              </m:r>
            </m:e>
          </m:nary>
          <m:d>
            <m:dPr>
              <m:begChr m:val="["/>
              <m:sepChr m:val=""/>
              <m:endChr m:val="]"/>
            </m:dPr>
            <m:e>
              <m:sSubSup>
                <m:sSubSupPr/>
                <m:e>
                  <m:acc>
                    <m:accPr/>
                    <m:e>
                      <m:r>
                        <m:rPr/>
                        <m:t>y</m:t>
                      </m:r>
                    </m:e>
                  </m:acc>
                </m:e>
                <m:sub>
                  <m:r>
                    <m:rPr/>
                    <m:t>i</m:t>
                  </m:r>
                </m:sub>
                <m:sup>
                  <m:d>
                    <m:dPr>
                      <m:sepChr m:val=""/>
                    </m:dPr>
                    <m:e>
                      <m:r>
                        <m:rPr/>
                        <m:t>DA1_REG1</m:t>
                      </m:r>
                    </m:e>
                  </m:d>
                </m:sup>
              </m:sSubSup>
              <m:r>
                <m:rPr>
                  <m:sty m:val="p"/>
                </m:rPr>
                <m:t>=</m:t>
              </m:r>
              <m:sSub>
                <m:sSubPr/>
                <m:e>
                  <m:r>
                    <m:rPr/>
                    <m:t>y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</m:oMath>
      </m:oMathPara>
    </w:p>
    <w:p w14:paraId="5D5CC5CB">
      <m:oMathPara>
        <m:oMathParaPr>
          <m:jc m:val="center"/>
        </m:oMathParaPr>
        <m:oMath>
          <m:sSub>
            <m:sSubPr/>
            <m:e>
              <m:r>
                <m:rPr/>
                <m:t>A</m:t>
              </m:r>
            </m:e>
            <m:sub>
              <m:r>
                <m:rPr>
                  <m:sty m:val="p"/>
                </m:rPr>
                <m:t>min,</m:t>
              </m:r>
              <m:r>
                <m:rPr/>
                <m:t>old</m:t>
              </m:r>
            </m:sub>
          </m:sSub>
          <m:r>
            <m:rPr>
              <m:sty m:val="p"/>
            </m:rPr>
            <m:t>=</m:t>
          </m:r>
          <m:limLow>
            <m:limLowPr/>
            <m:e>
              <m:r>
                <m:rPr>
                  <m:sty m:val="p"/>
                </m:rPr>
                <m:t>min</m:t>
              </m:r>
            </m:e>
            <m:lim>
              <m:r>
                <m:rPr/>
                <m:t>c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>
                      <m:scr m:val="script"/>
                    </m:rPr>
                    <m:t>Y</m:t>
                  </m:r>
                </m:e>
                <m:sub>
                  <m:r>
                    <m:rPr/>
                    <m:t>old</m:t>
                  </m:r>
                </m:sub>
              </m:sSub>
            </m:lim>
          </m:limLow>
          <m:sSub>
            <m:sSubPr/>
            <m:e>
              <m:r>
                <m:rPr/>
                <m:t>A</m:t>
              </m:r>
            </m:e>
            <m:sub>
              <m:r>
                <m:rPr/>
                <m:t>c</m:t>
              </m:r>
            </m:sub>
          </m:sSub>
        </m:oMath>
      </m:oMathPara>
    </w:p>
    <w:p w14:paraId="17BD0803">
      <m:oMath>
        <m:sSub>
          <m:sSubPr/>
          <m:e>
            <m:r>
              <m:rPr/>
              <m:t>A</m:t>
            </m:r>
          </m:e>
          <m:sub>
            <m:r>
              <m:rPr>
                <m:sty m:val="p"/>
              </m:rPr>
              <m:t>min,</m:t>
            </m:r>
            <m:r>
              <m:rPr/>
              <m:t>old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直接检查最差旧发射机是否接近失效，避免平均</w:t>
      </w:r>
      <m:oMath>
        <m:sSubSup>
          <m:sSubSupPr/>
          <m:e>
            <m:r>
              <m:rPr/>
              <m:t>A</m:t>
            </m:r>
          </m:e>
          <m:sub>
            <m:r>
              <m:rPr/>
              <m:t>old</m:t>
            </m:r>
          </m:sub>
          <m:sup>
            <m:r>
              <m:rPr/>
              <m:t>DA1_REG1</m:t>
            </m:r>
          </m:sup>
        </m:sSubSup>
      </m:oMath>
      <w:r>
        <w:rPr>
          <w:rFonts w:ascii="Times New Roman" w:hAnsi="Times New Roman" w:eastAsia="宋体" w:cs="Times New Roman"/>
          <w:sz w:val="22"/>
        </w:rPr>
        <w:t>掩盖局部崩塌。</w:t>
      </w:r>
    </w:p>
    <w:p w14:paraId="22804EA8">
      <w:pPr>
        <w:pStyle w:val="4"/>
        <w:keepNext/>
      </w:pPr>
      <w:r>
        <w:rPr>
          <w:rFonts w:ascii="Times New Roman" w:hAnsi="Times New Roman" w:eastAsia="宋体" w:cs="Times New Roman"/>
        </w:rPr>
        <w:t>2.4统一输入、状态更新与输出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2"/>
        <w:gridCol w:w="3068"/>
        <w:gridCol w:w="2928"/>
        <w:gridCol w:w="2482"/>
      </w:tblGrid>
      <w:tr w14:paraId="169256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23C2D7E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阶段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7F9DC1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输入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48E02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允许更新的状态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892E3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输出</w:t>
            </w:r>
          </w:p>
        </w:tc>
      </w:tr>
      <w:tr w14:paraId="234A9C6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D27B0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直接基线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E21A40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Phase1 bundle＋target query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8880BC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无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CC464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旧类预测</w:t>
            </w:r>
          </w:p>
        </w:tc>
      </w:tr>
      <w:tr w14:paraId="214D4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27267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Stage2-B适应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07F9E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Phase1 bundle＋target-old support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C9F54B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prototype、adapter或backbone，取决于方法权限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8FCD7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冻结后的旧类预测器</w:t>
            </w:r>
          </w:p>
        </w:tc>
      </w:tr>
      <w:tr w14:paraId="306675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348270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Stage2-C注册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AB6DA9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冻结/Stage2-B适应后状态＋target-new K-shot support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4E6E05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旧类统计、新类prototype、分类头或受控参数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024EE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面向旧类∪已注册新类的统一预测器</w:t>
            </w:r>
          </w:p>
        </w:tc>
      </w:tr>
      <w:tr w14:paraId="17B636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F4948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独立评分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F3372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不可变prediction artifact＋query真值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7334C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不得回流到predictor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847D81">
            <w:pPr>
              <w:spacing w:before="0" w:after="0" w:line="240" w:lineRule="auto"/>
              <w:jc w:val="left"/>
            </w:pPr>
            <m:oMath>
              <m:sSubSup>
                <m:sSubSupPr/>
                <m:e>
                  <m:r>
                    <m:rPr/>
                    <m:t>A</m:t>
                  </m:r>
                </m:e>
                <m:sub>
                  <m:r>
                    <m:rPr/>
                    <m:t>old</m:t>
                  </m:r>
                </m:sub>
                <m:sup>
                  <m:r>
                    <m:rPr/>
                    <m:t>DA1_REG1</m:t>
                  </m:r>
                </m:sup>
              </m:sSubSup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new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sSub>
                <m:sSubPr/>
                <m:e>
                  <m:r>
                    <m:rPr/>
                    <m:t>H</m:t>
                  </m:r>
                </m:e>
                <m:sub>
                  <m:r>
                    <m:rPr/>
                    <m:t>old</m:t>
                  </m:r>
                  <m:r>
                    <m:rPr>
                      <m:sty m:val="p"/>
                    </m:rPr>
                    <m:t>,</m:t>
                  </m:r>
                  <m:r>
                    <m:rPr/>
                    <m:t>new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18"/>
              </w:rPr>
              <w:t>、</w:t>
            </w:r>
            <m:oMath>
              <m:sSub>
                <m:sSubPr/>
                <m:e>
                  <m:r>
                    <m:rPr/>
                    <m:t>F</m:t>
                  </m:r>
                </m:e>
                <m:sub>
                  <m:r>
                    <m:rPr/>
                    <m:t>old</m:t>
                  </m:r>
                </m:sub>
              </m:sSub>
            </m:oMath>
            <w:r>
              <w:rPr>
                <w:rFonts w:ascii="Times New Roman" w:hAnsi="Times New Roman" w:eastAsia="宋体" w:cs="Times New Roman"/>
                <w:sz w:val="18"/>
              </w:rPr>
              <w:t>等指标</w:t>
            </w:r>
          </w:p>
        </w:tc>
      </w:tr>
      <w:bookmarkEnd w:id="0"/>
    </w:tbl>
    <w:p w14:paraId="1268748D">
      <w:pPr>
        <w:pStyle w:val="3"/>
        <w:keepNext/>
        <w:pageBreakBefore w:val="0"/>
      </w:pPr>
      <w:bookmarkStart w:id="2" w:name="Xacb617a5819318ce172e1d7a810126ba83372bc"/>
      <w:r>
        <w:rPr>
          <w:rFonts w:ascii="Times New Roman" w:hAnsi="Times New Roman" w:eastAsia="宋体" w:cs="Times New Roman"/>
          <w:sz w:val="32"/>
        </w:rPr>
        <w:t>3.Stage2-B：跨接收机旧类域适应仿真实验</w:t>
      </w:r>
    </w:p>
    <w:p w14:paraId="5C4ACA78">
      <w:pPr>
        <w:pStyle w:val="4"/>
        <w:keepNext/>
      </w:pPr>
      <w:bookmarkStart w:id="3" w:name="X60a1c4ac91aed9a1a4fc1cbc6b86ab576c3e5cf"/>
      <w:r>
        <w:rPr>
          <w:rFonts w:ascii="Times New Roman" w:hAnsi="Times New Roman" w:eastAsia="宋体" w:cs="Times New Roman"/>
          <w:sz w:val="26"/>
        </w:rPr>
        <w:t>3.1仿真问题与统一实验设置</w:t>
      </w:r>
    </w:p>
    <w:p w14:paraId="5DB5260D">
      <w:r>
        <w:rPr>
          <w:rFonts w:ascii="Times New Roman" w:hAnsi="Times New Roman" w:eastAsia="宋体" w:cs="Times New Roman"/>
          <w:sz w:val="22"/>
        </w:rPr>
        <w:t>Stage2-B要回答的问题是：Phase1已经识别过的发射机换到未见target receiver后，少量target-old support能否恢复旧类识别能力？</w:t>
      </w:r>
    </w:p>
    <w:p w14:paraId="4B0E4BE6">
      <w:pPr>
        <w:pStyle w:val="19"/>
      </w:pPr>
      <w:r>
        <w:rPr>
          <w:rFonts w:ascii="Times New Roman" w:hAnsi="Times New Roman" w:eastAsia="宋体" w:cs="Times New Roman"/>
          <w:sz w:val="22"/>
        </w:rPr>
        <w:t>统一实验设置如下：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5"/>
        <w:gridCol w:w="3713"/>
      </w:tblGrid>
      <w:tr w14:paraId="1EEDFD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98A88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维度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ACF4A7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设置</w:t>
            </w:r>
          </w:p>
        </w:tc>
      </w:tr>
      <w:tr w14:paraId="3EBB90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C5BAA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基座模型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40D3F0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同一ADV3B02地面域泛化checkpoint</w:t>
            </w:r>
          </w:p>
        </w:tc>
      </w:tr>
      <w:tr w14:paraId="3BD28C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513A1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target receiver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D359B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20-1、3-19、7-14、7-7、8-8</w:t>
            </w:r>
          </w:p>
        </w:tc>
      </w:tr>
      <w:tr w14:paraId="638A21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03E12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K-shot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1E89F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1、2、5、10、20</w:t>
            </w:r>
          </w:p>
        </w:tc>
      </w:tr>
      <w:tr w14:paraId="075B96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162A7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随机性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19D7E4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5个独立seed</w:t>
            </w:r>
          </w:p>
        </w:tc>
      </w:tr>
      <w:tr w14:paraId="3FD7A6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1012EB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target观测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FD459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support和query均为固定LEO弱信道接收IQ</w:t>
            </w:r>
          </w:p>
        </w:tc>
      </w:tr>
      <w:tr w14:paraId="5F1238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954E7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query权限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B20B45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只测试，不训练、不调参、不回滚</w:t>
            </w:r>
          </w:p>
        </w:tc>
      </w:tr>
      <w:tr w14:paraId="4F315F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7579C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方法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D1B3A3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ProtoNet CDA、MRIOR-SDA、DADDA-SDA</w:t>
            </w:r>
          </w:p>
        </w:tc>
      </w:tr>
      <w:bookmarkEnd w:id="3"/>
    </w:tbl>
    <w:p w14:paraId="46104BF3">
      <w:pPr>
        <w:pStyle w:val="4"/>
        <w:keepNext/>
      </w:pPr>
      <w:r>
        <w:rPr>
          <w:rFonts w:ascii="Times New Roman" w:hAnsi="Times New Roman" w:eastAsia="宋体" w:cs="Times New Roman"/>
        </w:rPr>
        <w:t>3.2ProtoNet CDA：原型式K-shot目标域校准基线</w:t>
      </w:r>
    </w:p>
    <w:p w14:paraId="6E9F7A6E">
      <w:r>
        <w:rPr>
          <w:rFonts w:ascii="Times New Roman" w:hAnsi="Times New Roman" w:eastAsia="宋体" w:cs="Times New Roman"/>
          <w:sz w:val="22"/>
        </w:rPr>
        <w:t>Snell等人提出的Prototypical Networks</w:t>
      </w:r>
      <w:r>
        <w:rPr>
          <w:rFonts w:ascii="Times New Roman" w:hAnsi="Times New Roman" w:cs="Times New Roman" w:eastAsia="宋体"/>
        </w:rPr>
        <w:t>（</w:t>
      </w:r>
      <w:r>
        <w:rPr>
          <w:rFonts w:ascii="Times New Roman" w:hAnsi="Times New Roman" w:eastAsia="宋体" w:cs="Times New Roman"/>
          <w:b w:val="0"/>
        </w:rPr>
        <w:t>ProtoNet，即原型网络；CDA在本文中指Cross-Domain Adaptation，即跨域适配。该基线不更新backbone，只用目标接收机旧类support重新估计类别中心</w:t>
      </w:r>
      <w:r>
        <w:rPr>
          <w:rFonts w:ascii="Times New Roman" w:hAnsi="Times New Roman" w:cs="Times New Roman" w:eastAsia="宋体"/>
        </w:rPr>
        <w:t>）</w:t>
      </w:r>
      <w:r>
        <w:rPr>
          <w:rFonts w:ascii="Times New Roman" w:hAnsi="Times New Roman" w:eastAsia="宋体" w:cs="Times New Roman"/>
          <w:sz w:val="22"/>
        </w:rPr>
        <w:t>原本面向训练阶段未见的新类别少样本分类[1]。本轮实验的support与query均属于Phase1已见旧类，类别不增加，只是receiver域发生变化。其特点是固定特征空间，只用target-old support闭式计算类别中心；不访问source、不反向传播。</w:t>
      </w:r>
    </w:p>
    <w:p w14:paraId="3ACD12D0">
      <w:pPr>
        <w:pStyle w:val="19"/>
      </w:pPr>
      <w:r>
        <w:rPr>
          <w:rFonts w:ascii="Times New Roman" w:hAnsi="Times New Roman" w:eastAsia="宋体" w:cs="Times New Roman"/>
          <w:b/>
          <w:bCs/>
          <w:sz w:val="22"/>
        </w:rPr>
        <w:t>CVS数据与更新：</w:t>
      </w:r>
      <w:r>
        <w:rPr>
          <w:rFonts w:ascii="Times New Roman" w:hAnsi="Times New Roman" w:eastAsia="宋体" w:cs="Times New Roman"/>
          <w:sz w:val="22"/>
        </w:rPr>
        <w:t xml:space="preserve"> 加载ADV3B02的160维身份特征</w:t>
      </w:r>
      <m:oMath>
        <m:r>
          <m:rPr/>
          <m:t>z</m:t>
        </m:r>
        <m:r>
          <m:rPr>
            <m:sty m:val="p"/>
          </m:rPr>
          <m:t>=</m:t>
        </m:r>
        <m:sSub>
          <m:sSubPr/>
          <m:e>
            <m:r>
              <m:rPr/>
              <m:t>f</m:t>
            </m:r>
          </m:e>
          <m:sub>
            <m:r>
              <m:rPr/>
              <m:t>θ</m:t>
            </m:r>
          </m:sub>
        </m:sSub>
        <m:d>
          <m:dPr>
            <m:sepChr m:val=""/>
          </m:dPr>
          <m:e>
            <m:r>
              <m:rPr/>
              <m:t>x</m:t>
            </m:r>
          </m:e>
        </m:d>
      </m:oMath>
      <w:r>
        <w:rPr>
          <w:rFonts w:ascii="Times New Roman" w:hAnsi="Times New Roman" w:eastAsia="宋体" w:cs="Times New Roman"/>
          <w:sz w:val="22"/>
        </w:rPr>
        <w:t>，每个场景只读取6个旧类的K-shot target-old support。对类别</w:t>
      </w:r>
      <m:oMath>
        <m:r>
          <m:rPr/>
          <m:t>c</m:t>
        </m:r>
      </m:oMath>
      <w:r>
        <w:rPr>
          <w:rFonts w:ascii="Times New Roman" w:hAnsi="Times New Roman" w:eastAsia="宋体" w:cs="Times New Roman"/>
          <w:sz w:val="22"/>
        </w:rPr>
        <w:t>的support集合</w:t>
      </w:r>
      <m:oMath>
        <m:sSub>
          <m:sSubPr/>
          <m:e>
            <m:r>
              <m:rPr/>
              <m:t>S</m:t>
            </m:r>
          </m:e>
          <m:sub>
            <m:r>
              <m:rPr/>
              <m:t>c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，prototype是类内平方距离最小化问题的闭式解：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r>
          <m:t>x</m:t>
        </m:r>
      </m:oMath>
      <w:r>
        <w:rPr>
          <w:rFonts w:ascii="Times New Roman" w:hAnsi="Times New Roman" w:eastAsia="宋体" w:cs="Times New Roman"/>
          <w:b w:val="0"/>
        </w:rPr>
        <w:t>是固定LEO接收IQ，</w:t>
      </w:r>
      <m:oMath xmlns:a="http://schemas.openxmlformats.org/drawingml/2006/main" xmlns:pic="http://schemas.openxmlformats.org/drawingml/2006/picture">
        <m:sSub>
          <m:e>
            <m:r>
              <m:t>f</m:t>
            </m:r>
          </m:e>
          <m:sub>
            <m:r>
              <m:t>θ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是参数为</w:t>
      </w:r>
      <m:oMath xmlns:a="http://schemas.openxmlformats.org/drawingml/2006/main" xmlns:pic="http://schemas.openxmlformats.org/drawingml/2006/picture">
        <m:r>
          <m:t>θ</m:t>
        </m:r>
      </m:oMath>
      <w:r>
        <w:rPr>
          <w:rFonts w:ascii="Times New Roman" w:hAnsi="Times New Roman" w:eastAsia="宋体" w:cs="Times New Roman"/>
          <w:b w:val="0"/>
        </w:rPr>
        <w:t>的冻结身份编码器，</w:t>
      </w:r>
      <m:oMath xmlns:a="http://schemas.openxmlformats.org/drawingml/2006/main" xmlns:pic="http://schemas.openxmlformats.org/drawingml/2006/picture"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b w:val="0"/>
        </w:rPr>
        <w:t>是第</w:t>
      </w:r>
      <m:oMath xmlns:a="http://schemas.openxmlformats.org/drawingml/2006/main" xmlns:pic="http://schemas.openxmlformats.org/drawingml/2006/picture">
        <m:r>
          <m:t>i</m:t>
        </m:r>
      </m:oMath>
      <w:r>
        <w:rPr>
          <w:rFonts w:ascii="Times New Roman" w:hAnsi="Times New Roman" w:eastAsia="宋体" w:cs="Times New Roman"/>
          <w:b w:val="0"/>
        </w:rPr>
        <w:t>个support的160维身份特征。</w:t>
      </w:r>
      <m:oMath xmlns:a="http://schemas.openxmlformats.org/drawingml/2006/main" xmlns:pic="http://schemas.openxmlformats.org/drawingml/2006/picture">
        <m:sSub>
          <m:e>
            <m:r>
              <m:t>S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是类别</w:t>
      </w:r>
      <m:oMath xmlns:a="http://schemas.openxmlformats.org/drawingml/2006/main" xmlns:pic="http://schemas.openxmlformats.org/drawingml/2006/picture">
        <m:r>
          <m:t>c</m:t>
        </m:r>
      </m:oMath>
      <w:r>
        <w:rPr>
          <w:rFonts w:ascii="Times New Roman" w:hAnsi="Times New Roman" w:eastAsia="宋体" w:cs="Times New Roman"/>
          <w:b w:val="0"/>
        </w:rPr>
        <w:t>的support集合，</w:t>
      </w:r>
      <m:oMath xmlns:a="http://schemas.openxmlformats.org/drawingml/2006/main" xmlns:pic="http://schemas.openxmlformats.org/drawingml/2006/picture">
        <m:r>
          <m:t>μ</m:t>
        </m:r>
      </m:oMath>
      <w:r>
        <w:rPr>
          <w:rFonts w:ascii="Times New Roman" w:hAnsi="Times New Roman" w:eastAsia="宋体" w:cs="Times New Roman"/>
          <w:b w:val="0"/>
        </w:rPr>
        <w:t>是待求中心，</w:t>
      </w:r>
      <m:oMath xmlns:a="http://schemas.openxmlformats.org/drawingml/2006/main" xmlns:pic="http://schemas.openxmlformats.org/drawingml/2006/picture">
        <m:sSubSup>
          <m:e>
            <m:r>
              <m:t>μ</m:t>
            </m:r>
          </m:e>
          <m:sub>
            <m:r>
              <m:t>c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是使类内平方欧氏距离最小的类别原型；</w:t>
      </w:r>
      <m:oMath xmlns:a="http://schemas.openxmlformats.org/drawingml/2006/main" xmlns:pic="http://schemas.openxmlformats.org/drawingml/2006/picture">
        <m:r>
          <m:rPr>
            <m:sty m:val="p"/>
          </m:rPr>
          <m:t>∥</m:t>
        </m:r>
        <m:r>
          <m:rPr>
            <m:sty m:val="p"/>
          </m:rPr>
          <m:t>⋅</m:t>
        </m:r>
        <m:sSubSup>
          <m:e>
            <m:r>
              <m:rPr>
                <m:sty m:val="p"/>
              </m:rPr>
              <m:t>∥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表示平方L2范数。</w:t>
      </w:r>
      <m:oMath xmlns:a="http://schemas.openxmlformats.org/drawingml/2006/main" xmlns:pic="http://schemas.openxmlformats.org/drawingml/2006/picture"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rPr>
          <w:rFonts w:ascii="Times New Roman" w:hAnsi="Times New Roman" w:eastAsia="宋体" w:cs="Times New Roman"/>
          <w:b w:val="0"/>
        </w:rPr>
        <w:t>表示选择距离最小的中心或类别</w:t>
      </w:r>
      <w:r>
        <w:rPr>
          <w:rFonts w:ascii="Times New Roman" w:hAnsi="Times New Roman" w:cs="Times New Roman" w:eastAsia="宋体"/>
        </w:rPr>
        <w:t>）</w:t>
      </w:r>
    </w:p>
    <w:p w14:paraId="225BD3FE">
      <w:pPr>
        <w:pStyle w:val="19"/>
      </w:pPr>
      <m:oMathPara>
        <m:oMathParaPr>
          <m:jc m:val="center"/>
        </m:oMathParaPr>
        <m:oMath>
          <m:sSubSup>
            <m:sSubSupPr/>
            <m:e>
              <m:r>
                <m:rPr/>
                <m:t>μ</m:t>
              </m:r>
            </m:e>
            <m:sub>
              <m:r>
                <m:rPr/>
                <m:t>c</m:t>
              </m:r>
            </m:sub>
            <m:sup>
              <m:r>
                <m:rPr>
                  <m:sty m:val="p"/>
                </m:rPr>
                <m:t>∗</m:t>
              </m:r>
            </m:sup>
          </m:sSubSup>
          <m:r>
            <m:rPr>
              <m:sty m:val="p"/>
            </m:rPr>
            <m:t>=arg</m:t>
          </m:r>
          <m:limLow>
            <m:limLowPr/>
            <m:e>
              <m:r>
                <m:rPr>
                  <m:sty m:val="p"/>
                </m:rPr>
                <m:t>min</m:t>
              </m:r>
            </m:e>
            <m:lim>
              <m:r>
                <m:rPr/>
                <m:t>μ</m:t>
              </m:r>
            </m:lim>
          </m:limLow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S</m:t>
                  </m:r>
                </m:e>
                <m:sub>
                  <m:r>
                    <m:rPr/>
                    <m:t>c</m:t>
                  </m:r>
                </m:sub>
              </m:sSub>
            </m:sub>
            <m:sup>
              <m:r>
                <m:rPr/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sSubPr/>
            <m:e>
              <m:r>
                <m:rPr/>
                <m:t>z</m:t>
              </m:r>
            </m:e>
            <m:sub>
              <m:r>
                <m:rPr/>
                <m:t>i</m:t>
              </m:r>
            </m:sub>
          </m:sSub>
          <m:r>
            <m:rPr>
              <m:sty m:val="p"/>
            </m:rPr>
            <m:t>−</m:t>
          </m:r>
          <m:r>
            <m:rPr/>
            <m:t>μ</m:t>
          </m:r>
          <m:sSubSup>
            <m:sSubSupPr/>
            <m:e>
              <m:r>
                <m:rPr>
                  <m:sty m:val="p"/>
                </m:rPr>
                <m:t>∥</m:t>
              </m:r>
            </m:e>
            <m:sub>
              <m:r>
                <m:rPr/>
                <m:t>2</m:t>
              </m:r>
            </m:sub>
            <m:sup>
              <m:r>
                <m:rPr/>
                <m:t>2</m:t>
              </m:r>
            </m:sup>
          </m:sSubSup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S</m:t>
                      </m:r>
                    </m:e>
                    <m:sub>
                      <m:r>
                        <m:rPr/>
                        <m:t>c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S</m:t>
                  </m:r>
                </m:e>
                <m:sub>
                  <m:r>
                    <m:rPr/>
                    <m:t>c</m:t>
                  </m:r>
                </m:sub>
              </m:sSub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z</m:t>
                  </m:r>
                </m:e>
                <m:sub>
                  <m:r>
                    <m:rPr/>
                    <m:t>i</m:t>
                  </m:r>
                </m:sub>
              </m:sSub>
            </m:e>
          </m:nary>
        </m:oMath>
      </m:oMathPara>
    </w:p>
    <w:p w14:paraId="4D19077D">
      <w:r>
        <w:rPr>
          <w:rFonts w:ascii="Times New Roman" w:hAnsi="Times New Roman" w:eastAsia="宋体" w:cs="Times New Roman"/>
          <w:sz w:val="22"/>
        </w:rPr>
        <w:t>模型锁定后，query按欧氏距离最近的prototype分类：</w:t>
      </w:r>
    </w:p>
    <w:p w14:paraId="409C531B">
      <w:pPr>
        <w:pStyle w:val="19"/>
      </w:pPr>
      <m:oMathPara>
        <m:oMathParaPr>
          <m:jc m:val="center"/>
        </m:oMathParaPr>
        <m:oMath>
          <m:acc>
            <m:accPr/>
            <m:e>
              <m:r>
                <m:rPr/>
                <m:t>y</m:t>
              </m:r>
            </m:e>
          </m:acc>
          <m:d>
            <m:dPr>
              <m:sepChr m:val=""/>
            </m:dPr>
            <m:e>
              <m:r>
                <m:rPr/>
                <m:t>x</m:t>
              </m:r>
            </m:e>
          </m:d>
          <m:r>
            <m:rPr>
              <m:sty m:val="p"/>
            </m:rPr>
            <m:t>=arg</m:t>
          </m:r>
          <m:limLow>
            <m:limLowPr/>
            <m:e>
              <m:r>
                <m:rPr>
                  <m:sty m:val="p"/>
                </m:rPr>
                <m:t>min</m:t>
              </m:r>
            </m:e>
            <m:lim>
              <m:r>
                <m:rPr/>
                <m:t>c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>
                      <m:scr m:val="script"/>
                    </m:rPr>
                    <m:t>Y</m:t>
                  </m:r>
                </m:e>
                <m:sub>
                  <m:r>
                    <m:rPr/>
                    <m:t>old</m:t>
                  </m:r>
                </m:sub>
              </m:sSub>
            </m:lim>
          </m:limLow>
          <m:r>
            <m:rPr>
              <m:sty m:val="p"/>
            </m:rPr>
            <m:t>∥</m:t>
          </m:r>
          <m:sSub>
            <m:sSubPr/>
            <m:e>
              <m:r>
                <m:rPr/>
                <m:t>f</m:t>
              </m:r>
            </m:e>
            <m:sub>
              <m:r>
                <m:rPr/>
                <m:t>θ</m:t>
              </m:r>
            </m:sub>
          </m:sSub>
          <m:d>
            <m:dPr>
              <m:sepChr m:val=""/>
            </m:dPr>
            <m:e>
              <m:r>
                <m:rPr/>
                <m:t>x</m:t>
              </m:r>
            </m:e>
          </m:d>
          <m:r>
            <m:rPr>
              <m:sty m:val="p"/>
            </m:rPr>
            <m:t>−</m:t>
          </m:r>
          <m:sSubSup>
            <m:sSubSupPr/>
            <m:e>
              <m:r>
                <m:rPr/>
                <m:t>μ</m:t>
              </m:r>
            </m:e>
            <m:sub>
              <m:r>
                <m:rPr/>
                <m:t>c</m:t>
              </m:r>
            </m:sub>
            <m:sup>
              <m:r>
                <m:rPr>
                  <m:sty m:val="p"/>
                </m:rPr>
                <m:t>∗</m:t>
              </m:r>
            </m:sup>
          </m:sSubSup>
          <m:sSubSup>
            <m:sSubSupPr/>
            <m:e>
              <m:r>
                <m:rPr>
                  <m:sty m:val="p"/>
                </m:rPr>
                <m:t>∥</m:t>
              </m:r>
            </m:e>
            <m:sub>
              <m:r>
                <m:rPr/>
                <m:t>2</m:t>
              </m:r>
            </m:sub>
            <m:sup>
              <m:r>
                <m:rPr/>
                <m:t>2</m:t>
              </m:r>
            </m:sup>
          </m:sSubSup>
        </m:oMath>
      </m:oMathPara>
    </w:p>
    <w:p w14:paraId="3A6B2F2E">
      <w:pPr>
        <w:rPr>
          <w:rFonts w:hint="default" w:eastAsia="宋体"/>
          <w:lang w:val="en-US" w:eastAsia="zh-CN"/>
        </w:rPr>
      </w:pPr>
      <w:r>
        <w:rPr>
          <w:rFonts w:ascii="Times New Roman" w:hAnsi="Times New Roman" w:eastAsia="宋体" w:cs="Times New Roman"/>
          <w:b/>
          <w:bCs/>
          <w:sz w:val="22"/>
        </w:rPr>
        <w:t>核心局限：</w:t>
      </w:r>
      <w:r>
        <w:rPr>
          <w:rFonts w:ascii="Times New Roman" w:hAnsi="Times New Roman" w:eastAsia="宋体" w:cs="Times New Roman"/>
          <w:sz w:val="22"/>
        </w:rPr>
        <w:t xml:space="preserve"> 它只能移动类别参考点，不能修正接收机造成的特征旋转、拉伸或类内多峰，因此</w:t>
      </w:r>
      <w:r>
        <w:rPr>
          <w:rFonts w:hint="eastAsia" w:ascii="Times New Roman" w:hAnsi="Times New Roman" w:eastAsia="宋体" w:cs="Times New Roman"/>
          <w:sz w:val="22"/>
          <w:lang w:val="en-US" w:eastAsia="zh-CN"/>
        </w:rPr>
        <w:t>效果较差。</w:t>
      </w:r>
    </w:p>
    <w:p w14:paraId="161AE093">
      <w:pPr>
        <w:pStyle w:val="4"/>
        <w:keepNext/>
      </w:pPr>
      <w:bookmarkStart w:id="4" w:name="X079109effcc8a347f48bb306a110cf73124dc5d"/>
      <w:r>
        <w:rPr>
          <w:rFonts w:ascii="Times New Roman" w:hAnsi="Times New Roman" w:eastAsia="宋体" w:cs="Times New Roman"/>
          <w:sz w:val="26"/>
        </w:rPr>
        <w:t>3.3MRIOR-SDA：域对齐与target监督</w:t>
      </w:r>
    </w:p>
    <w:p w14:paraId="0B112AF1">
      <w:r>
        <w:rPr>
          <w:rFonts w:ascii="Times New Roman" w:hAnsi="Times New Roman" w:eastAsia="宋体" w:cs="Times New Roman"/>
          <w:sz w:val="22"/>
        </w:rPr>
        <w:t>Yang等人的MRIOR</w:t>
      </w:r>
      <w:r>
        <w:rPr>
          <w:rFonts w:ascii="Times New Roman" w:hAnsi="Times New Roman" w:cs="Times New Roman" w:eastAsia="宋体"/>
        </w:rPr>
        <w:t>（</w:t>
      </w:r>
      <w:r>
        <w:rPr>
          <w:rFonts w:ascii="Times New Roman" w:hAnsi="Times New Roman" w:eastAsia="宋体" w:cs="Times New Roman"/>
          <w:b w:val="0"/>
        </w:rPr>
        <w:t>Mitigating Receiver Impact on Radio Frequency Fingerprint Identification via Domain Adaptation；SDA是Supervised Domain Adaptation，即监督域适应。CE是Cross-Entropy，即交叉熵；DV-KL是Donsker-Varadhan形式的Kullback-Leibler域差异估计，其中KL表示相对熵；Adam是Adaptive Moment Estimation优化器</w:t>
      </w:r>
      <w:r>
        <w:rPr>
          <w:rFonts w:ascii="Times New Roman" w:hAnsi="Times New Roman" w:cs="Times New Roman" w:eastAsia="宋体"/>
        </w:rPr>
        <w:t>）</w:t>
      </w:r>
      <w:r>
        <w:rPr>
          <w:rFonts w:ascii="Times New Roman" w:hAnsi="Times New Roman" w:eastAsia="宋体" w:cs="Times New Roman"/>
          <w:sz w:val="22"/>
        </w:rPr>
        <w:t>原本属于单源无监督域适应[2]。CVS版本用真实target-old support标签替代伪标签，形成监督式域适应。其特点是用可学习的DV-KL估计网络对齐source与target，同时更新完整ADV3B02身份backbone。</w:t>
      </w:r>
    </w:p>
    <w:p w14:paraId="168C5EDA">
      <w:pPr>
        <w:pStyle w:val="19"/>
      </w:pPr>
      <w:r>
        <w:rPr>
          <w:rFonts w:ascii="Times New Roman" w:hAnsi="Times New Roman" w:eastAsia="宋体" w:cs="Times New Roman"/>
          <w:sz w:val="22"/>
        </w:rPr>
        <w:t>记</w:t>
      </w:r>
      <m:oMath>
        <m:sSub>
          <m:sSubPr/>
          <m:e>
            <m:r>
              <m:rPr/>
              <m:t>B</m:t>
            </m:r>
          </m:e>
          <m:sub>
            <m:r>
              <m:rPr/>
              <m:t>src</m:t>
            </m:r>
          </m:sub>
        </m:sSub>
        <m:r>
          <m:rPr>
            <m:sty m:val="p"/>
          </m:rPr>
          <m:t>,</m:t>
        </m:r>
        <m:sSub>
          <m:sSubPr/>
          <m:e>
            <m:r>
              <m:rPr/>
              <m:t>B</m:t>
            </m:r>
          </m:e>
          <m:sub>
            <m:r>
              <m:rPr/>
              <m:t>tgt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为source和target-support batch，</w:t>
      </w:r>
      <m:oMath>
        <m:sSub>
          <m:sSubPr/>
          <m:e>
            <m:r>
              <m:rPr/>
              <m:t>π</m:t>
            </m:r>
          </m:e>
          <m:sub>
            <m:r>
              <m:rPr/>
              <m:t>θ</m:t>
            </m:r>
          </m:sub>
        </m:sSub>
        <m:d>
          <m:dPr>
            <m:sepChr m:val=""/>
          </m:dPr>
          <m:e>
            <m:r>
              <m:rPr/>
              <m:t>c</m:t>
            </m:r>
            <m:r>
              <m:rPr>
                <m:sty m:val="p"/>
              </m:rPr>
              <m:t>|</m:t>
            </m:r>
            <m:r>
              <m:rPr/>
              <m:t>x</m:t>
            </m:r>
          </m:e>
        </m:d>
      </m:oMath>
      <w:r>
        <w:rPr>
          <w:rFonts w:ascii="Times New Roman" w:hAnsi="Times New Roman" w:eastAsia="宋体" w:cs="Times New Roman"/>
          <w:sz w:val="22"/>
        </w:rPr>
        <w:t>为旧类预测概率，</w:t>
      </w:r>
      <m:oMath>
        <m:sSub>
          <m:sSubPr/>
          <m:e>
            <m:r>
              <m:rPr/>
              <m:t>w</m:t>
            </m:r>
          </m:e>
          <m:sub>
            <m:r>
              <m:rPr/>
              <m:t>c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为根据target-support类别频数得到并归一化到均值1的类别权重：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>
          <m:e>
            <m:r>
              <m:t>B</m:t>
            </m:r>
          </m:e>
          <m:sub>
            <m:r>
              <m:t>src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>
          <m:e>
            <m:r>
              <m:t>B</m:t>
            </m:r>
          </m:e>
          <m:sub>
            <m:r>
              <m:t>tgt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分别是源域batch与目标域support batch，</w:t>
      </w:r>
      <m:oMath xmlns:a="http://schemas.openxmlformats.org/drawingml/2006/main" xmlns:pic="http://schemas.openxmlformats.org/drawingml/2006/picture">
        <m:d>
          <m:dPr>
            <m:begChr m:val="|"/>
            <m:endChr m:val="|"/>
            <m:sepChr m:val=""/>
            <m:grow/>
          </m:dPr>
          <m:e>
            <m:sSub>
              <m:e>
                <m:r>
                  <m:t>B</m:t>
                </m:r>
              </m:e>
              <m:sub>
                <m:r>
                  <m:t>D</m:t>
                </m:r>
              </m:sub>
            </m:sSub>
          </m:e>
        </m:d>
      </m:oMath>
      <w:r>
        <w:rPr>
          <w:rFonts w:ascii="Times New Roman" w:hAnsi="Times New Roman" w:eastAsia="宋体" w:cs="Times New Roman"/>
          <w:b w:val="0"/>
        </w:rPr>
        <w:t>是域</w:t>
      </w:r>
      <m:oMath xmlns:a="http://schemas.openxmlformats.org/drawingml/2006/main" xmlns:pic="http://schemas.openxmlformats.org/drawingml/2006/picture">
        <m:r>
          <m:t>D</m:t>
        </m:r>
      </m:oMath>
      <w:r>
        <w:rPr>
          <w:rFonts w:ascii="Times New Roman" w:hAnsi="Times New Roman" w:eastAsia="宋体" w:cs="Times New Roman"/>
          <w:b w:val="0"/>
        </w:rPr>
        <w:t>的batch样本数；</w:t>
      </w:r>
      <m:oMath xmlns:a="http://schemas.openxmlformats.org/drawingml/2006/main" xmlns:pic="http://schemas.openxmlformats.org/drawingml/2006/picture"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src</m:t>
        </m:r>
        <m:r>
          <m:rPr>
            <m:sty m:val="p"/>
          </m:rPr>
          <m:t>,</m:t>
        </m:r>
        <m:r>
          <m:t>tgt</m:t>
        </m:r>
        <m:r>
          <m:rPr>
            <m:sty m:val="p"/>
          </m:rPr>
          <m:t>}</m:t>
        </m:r>
      </m:oMath>
      <w:r>
        <w:rPr>
          <w:rFonts w:ascii="Times New Roman" w:hAnsi="Times New Roman" w:eastAsia="宋体" w:cs="Times New Roman"/>
          <w:b w:val="0"/>
        </w:rPr>
        <w:t>表示公式同时用于source与target。</w:t>
      </w:r>
      <m:oMath xmlns:a="http://schemas.openxmlformats.org/drawingml/2006/main" xmlns:pic="http://schemas.openxmlformats.org/drawingml/2006/picture">
        <m:sSub>
          <m:e>
            <m:r>
              <m:t>π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Times New Roman" w:hAnsi="Times New Roman" w:eastAsia="宋体" w:cs="Times New Roman"/>
          <w:b w:val="0"/>
        </w:rPr>
        <w:t>是模型把观测</w:t>
      </w:r>
      <m:oMath xmlns:a="http://schemas.openxmlformats.org/drawingml/2006/main" xmlns:pic="http://schemas.openxmlformats.org/drawingml/2006/picture">
        <m:r>
          <m:t>x</m:t>
        </m:r>
      </m:oMath>
      <w:r>
        <w:rPr>
          <w:rFonts w:ascii="Times New Roman" w:hAnsi="Times New Roman" w:eastAsia="宋体" w:cs="Times New Roman"/>
          <w:b w:val="0"/>
        </w:rPr>
        <w:t>判为旧类</w:t>
      </w:r>
      <m:oMath xmlns:a="http://schemas.openxmlformats.org/drawingml/2006/main" xmlns:pic="http://schemas.openxmlformats.org/drawingml/2006/picture">
        <m:r>
          <m:t>c</m:t>
        </m:r>
      </m:oMath>
      <w:r>
        <w:rPr>
          <w:rFonts w:ascii="Times New Roman" w:hAnsi="Times New Roman" w:eastAsia="宋体" w:cs="Times New Roman"/>
          <w:b w:val="0"/>
        </w:rPr>
        <w:t>的概率；</w:t>
      </w:r>
      <m:oMath xmlns:a="http://schemas.openxmlformats.org/drawingml/2006/main" xmlns:pic="http://schemas.openxmlformats.org/drawingml/2006/picture">
        <m:sSub>
          <m:e>
            <m:r>
              <m:t>n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是目标support中类别</w:t>
      </w:r>
      <m:oMath xmlns:a="http://schemas.openxmlformats.org/drawingml/2006/main" xmlns:pic="http://schemas.openxmlformats.org/drawingml/2006/picture">
        <m:r>
          <m:t>c</m:t>
        </m:r>
      </m:oMath>
      <w:r>
        <w:rPr>
          <w:rFonts w:ascii="Times New Roman" w:hAnsi="Times New Roman" w:eastAsia="宋体" w:cs="Times New Roman"/>
          <w:b w:val="0"/>
        </w:rPr>
        <w:t>的样本数，</w:t>
      </w:r>
      <m:oMath xmlns:a="http://schemas.openxmlformats.org/drawingml/2006/main" xmlns:pic="http://schemas.openxmlformats.org/drawingml/2006/picture">
        <m:r>
          <m:t>C</m:t>
        </m:r>
      </m:oMath>
      <w:r>
        <w:rPr>
          <w:rFonts w:ascii="Times New Roman" w:hAnsi="Times New Roman" w:eastAsia="宋体" w:cs="Times New Roman"/>
          <w:b w:val="0"/>
        </w:rPr>
        <w:t>是旧类总数，</w:t>
      </w:r>
      <m:oMath xmlns:a="http://schemas.openxmlformats.org/drawingml/2006/main" xmlns:pic="http://schemas.openxmlformats.org/drawingml/2006/picture">
        <m:sSub>
          <m:e>
            <m:r>
              <m:t>w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是逆频率类别权重，</w:t>
      </w:r>
      <m:oMath xmlns:a="http://schemas.openxmlformats.org/drawingml/2006/main" xmlns:pic="http://schemas.openxmlformats.org/drawingml/2006/picture">
        <m:r>
          <m:t>ε₀</m:t>
        </m:r>
      </m:oMath>
      <w:r>
        <w:rPr>
          <w:rFonts w:ascii="Times New Roman" w:hAnsi="Times New Roman" w:eastAsia="宋体" w:cs="Times New Roman"/>
          <w:b w:val="0"/>
        </w:rPr>
        <w:t>防止样本数为0时除零；</w:t>
      </w:r>
      <m:oMath xmlns:a="http://schemas.openxmlformats.org/drawingml/2006/main" xmlns:pic="http://schemas.openxmlformats.org/drawingml/2006/picture">
        <m:r>
          <m:rPr>
            <m:sty m:val="p"/>
          </m:rPr>
          <m:t>log</m:t>
        </m:r>
      </m:oMath>
      <w:r>
        <w:rPr>
          <w:rFonts w:ascii="Times New Roman" w:hAnsi="Times New Roman" w:eastAsia="宋体" w:cs="Times New Roman"/>
          <w:b w:val="0"/>
        </w:rPr>
        <w:t>是自然对数</w:t>
      </w:r>
      <w:r>
        <w:rPr>
          <w:rFonts w:ascii="Times New Roman" w:hAnsi="Times New Roman" w:cs="Times New Roman" w:eastAsia="宋体"/>
        </w:rPr>
        <w:t>）</w:t>
      </w:r>
      <w:r>
        <w:rPr>
          <w:rFonts w:ascii="Times New Roman" w:hAnsi="Times New Roman" w:eastAsia="宋体" w:cs="Times New Roman"/>
        </w:rPr>
        <w:t xml:space="preserve"> 本文各方法的分类概率统一记为上述符号。</w:t>
      </w:r>
    </w:p>
    <w:p w14:paraId="014D8A56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/>
                <m:t>w</m:t>
              </m:r>
            </m:e>
            <m:sub>
              <m:r>
                <m:rPr/>
                <m:t>c</m:t>
              </m:r>
            </m:sub>
          </m:sSub>
          <m:r>
            <m:rPr>
              <m:sty m:val="p"/>
            </m:rPr>
            <m:t>=</m:t>
          </m:r>
          <m:f>
            <m:fPr/>
            <m:num>
              <m:sSup>
                <m:sSupPr/>
                <m:e>
                  <m:d>
                    <m:dPr>
                      <m:sepChr m:val=""/>
                    </m:dPr>
                    <m:e>
                      <m:sSub>
                        <m:sSubPr/>
                        <m:e>
                          <m:r>
                            <m:rPr/>
                            <m:t>n</m:t>
                          </m:r>
                        </m:e>
                        <m:sub>
                          <m:r>
                            <m:rPr/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/>
                        <m:t>ε₀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/>
                    <m:t>1</m:t>
                  </m:r>
                </m:sup>
              </m:sSup>
            </m:num>
            <m:den>
              <m:f>
                <m:fPr/>
                <m:num>
                  <m:r>
                    <m:rPr/>
                    <m:t>1</m:t>
                  </m:r>
                </m:num>
                <m:den>
                  <m:r>
                    <m:rPr/>
                    <m:t>C</m:t>
                  </m:r>
                </m:den>
              </m:f>
              <m:nary>
                <m:naryPr>
                  <m:chr m:val="∑"/>
                  <m:limLoc m:val="undOvr"/>
                </m:naryPr>
                <m:sub>
                  <m:r>
                    <m:rPr/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rPr/>
                    <m:t>1</m:t>
                  </m:r>
                </m:sub>
                <m:sup>
                  <m:r>
                    <m:rPr/>
                    <m:t>C</m:t>
                  </m:r>
                </m:sup>
                <m:e>
                  <m:sSup>
                    <m:sSupPr/>
                    <m:e>
                      <m:d>
                        <m:dPr>
                          <m:sepChr m:val=""/>
                        </m:dPr>
                        <m:e>
                          <m:sSub>
                            <m:sSubPr/>
                            <m:e>
                              <m:r>
                                <m:rPr/>
                                <m:t>n</m:t>
                              </m:r>
                            </m:e>
                            <m:sub>
                              <m:r>
                                <m:rPr/>
                                <m:t>r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/>
                            <m:t>ε₀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/>
                        <m:t>1</m:t>
                      </m:r>
                    </m:sup>
                  </m:sSup>
                </m:e>
              </m:nary>
            </m:den>
          </m:f>
        </m:oMath>
      </m:oMathPara>
    </w:p>
    <w:p w14:paraId="5F36193D">
      <w:r>
        <w:rPr>
          <w:rFonts w:ascii="Times New Roman" w:hAnsi="Times New Roman" w:eastAsia="宋体" w:cs="Times New Roman"/>
          <w:sz w:val="22"/>
        </w:rPr>
        <w:t>source和target的加权交叉熵为：</w:t>
      </w:r>
    </w:p>
    <w:p w14:paraId="32FB5309">
      <w:pPr>
        <w:pStyle w:val="19"/>
      </w:pPr>
      <m:oMathPara>
        <m:oMathParaPr>
          <m:jc m:val="center"/>
        </m:oMathParaPr>
        <m:oMath>
          <m:sSubSup>
            <m:sSubSup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wCE</m:t>
              </m:r>
            </m:sub>
            <m:sup>
              <m:r>
                <m:rPr/>
                <m:t>D</m:t>
              </m:r>
            </m:sup>
          </m:sSubSup>
          <m:r>
            <m:rPr>
              <m:sty m:val="p"/>
            </m:rPr>
            <m:t>=−</m:t>
          </m:r>
          <m:f>
            <m:fPr/>
            <m:num>
              <m:r>
                <m:rPr/>
                <m:t>1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r>
                        <m:rPr/>
                        <m:t>D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pHide m:val="1"/>
            </m:naryPr>
            <m:sub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x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sSubPr/>
                    <m:e>
                      <m:r>
                        <m:rPr/>
                        <m:t>y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B</m:t>
                  </m:r>
                </m:e>
                <m:sub>
                  <m:r>
                    <m:rPr/>
                    <m:t>D</m:t>
                  </m:r>
                </m:sub>
              </m:sSub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w</m:t>
                  </m:r>
                </m:e>
                <m:sub>
                  <m:sSub>
                    <m:sSubPr/>
                    <m:e>
                      <m:r>
                        <m:rPr/>
                        <m:t>y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</m:sub>
              </m:sSub>
            </m:e>
          </m:nary>
          <m:r>
            <m:rPr>
              <m:sty m:val="p"/>
            </m:rPr>
            <m:t>log</m:t>
          </m:r>
          <m:sSub>
            <m:sSubPr/>
            <m:e>
              <m:r>
                <m:rPr/>
                <m:t>π</m:t>
              </m:r>
            </m:e>
            <m:sub>
              <m:r>
                <m:rPr/>
                <m:t>θ</m:t>
              </m:r>
            </m:sub>
          </m:sSub>
          <m:d>
            <m:dPr>
              <m:sepChr m:val=""/>
            </m:dPr>
            <m:e>
              <m:sSub>
                <m:sSubPr/>
                <m:e>
                  <m:r>
                    <m:rPr/>
                    <m:t>y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rPr/>
            <m:t>  D</m:t>
          </m:r>
          <m:r>
            <m:rPr>
              <m:sty m:val="p"/>
            </m:rPr>
            <m:t>∈{</m:t>
          </m:r>
          <m:r>
            <m:rPr/>
            <m:t>src</m:t>
          </m:r>
          <m:r>
            <m:rPr>
              <m:sty m:val="p"/>
            </m:rPr>
            <m:t>,</m:t>
          </m:r>
          <m:r>
            <m:rPr/>
            <m:t>tgt</m:t>
          </m:r>
          <m:r>
            <m:rPr>
              <m:sty m:val="p"/>
            </m:rPr>
            <m:t>}</m:t>
          </m:r>
        </m:oMath>
      </m:oMathPara>
    </w:p>
    <w:p w14:paraId="26EDADE8">
      <w:r>
        <w:rPr>
          <w:rFonts w:ascii="Times New Roman" w:hAnsi="Times New Roman" w:eastAsia="宋体" w:cs="Times New Roman"/>
          <w:sz w:val="22"/>
        </w:rPr>
        <w:t>令</w:t>
      </w:r>
      <m:oMath>
        <m:sSub>
          <m:sSubPr/>
          <m:e>
            <m:r>
              <m:rPr/>
              <m:t>T</m:t>
            </m:r>
          </m:e>
          <m:sub>
            <m:r>
              <m:rPr/>
              <m:t>ϕ</m:t>
            </m:r>
          </m:sub>
        </m:sSub>
        <m:d>
          <m:dPr>
            <m:sepChr m:val=""/>
          </m:dPr>
          <m:e>
            <m:r>
              <m:rPr/>
              <m:t>z</m:t>
            </m:r>
          </m:e>
        </m:d>
      </m:oMath>
      <w:r>
        <w:rPr>
          <w:rFonts w:ascii="Times New Roman" w:hAnsi="Times New Roman" w:eastAsia="宋体" w:cs="Times New Roman"/>
          <w:sz w:val="22"/>
        </w:rPr>
        <w:t>为DV估计网络，域差异项为：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Sup>
          <m:e>
            <m:r>
              <m:t>z</m:t>
            </m:r>
          </m:e>
          <m:sub>
            <m:r>
              <m:t>i</m:t>
            </m:r>
          </m:sub>
          <m:sup>
            <m:r>
              <m:t>src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Sup>
          <m:e>
            <m:r>
              <m:t>z</m:t>
            </m:r>
          </m:e>
          <m:sub>
            <m:r>
              <m:t>j</m:t>
            </m:r>
          </m:sub>
          <m:sup>
            <m:r>
              <m:t>tgt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是source样本</w:t>
      </w:r>
      <m:oMath xmlns:a="http://schemas.openxmlformats.org/drawingml/2006/main" xmlns:pic="http://schemas.openxmlformats.org/drawingml/2006/picture">
        <m:r>
          <m:t>i</m:t>
        </m:r>
      </m:oMath>
      <w:r>
        <w:rPr>
          <w:rFonts w:ascii="Times New Roman" w:hAnsi="Times New Roman" w:eastAsia="宋体" w:cs="Times New Roman"/>
          <w:b w:val="0"/>
        </w:rPr>
        <w:t>与target-support样本</w:t>
      </w:r>
      <m:oMath xmlns:a="http://schemas.openxmlformats.org/drawingml/2006/main" xmlns:pic="http://schemas.openxmlformats.org/drawingml/2006/picture">
        <m:r>
          <m:t>j</m:t>
        </m:r>
      </m:oMath>
      <w:r>
        <w:rPr>
          <w:rFonts w:ascii="Times New Roman" w:hAnsi="Times New Roman" w:eastAsia="宋体" w:cs="Times New Roman"/>
          <w:b w:val="0"/>
        </w:rPr>
        <w:t>的特征；</w:t>
      </w: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ϕ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是参数为</w:t>
      </w:r>
      <m:oMath xmlns:a="http://schemas.openxmlformats.org/drawingml/2006/main" xmlns:pic="http://schemas.openxmlformats.org/drawingml/2006/picture">
        <m:r>
          <m:t>ϕ</m:t>
        </m:r>
      </m:oMath>
      <w:r>
        <w:rPr>
          <w:rFonts w:ascii="Times New Roman" w:hAnsi="Times New Roman" w:eastAsia="宋体" w:cs="Times New Roman"/>
          <w:b w:val="0"/>
        </w:rPr>
        <w:t>的DV域统计网络。</w:t>
      </w:r>
      <m:oMath xmlns:a="http://schemas.openxmlformats.org/drawingml/2006/main" xmlns:pic="http://schemas.openxmlformats.org/drawingml/2006/picture">
        <m:r>
          <m:rPr>
            <m:sty m:val="p"/>
          </m:rPr>
          <m:t>exp</m:t>
        </m:r>
      </m:oMath>
      <w:r>
        <w:rPr>
          <w:rFonts w:ascii="Times New Roman" w:hAnsi="Times New Roman" w:eastAsia="宋体" w:cs="Times New Roman"/>
          <w:b w:val="0"/>
        </w:rPr>
        <w:t>是指数函数，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D</m:t>
            </m:r>
            <m:r>
              <m:t>V</m:t>
            </m:r>
            <m:r>
              <m:rPr>
                <m:sty m:val="p"/>
              </m:rPr>
              <m:t>−</m:t>
            </m:r>
            <m:r>
              <m:t>K</m:t>
            </m:r>
            <m:r>
              <m:t>L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越大表示两个接收机域越可区分；训练采用内层最大化域差异估计、外层最小化分类与对齐目标。总损失中的0.5、0.5和0.005分别是source分类、target-support分类和域差异项的固定权重</w:t>
      </w:r>
      <w:r>
        <w:rPr>
          <w:rFonts w:ascii="Times New Roman" w:hAnsi="Times New Roman" w:cs="Times New Roman" w:eastAsia="宋体"/>
        </w:rPr>
        <w:t>）</w:t>
      </w:r>
    </w:p>
    <w:p w14:paraId="455511E8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DV</m:t>
              </m:r>
              <m:r>
                <m:rPr>
                  <m:sty m:val="p"/>
                </m:rPr>
                <m:t>−</m:t>
              </m:r>
              <m:r>
                <m:rPr/>
                <m:t>KL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r>
                        <m:rPr/>
                        <m:t>src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B</m:t>
                  </m:r>
                </m:e>
                <m:sub>
                  <m:r>
                    <m:rPr/>
                    <m:t>src</m:t>
                  </m:r>
                </m:sub>
              </m:sSub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ϕ</m:t>
                  </m:r>
                </m:sub>
              </m:sSub>
            </m:e>
          </m:nary>
          <m:d>
            <m:dPr>
              <m:sepChr m:val=""/>
            </m:dPr>
            <m:e>
              <m:sSubSup>
                <m:sSubSupPr/>
                <m:e>
                  <m:r>
                    <m:rPr/>
                    <m:t>z</m:t>
                  </m:r>
                </m:e>
                <m:sub>
                  <m:r>
                    <m:rPr/>
                    <m:t>i</m:t>
                  </m:r>
                </m:sub>
                <m:sup>
                  <m:r>
                    <m:rPr/>
                    <m:t>src</m:t>
                  </m:r>
                </m:sup>
              </m:sSubSup>
            </m:e>
          </m:d>
          <m:r>
            <m:rPr>
              <m:sty m:val="p"/>
            </m:rPr>
            <m:t>−log</m:t>
          </m:r>
          <m:d>
            <m:dPr>
              <m:begChr m:val="["/>
              <m:sepChr m:val=""/>
              <m:endChr m:val="]"/>
            </m:dPr>
            <m:e>
              <m:f>
                <m:fPr/>
                <m:num>
                  <m:r>
                    <m:rPr/>
                    <m:t>1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</m:dPr>
                    <m:e>
                      <m:sSub>
                        <m:sSubPr/>
                        <m:e>
                          <m:r>
                            <m:rPr/>
                            <m:t>B</m:t>
                          </m:r>
                        </m:e>
                        <m:sub>
                          <m:r>
                            <m:rPr/>
                            <m:t>tgt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limLoc m:val="undOvr"/>
                  <m:supHide m:val="1"/>
                </m:naryPr>
                <m:sub>
                  <m:r>
                    <m:rPr/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r>
                        <m:rPr/>
                        <m:t>tgt</m:t>
                      </m:r>
                    </m:sub>
                  </m:sSub>
                </m:sub>
                <m:sup>
                  <m:r>
                    <m:rPr/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sSub>
                <m:sSubPr/>
                <m:e>
                  <m:r>
                    <m:rPr/>
                    <m:t>T</m:t>
                  </m:r>
                </m:e>
                <m:sub>
                  <m:r>
                    <m:rPr/>
                    <m:t>ϕ</m:t>
                  </m:r>
                </m:sub>
              </m:sSub>
              <m:d>
                <m:dPr>
                  <m:sepChr m:val=""/>
                </m:dPr>
                <m:e>
                  <m:sSubSup>
                    <m:sSubSupPr/>
                    <m:e>
                      <m:r>
                        <m:rPr/>
                        <m:t>z</m:t>
                      </m:r>
                    </m:e>
                    <m:sub>
                      <m:r>
                        <m:rPr/>
                        <m:t>j</m:t>
                      </m:r>
                    </m:sub>
                    <m:sup>
                      <m:r>
                        <m:rPr/>
                        <m:t>tgt</m:t>
                      </m:r>
                    </m:sup>
                  </m:sSubSup>
                </m:e>
              </m:d>
            </m:e>
          </m:d>
        </m:oMath>
      </m:oMathPara>
    </w:p>
    <w:p w14:paraId="4C36DD99">
      <w:r>
        <w:rPr>
          <w:rFonts w:ascii="Times New Roman" w:hAnsi="Times New Roman" w:eastAsia="宋体" w:cs="Times New Roman"/>
          <w:sz w:val="22"/>
        </w:rPr>
        <w:t>ADV3B02的外层优化目标为：</w:t>
      </w:r>
    </w:p>
    <w:p w14:paraId="388EA6B0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MRIOR-SDA</m:t>
              </m:r>
            </m:sub>
          </m:sSub>
          <m:r>
            <m:rPr>
              <m:sty m:val="p"/>
            </m:rPr>
            <m:t>=</m:t>
          </m:r>
          <m:r>
            <m:rPr/>
            <m:t>0.5</m:t>
          </m:r>
          <m:sSubSup>
            <m:sSubSup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wCE</m:t>
              </m:r>
            </m:sub>
            <m:sup>
              <m:r>
                <m:rPr>
                  <m:nor/>
                  <m:sty m:val="p"/>
                </m:rPr>
                <w:rPr>
                  <w:b w:val="0"/>
                  <w:i w:val="0"/>
                </w:rPr>
                <m:t>src</m:t>
              </m:r>
            </m:sup>
          </m:sSubSup>
          <m:r>
            <m:rPr>
              <m:sty m:val="p"/>
            </m:rPr>
            <m:t>+</m:t>
          </m:r>
          <m:r>
            <m:rPr/>
            <m:t>0.5</m:t>
          </m:r>
          <m:sSubSup>
            <m:sSubSup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wCE</m:t>
              </m:r>
            </m:sub>
            <m:sup>
              <m:r>
                <m:rPr>
                  <m:nor/>
                  <m:sty m:val="p"/>
                </m:rPr>
                <w:rPr>
                  <w:b w:val="0"/>
                  <w:i w:val="0"/>
                </w:rPr>
                <m:t>tgt-support</m:t>
              </m:r>
            </m:sup>
          </m:sSubSup>
          <m:r>
            <m:rPr>
              <m:sty m:val="p"/>
            </m:rPr>
            <m:t>+</m:t>
          </m:r>
          <m:r>
            <m:rPr/>
            <m:t>0.005</m:t>
          </m:r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DV-KL</m:t>
              </m:r>
            </m:sub>
          </m:sSub>
        </m:oMath>
      </m:oMathPara>
    </w:p>
    <w:p w14:paraId="3A3B3582">
      <w:r>
        <w:rPr>
          <w:rFonts w:ascii="Times New Roman" w:hAnsi="Times New Roman" w:eastAsia="宋体" w:cs="Times New Roman"/>
          <w:sz w:val="22"/>
        </w:rPr>
        <w:t>每个场景使用封存source LEO弱信道标签缓存和6类K-shot target-old LEO support。先用7个内层step最大化DV估计，再更新backbone；两个Adam学习率均为</w:t>
      </w:r>
      <m:oMath>
        <m:r>
          <m:rPr/>
          <m:t>6</m:t>
        </m:r>
        <m:r>
          <m:rPr>
            <m:sty m:val="p"/>
          </m:rPr>
          <m:t>×</m:t>
        </m:r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4</m:t>
            </m:r>
          </m:sup>
        </m:sSup>
      </m:oMath>
      <w:r>
        <w:rPr>
          <w:rFonts w:ascii="Times New Roman" w:hAnsi="Times New Roman" w:eastAsia="宋体" w:cs="Times New Roman"/>
          <w:sz w:val="22"/>
        </w:rPr>
        <w:t>，每场景200个外层step。query只在训练结束后测试。该方法的代价是source replay和完整backbone更新，因此只作为宽权限机制对照。</w:t>
      </w:r>
    </w:p>
    <w:bookmarkEnd w:id="4"/>
    <w:p w14:paraId="7D54DB0A">
      <w:pPr>
        <w:pStyle w:val="4"/>
        <w:keepNext/>
      </w:pPr>
      <w:bookmarkStart w:id="5" w:name="X717cebba3d9acef3bce53d9629af69d7e648448"/>
      <w:r>
        <w:rPr>
          <w:rFonts w:ascii="Times New Roman" w:hAnsi="Times New Roman" w:eastAsia="宋体" w:cs="Times New Roman"/>
          <w:sz w:val="26"/>
        </w:rPr>
        <w:t>3.4DADDA-SDA：全局与类条件动态分布对齐</w:t>
      </w:r>
    </w:p>
    <w:p w14:paraId="4F4AD56F">
      <w:r>
        <w:rPr>
          <w:rFonts w:ascii="Times New Roman" w:hAnsi="Times New Roman" w:eastAsia="宋体" w:cs="Times New Roman"/>
          <w:sz w:val="22"/>
        </w:rPr>
        <w:t>Feng等人的DADDA</w:t>
      </w:r>
      <w:r>
        <w:rPr>
          <w:rFonts w:ascii="Times New Roman" w:hAnsi="Times New Roman" w:cs="Times New Roman" w:eastAsia="宋体"/>
        </w:rPr>
        <w:t>（</w:t>
      </w:r>
      <w:r>
        <w:rPr>
          <w:rFonts w:ascii="Times New Roman" w:hAnsi="Times New Roman" w:eastAsia="宋体" w:cs="Times New Roman"/>
          <w:b w:val="0"/>
        </w:rPr>
        <w:t>Domain Adaptation with Dynamic Distribution Alignment，即动态分布对齐域适应；SDA仍表示监督域适应。MMD是Maximum Mean Discrepancy，即最大均值差异；LMMD是Local Maximum Mean Discrepancy，即按类别局部计算的最大均值差异；RBF是Radial Basis Function，即径向基函数核；SGD是Stochastic Gradient Descent，即随机梯度下降</w:t>
      </w:r>
      <w:r>
        <w:rPr>
          <w:rFonts w:ascii="Times New Roman" w:hAnsi="Times New Roman" w:cs="Times New Roman" w:eastAsia="宋体"/>
        </w:rPr>
        <w:t>）</w:t>
      </w:r>
      <w:r>
        <w:rPr>
          <w:rFonts w:ascii="Times New Roman" w:hAnsi="Times New Roman" w:eastAsia="宋体" w:cs="Times New Roman"/>
          <w:sz w:val="22"/>
        </w:rPr>
        <w:t>属于基于统计距离的跨接收机域适应[3]。其特点是同时计算全局MMD和类条件LMMD，再用数据驱动的动态分配二者权重。</w:t>
      </w:r>
    </w:p>
    <w:p w14:paraId="04163993">
      <w:pPr>
        <w:pStyle w:val="19"/>
      </w:pPr>
      <w:r>
        <w:rPr>
          <w:rFonts w:ascii="Times New Roman" w:hAnsi="Times New Roman" w:eastAsia="宋体" w:cs="Times New Roman"/>
          <w:sz w:val="22"/>
        </w:rPr>
        <w:t>source与target-support的监督分类项均采用标准交叉熵：</w:t>
      </w:r>
    </w:p>
    <w:p w14:paraId="4A40557A">
      <w:pPr>
        <w:pStyle w:val="19"/>
      </w:pPr>
      <m:oMathPara>
        <m:oMathParaPr>
          <m:jc m:val="center"/>
        </m:oMathParaPr>
        <m:oMath>
          <m:sSubSup>
            <m:sSubSup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CE</m:t>
              </m:r>
            </m:sub>
            <m:sup>
              <m:r>
                <m:rPr/>
                <m:t>D</m:t>
              </m:r>
            </m:sup>
          </m:sSubSup>
          <m:r>
            <m:rPr>
              <m:sty m:val="p"/>
            </m:rPr>
            <m:t>=−</m:t>
          </m:r>
          <m:f>
            <m:fPr/>
            <m:num>
              <m:r>
                <m:rPr/>
                <m:t>1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r>
                        <m:rPr/>
                        <m:t>D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pHide m:val="1"/>
            </m:naryPr>
            <m:sub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x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sSubPr/>
                    <m:e>
                      <m:r>
                        <m:rPr/>
                        <m:t>y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B</m:t>
                  </m:r>
                </m:e>
                <m:sub>
                  <m:r>
                    <m:rPr/>
                    <m:t>D</m:t>
                  </m:r>
                </m:sub>
              </m:sSub>
            </m:sub>
            <m:sup>
              <m:r>
                <m:rPr/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sSub>
            <m:sSubPr/>
            <m:e>
              <m:r>
                <m:rPr/>
                <m:t>π</m:t>
              </m:r>
            </m:e>
            <m:sub>
              <m:r>
                <m:rPr/>
                <m:t>θ</m:t>
              </m:r>
            </m:sub>
          </m:sSub>
          <m:d>
            <m:dPr>
              <m:sepChr m:val=""/>
            </m:dPr>
            <m:e>
              <m:sSub>
                <m:sSubPr/>
                <m:e>
                  <m:r>
                    <m:rPr/>
                    <m:t>y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rPr/>
            <m:t>  D</m:t>
          </m:r>
          <m:r>
            <m:rPr>
              <m:sty m:val="p"/>
            </m:rPr>
            <m:t>∈{</m:t>
          </m:r>
          <m:r>
            <m:rPr/>
            <m:t>src</m:t>
          </m:r>
          <m:r>
            <m:rPr>
              <m:sty m:val="p"/>
            </m:rPr>
            <m:t>,</m:t>
          </m:r>
          <m:r>
            <m:rPr/>
            <m:t>tgt</m:t>
          </m:r>
          <m:r>
            <m:rPr>
              <m:sty m:val="p"/>
            </m:rPr>
            <m:t>}</m:t>
          </m:r>
        </m:oMath>
      </m:oMathPara>
    </w:p>
    <w:p w14:paraId="5D41278B">
      <w:r>
        <w:rPr>
          <w:rFonts w:ascii="Times New Roman" w:hAnsi="Times New Roman" w:eastAsia="宋体" w:cs="Times New Roman"/>
          <w:sz w:val="22"/>
        </w:rPr>
        <w:t>采用RBF核：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r>
          <m:t>k</m:t>
        </m:r>
        <m:d>
          <m:dPr>
            <m:begChr m:val="("/>
            <m:endChr m:val=")"/>
            <m:sepChr m:val="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e>
        </m:d>
      </m:oMath>
      <w:r>
        <w:rPr>
          <w:rFonts w:ascii="Times New Roman" w:hAnsi="Times New Roman" w:eastAsia="宋体" w:cs="Times New Roman"/>
          <w:b w:val="0"/>
        </w:rPr>
        <w:t>是衡量两个特征向量</w:t>
      </w:r>
      <m:oMath xmlns:a="http://schemas.openxmlformats.org/drawingml/2006/main" xmlns:pic="http://schemas.openxmlformats.org/drawingml/2006/picture">
        <m:r>
          <m:t>u</m:t>
        </m:r>
      </m:oMath>
      <w:r>
        <w:rPr>
          <w:rFonts w:ascii="Times New Roman" w:hAnsi="Times New Roman" w:eastAsia="宋体" w:cs="Times New Roman"/>
          <w:b w:val="0"/>
        </w:rPr>
        <w:t>与</w:t>
      </w:r>
      <m:oMath xmlns:a="http://schemas.openxmlformats.org/drawingml/2006/main" xmlns:pic="http://schemas.openxmlformats.org/drawingml/2006/picture">
        <m:r>
          <m:t>v</m:t>
        </m:r>
      </m:oMath>
      <w:r>
        <w:rPr>
          <w:rFonts w:ascii="Times New Roman" w:hAnsi="Times New Roman" w:eastAsia="宋体" w:cs="Times New Roman"/>
          <w:b w:val="0"/>
        </w:rPr>
        <w:t>相似度的RBF核，距离越近核值越大；</w:t>
      </w:r>
      <m:oMath xmlns:a="http://schemas.openxmlformats.org/drawingml/2006/main" xmlns:pic="http://schemas.openxmlformats.org/drawingml/2006/picture">
        <m:r>
          <m:t>σ</m:t>
        </m:r>
      </m:oMath>
      <w:r>
        <w:rPr>
          <w:rFonts w:ascii="Times New Roman" w:hAnsi="Times New Roman" w:eastAsia="宋体" w:cs="Times New Roman"/>
          <w:b w:val="0"/>
        </w:rPr>
        <w:t>是核带宽，控制多大特征距离仍被视为相似。</w:t>
      </w:r>
      <m:oMath xmlns:a="http://schemas.openxmlformats.org/drawingml/2006/main" xmlns:pic="http://schemas.openxmlformats.org/drawingml/2006/picture">
        <m:sSub>
          <m:e>
            <m:r>
              <m:t>n</m:t>
            </m:r>
          </m:e>
          <m:sub>
            <m:r>
              <m:t>src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>
          <m:e>
            <m:r>
              <m:t>n</m:t>
            </m:r>
          </m:e>
          <m:sub>
            <m:r>
              <m:t>tgt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分别是source与target-support样本数；</w:t>
      </w:r>
      <m:oMath xmlns:a="http://schemas.openxmlformats.org/drawingml/2006/main" xmlns:pic="http://schemas.openxmlformats.org/drawingml/2006/picture"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′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′</m:t>
        </m:r>
      </m:oMath>
      <w:r>
        <w:rPr>
          <w:rFonts w:ascii="Times New Roman" w:hAnsi="Times New Roman" w:eastAsia="宋体" w:cs="Times New Roman"/>
          <w:b w:val="0"/>
        </w:rPr>
        <w:t>是两域中的样本索引。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M</m:t>
            </m:r>
            <m:r>
              <m:t>M</m:t>
            </m:r>
            <m:r>
              <m:t>D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比较两域整体特征分布，数值越小表示全局域差异越小</w:t>
      </w:r>
      <w:r>
        <w:rPr>
          <w:rFonts w:ascii="Times New Roman" w:hAnsi="Times New Roman" w:cs="Times New Roman" w:eastAsia="宋体"/>
        </w:rPr>
        <w:t>）</w:t>
      </w:r>
    </w:p>
    <w:p w14:paraId="52ACFEBC">
      <w:pPr>
        <w:pStyle w:val="19"/>
      </w:pPr>
      <m:oMathPara>
        <m:oMathParaPr>
          <m:jc m:val="center"/>
        </m:oMathParaPr>
        <m:oMath>
          <m:r>
            <m:rPr/>
            <m:t>k</m:t>
          </m:r>
          <m:d>
            <m:dPr>
              <m:sepChr m:val=""/>
            </m:dPr>
            <m:e>
              <m:r>
                <m:rPr/>
                <m:t>u</m:t>
              </m:r>
              <m:r>
                <m:rPr>
                  <m:sty m:val="p"/>
                </m:rPr>
                <m:t>,</m:t>
              </m:r>
              <m:r>
                <m:rPr/>
                <m:t>v</m:t>
              </m:r>
            </m:e>
          </m:d>
          <m:r>
            <m:rPr>
              <m:sty m:val="p"/>
            </m:rPr>
            <m:t>=exp</m:t>
          </m:r>
          <m:d>
            <m:dPr>
              <m:sepChr m:val=""/>
            </m:dPr>
            <m:e>
              <m:r>
                <m:rPr>
                  <m:sty m:val="p"/>
                </m:rPr>
                <m:t>−</m:t>
              </m:r>
              <m:f>
                <m:fPr/>
                <m:num>
                  <m:r>
                    <m:rPr>
                      <m:sty m:val="p"/>
                    </m:rPr>
                    <m:t>∥</m:t>
                  </m:r>
                  <m:r>
                    <m:rPr/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rPr/>
                    <m:t>v</m:t>
                  </m:r>
                  <m:sSubSup>
                    <m:sSubSupPr/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rPr/>
                        <m:t>2</m:t>
                      </m:r>
                    </m:sub>
                    <m:sup>
                      <m:r>
                        <m:rPr/>
                        <m:t>2</m:t>
                      </m:r>
                    </m:sup>
                  </m:sSubSup>
                </m:num>
                <m:den>
                  <m:r>
                    <m:rPr/>
                    <m:t>2</m:t>
                  </m:r>
                  <m:sSup>
                    <m:sSupPr/>
                    <m:e>
                      <m:r>
                        <m:rPr/>
                        <m:t>σ</m:t>
                      </m:r>
                    </m:e>
                    <m:sup>
                      <m:r>
                        <m:rPr/>
                        <m:t>2</m:t>
                      </m:r>
                    </m:sup>
                  </m:sSup>
                </m:den>
              </m:f>
            </m:e>
          </m:d>
        </m:oMath>
      </m:oMathPara>
    </w:p>
    <w:p w14:paraId="2197877B">
      <w:r>
        <w:rPr>
          <w:rFonts w:ascii="Times New Roman" w:hAnsi="Times New Roman" w:eastAsia="宋体" w:cs="Times New Roman"/>
          <w:sz w:val="22"/>
        </w:rPr>
        <w:t>全局MMD为：</w:t>
      </w:r>
    </w:p>
    <w:p w14:paraId="26CA8938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MMD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</m:num>
            <m:den>
              <m:sSubSup>
                <m:sSubSupPr/>
                <m:e>
                  <m:r>
                    <m:rPr/>
                    <m:t>n</m:t>
                  </m:r>
                </m:e>
                <m:sub>
                  <m:r>
                    <m:rPr/>
                    <m:t>src</m:t>
                  </m:r>
                </m:sub>
                <m:sup>
                  <m:r>
                    <m:rPr/>
                    <m:t>2</m:t>
                  </m:r>
                </m:sup>
              </m:sSubSup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  <m:r>
                <m:rPr>
                  <m:sty m:val="p"/>
                </m:rPr>
                <m:t>,</m:t>
              </m:r>
              <m:r>
                <m:rPr/>
                <m:t>i</m:t>
              </m:r>
              <m:r>
                <m:rPr>
                  <m:sty m:val="p"/>
                </m:rPr>
                <m:t>′</m:t>
              </m:r>
            </m:sub>
            <m:sup>
              <m:r>
                <m:rPr/>
                <m:t>​</m:t>
              </m:r>
            </m:sup>
            <m:e>
              <m:r>
                <m:rPr/>
                <m:t>k</m:t>
              </m:r>
            </m:e>
          </m:nary>
          <m:d>
            <m:dPr>
              <m:sepChr m:val=""/>
            </m:dPr>
            <m:e>
              <m:sSubSup>
                <m:sSubSupPr/>
                <m:e>
                  <m:r>
                    <m:rPr/>
                    <m:t>z</m:t>
                  </m:r>
                </m:e>
                <m:sub>
                  <m:r>
                    <m:rPr/>
                    <m:t>i</m:t>
                  </m:r>
                </m:sub>
                <m:sup>
                  <m:r>
                    <m:rPr/>
                    <m:t>src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sSubSupPr/>
                <m:e>
                  <m:r>
                    <m:rPr/>
                    <m:t>z</m:t>
                  </m:r>
                </m:e>
                <m:sub>
                  <m:r>
                    <m:rPr/>
                    <m:t>i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rPr/>
                    <m:t>src</m:t>
                  </m:r>
                </m:sup>
              </m:sSubSup>
            </m:e>
          </m:d>
          <m:r>
            <m:rPr>
              <m:sty m:val="p"/>
            </m:rPr>
            <m:t>+</m:t>
          </m:r>
          <m:f>
            <m:fPr/>
            <m:num>
              <m:r>
                <m:rPr/>
                <m:t>1</m:t>
              </m:r>
            </m:num>
            <m:den>
              <m:sSubSup>
                <m:sSubSupPr/>
                <m:e>
                  <m:r>
                    <m:rPr/>
                    <m:t>n</m:t>
                  </m:r>
                </m:e>
                <m:sub>
                  <m:r>
                    <m:rPr/>
                    <m:t>tgt</m:t>
                  </m:r>
                </m:sub>
                <m:sup>
                  <m:r>
                    <m:rPr/>
                    <m:t>2</m:t>
                  </m:r>
                </m:sup>
              </m:sSubSup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j</m:t>
              </m:r>
              <m:r>
                <m:rPr>
                  <m:sty m:val="p"/>
                </m:rPr>
                <m:t>,</m:t>
              </m:r>
              <m:r>
                <m:rPr/>
                <m:t>j</m:t>
              </m:r>
              <m:r>
                <m:rPr>
                  <m:sty m:val="p"/>
                </m:rPr>
                <m:t>′</m:t>
              </m:r>
            </m:sub>
            <m:sup>
              <m:r>
                <m:rPr/>
                <m:t>​</m:t>
              </m:r>
            </m:sup>
            <m:e>
              <m:r>
                <m:rPr/>
                <m:t>k</m:t>
              </m:r>
            </m:e>
          </m:nary>
          <m:d>
            <m:dPr>
              <m:sepChr m:val=""/>
            </m:dPr>
            <m:e>
              <m:sSubSup>
                <m:sSubSupPr/>
                <m:e>
                  <m:r>
                    <m:rPr/>
                    <m:t>z</m:t>
                  </m:r>
                </m:e>
                <m:sub>
                  <m:r>
                    <m:rPr/>
                    <m:t>j</m:t>
                  </m:r>
                </m:sub>
                <m:sup>
                  <m:r>
                    <m:rPr/>
                    <m:t>tgt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sSubSupPr/>
                <m:e>
                  <m:r>
                    <m:rPr/>
                    <m:t>z</m:t>
                  </m:r>
                </m:e>
                <m:sub>
                  <m:r>
                    <m:rPr/>
                    <m:t>j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rPr/>
                    <m:t>tgt</m:t>
                  </m:r>
                </m:sup>
              </m:sSubSup>
            </m:e>
          </m:d>
          <m:r>
            <m:rPr>
              <m:sty m:val="p"/>
            </m:rPr>
            <m:t>−</m:t>
          </m:r>
          <m:f>
            <m:fPr/>
            <m:num>
              <m:r>
                <m:rPr/>
                <m:t>2</m:t>
              </m:r>
            </m:num>
            <m:den>
              <m:sSub>
                <m:sSubPr/>
                <m:e>
                  <m:r>
                    <m:rPr/>
                    <m:t>n</m:t>
                  </m:r>
                </m:e>
                <m:sub>
                  <m:r>
                    <m:rPr/>
                    <m:t>src</m:t>
                  </m:r>
                </m:sub>
              </m:sSub>
              <m:sSub>
                <m:sSubPr/>
                <m:e>
                  <m:r>
                    <m:rPr/>
                    <m:t>n</m:t>
                  </m:r>
                </m:e>
                <m:sub>
                  <m:r>
                    <m:rPr/>
                    <m:t>tgt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i</m:t>
              </m:r>
              <m:r>
                <m:rPr>
                  <m:sty m:val="p"/>
                </m:rPr>
                <m:t>,</m:t>
              </m:r>
              <m:r>
                <m:rPr/>
                <m:t>j</m:t>
              </m:r>
            </m:sub>
            <m:sup>
              <m:r>
                <m:rPr/>
                <m:t>​</m:t>
              </m:r>
            </m:sup>
            <m:e>
              <m:r>
                <m:rPr/>
                <m:t>k</m:t>
              </m:r>
            </m:e>
          </m:nary>
          <m:d>
            <m:dPr>
              <m:sepChr m:val=""/>
            </m:dPr>
            <m:e>
              <m:sSubSup>
                <m:sSubSupPr/>
                <m:e>
                  <m:r>
                    <m:rPr/>
                    <m:t>z</m:t>
                  </m:r>
                </m:e>
                <m:sub>
                  <m:r>
                    <m:rPr/>
                    <m:t>i</m:t>
                  </m:r>
                </m:sub>
                <m:sup>
                  <m:r>
                    <m:rPr/>
                    <m:t>src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sSubSupPr/>
                <m:e>
                  <m:r>
                    <m:rPr/>
                    <m:t>z</m:t>
                  </m:r>
                </m:e>
                <m:sub>
                  <m:r>
                    <m:rPr/>
                    <m:t>j</m:t>
                  </m:r>
                </m:sub>
                <m:sup>
                  <m:r>
                    <m:rPr/>
                    <m:t>tgt</m:t>
                  </m:r>
                </m:sup>
              </m:sSubSup>
            </m:e>
          </m:d>
        </m:oMath>
      </m:oMathPara>
    </w:p>
    <w:p w14:paraId="4A36A440">
      <w:r>
        <w:rPr>
          <w:rFonts w:ascii="Times New Roman" w:hAnsi="Times New Roman" w:eastAsia="宋体" w:cs="Times New Roman"/>
          <w:sz w:val="22"/>
        </w:rPr>
        <w:t>对类别</w:t>
      </w:r>
      <m:oMath>
        <m:r>
          <m:rPr/>
          <m:t>c</m:t>
        </m:r>
      </m:oMath>
      <w:r>
        <w:rPr>
          <w:rFonts w:ascii="Times New Roman" w:hAnsi="Times New Roman" w:eastAsia="宋体" w:cs="Times New Roman"/>
          <w:sz w:val="22"/>
        </w:rPr>
        <w:t>，令</w:t>
      </w:r>
      <m:oMath>
        <m:sSubSup>
          <m:sSubSupPr/>
          <m:e>
            <m:r>
              <m:rPr/>
              <m:t>w</m:t>
            </m:r>
          </m:e>
          <m:sub>
            <m:r>
              <m:rPr/>
              <m:t>src</m:t>
            </m:r>
          </m:sub>
          <m:sup>
            <m:r>
              <m:rPr/>
              <m:t>c</m:t>
            </m:r>
          </m:sup>
        </m:sSubSup>
        <m:r>
          <m:rPr>
            <m:sty m:val="p"/>
          </m:rPr>
          <m:t>,</m:t>
        </m:r>
        <m:sSubSup>
          <m:sSubSupPr/>
          <m:e>
            <m:r>
              <m:rPr/>
              <m:t>w</m:t>
            </m:r>
          </m:e>
          <m:sub>
            <m:r>
              <m:rPr/>
              <m:t>tgt</m:t>
            </m:r>
          </m:sub>
          <m:sup>
            <m:r>
              <m:rPr/>
              <m:t>c</m:t>
            </m:r>
          </m:sup>
        </m:sSubSup>
      </m:oMath>
      <w:r>
        <w:rPr>
          <w:rFonts w:ascii="Times New Roman" w:hAnsi="Times New Roman" w:eastAsia="宋体" w:cs="Times New Roman"/>
          <w:sz w:val="22"/>
        </w:rPr>
        <w:t>为按该类样本数归一化的source/target-support权重，类条件LMMD为：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Sup>
          <m:e>
            <m:r>
              <m:t>w</m:t>
            </m:r>
          </m:e>
          <m:sub>
            <m:r>
              <m:t>src</m:t>
            </m:r>
          </m:sub>
          <m:sup>
            <m:r>
              <m:t>c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Sup>
          <m:e>
            <m:r>
              <m:t>w</m:t>
            </m:r>
          </m:e>
          <m:sub>
            <m:r>
              <m:t>tgt</m:t>
            </m:r>
          </m:sub>
          <m:sup>
            <m:r>
              <m:t>c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是类别</w:t>
      </w:r>
      <m:oMath xmlns:a="http://schemas.openxmlformats.org/drawingml/2006/main" xmlns:pic="http://schemas.openxmlformats.org/drawingml/2006/picture">
        <m:r>
          <m:t>c</m:t>
        </m:r>
      </m:oMath>
      <w:r>
        <w:rPr>
          <w:rFonts w:ascii="Times New Roman" w:hAnsi="Times New Roman" w:eastAsia="宋体" w:cs="Times New Roman"/>
          <w:b w:val="0"/>
        </w:rPr>
        <w:t>在source/target-support中的归一化样本权重向量；</w:t>
      </w:r>
      <m:oMath xmlns:a="http://schemas.openxmlformats.org/drawingml/2006/main" xmlns:pic="http://schemas.openxmlformats.org/drawingml/2006/picture">
        <m:sSub>
          <m:e>
            <m:r>
              <m:t>K</m:t>
            </m:r>
          </m:e>
          <m:sub>
            <m:r>
              <m:t>src</m:t>
            </m:r>
            <m:r>
              <m:t>src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、</w:t>
      </w:r>
      <m:oMath xmlns:a="http://schemas.openxmlformats.org/drawingml/2006/main" xmlns:pic="http://schemas.openxmlformats.org/drawingml/2006/picture">
        <m:sSub>
          <m:e>
            <m:r>
              <m:t>K</m:t>
            </m:r>
          </m:e>
          <m:sub>
            <m:r>
              <m:t>tgt</m:t>
            </m:r>
            <m:r>
              <m:t>tgt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>
          <m:e>
            <m:r>
              <m:t>K</m:t>
            </m:r>
          </m:e>
          <m:sub>
            <m:r>
              <m:t>src</m:t>
            </m:r>
            <m:r>
              <m:t>tgt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分别是source内部、target内部以及source-target之间的核矩阵；上标</w:t>
      </w:r>
      <m:oMath xmlns:a="http://schemas.openxmlformats.org/drawingml/2006/main" xmlns:pic="http://schemas.openxmlformats.org/drawingml/2006/picture">
        <m:r>
          <m:rPr>
            <m:sty m:val="p"/>
          </m:rPr>
          <m:t>⊤</m:t>
        </m:r>
      </m:oMath>
      <w:r>
        <w:rPr>
          <w:rFonts w:ascii="Times New Roman" w:hAnsi="Times New Roman" w:eastAsia="宋体" w:cs="Times New Roman"/>
          <w:b w:val="0"/>
        </w:rPr>
        <w:t>表示转置。</w:t>
      </w:r>
      <m:oMath xmlns:a="http://schemas.openxmlformats.org/drawingml/2006/main" xmlns:pic="http://schemas.openxmlformats.org/drawingml/2006/picture"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C</m:t>
            </m:r>
          </m:sup>
          <m:e>
            <m:r>
              <m:t>​</m:t>
            </m:r>
          </m:e>
        </m:nary>
      </m:oMath>
      <w:r>
        <w:rPr>
          <w:rFonts w:ascii="Times New Roman" w:hAnsi="Times New Roman" w:eastAsia="宋体" w:cs="Times New Roman"/>
          <w:b w:val="0"/>
        </w:rPr>
        <w:t>把所有旧发射机的类条件差异汇总为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L</m:t>
            </m:r>
            <m:r>
              <m:t>M</m:t>
            </m:r>
            <m:r>
              <m:t>M</m:t>
            </m:r>
            <m:r>
              <m:t>D</m:t>
            </m:r>
          </m:sub>
        </m:sSub>
      </m:oMath>
      <w:r>
        <w:rPr>
          <w:rFonts w:ascii="Times New Roman" w:hAnsi="Times New Roman" w:cs="Times New Roman" w:eastAsia="宋体"/>
        </w:rPr>
        <w:t>）</w:t>
      </w:r>
    </w:p>
    <w:p w14:paraId="3859D01E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LMMD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</m:naryPr>
            <m:sub>
              <m:r>
                <m:rPr/>
                <m:t>c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</m:sub>
            <m:sup>
              <m:r>
                <m:rPr/>
                <m:t>C</m:t>
              </m:r>
            </m:sup>
            <m:e>
              <m:d>
                <m:dPr>
                  <m:begChr m:val="["/>
                  <m:sepChr m:val=""/>
                  <m:endChr m:val="]"/>
                </m:dPr>
                <m:e>
                  <m:sSup>
                    <m:sSupPr/>
                    <m:e>
                      <m:d>
                        <m:dPr>
                          <m:sepChr m:val=""/>
                        </m:dPr>
                        <m:e>
                          <m:sSubSup>
                            <m:sSubSupPr/>
                            <m:e>
                              <m:r>
                                <m:rPr/>
                                <m:t>w</m:t>
                              </m:r>
                            </m:e>
                            <m:sub>
                              <m:r>
                                <m:rPr/>
                                <m:t>src</m:t>
                              </m:r>
                            </m:sub>
                            <m:sup>
                              <m:r>
                                <m:rPr/>
                                <m:t>c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src,src</m:t>
                      </m:r>
                    </m:sub>
                  </m:sSub>
                  <m:sSubSup>
                    <m:sSubSupPr/>
                    <m:e>
                      <m:r>
                        <m:rPr/>
                        <m:t>w</m:t>
                      </m:r>
                    </m:e>
                    <m:sub>
                      <m:r>
                        <m:rPr/>
                        <m:t>src</m:t>
                      </m:r>
                    </m:sub>
                    <m:sup>
                      <m:r>
                        <m:rPr/>
                        <m:t>c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sSupPr/>
                    <m:e>
                      <m:d>
                        <m:dPr>
                          <m:sepChr m:val=""/>
                        </m:dPr>
                        <m:e>
                          <m:sSubSup>
                            <m:sSubSupPr/>
                            <m:e>
                              <m:r>
                                <m:rPr/>
                                <m:t>w</m:t>
                              </m:r>
                            </m:e>
                            <m:sub>
                              <m:r>
                                <m:rPr/>
                                <m:t>tgt</m:t>
                              </m:r>
                            </m:sub>
                            <m:sup>
                              <m:r>
                                <m:rPr/>
                                <m:t>c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tgt,tgt</m:t>
                      </m:r>
                    </m:sub>
                  </m:sSub>
                  <m:sSubSup>
                    <m:sSubSupPr/>
                    <m:e>
                      <m:r>
                        <m:rPr/>
                        <m:t>w</m:t>
                      </m:r>
                    </m:e>
                    <m:sub>
                      <m:r>
                        <m:rPr/>
                        <m:t>tgt</m:t>
                      </m:r>
                    </m:sub>
                    <m:sup>
                      <m:r>
                        <m:rPr/>
                        <m:t>c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rPr/>
                    <m:t>2</m:t>
                  </m:r>
                  <m:sSup>
                    <m:sSupPr/>
                    <m:e>
                      <m:d>
                        <m:dPr>
                          <m:sepChr m:val=""/>
                        </m:dPr>
                        <m:e>
                          <m:sSubSup>
                            <m:sSubSupPr/>
                            <m:e>
                              <m:r>
                                <m:rPr/>
                                <m:t>w</m:t>
                              </m:r>
                            </m:e>
                            <m:sub>
                              <m:r>
                                <m:rPr/>
                                <m:t>src</m:t>
                              </m:r>
                            </m:sub>
                            <m:sup>
                              <m:r>
                                <m:rPr/>
                                <m:t>c</m:t>
                              </m:r>
                            </m:sup>
                          </m:sSub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sSubPr/>
                    <m:e>
                      <m:r>
                        <m:rPr/>
                        <m:t>K</m:t>
                      </m:r>
                    </m:e>
                    <m:sub>
                      <m:r>
                        <m:rPr/>
                        <m:t>src,tgt</m:t>
                      </m:r>
                    </m:sub>
                  </m:sSub>
                  <m:sSubSup>
                    <m:sSubSupPr/>
                    <m:e>
                      <m:r>
                        <m:rPr/>
                        <m:t>w</m:t>
                      </m:r>
                    </m:e>
                    <m:sub>
                      <m:r>
                        <m:rPr/>
                        <m:t>tgt</m:t>
                      </m:r>
                    </m:sub>
                    <m:sup>
                      <m:r>
                        <m:rPr/>
                        <m:t>c</m:t>
                      </m:r>
                    </m:sup>
                  </m:sSubSup>
                </m:e>
              </m:d>
            </m:e>
          </m:nary>
        </m:oMath>
      </m:oMathPara>
    </w:p>
    <w:p w14:paraId="0C119764">
      <w:r>
        <w:rPr>
          <w:rFonts w:ascii="Times New Roman" w:hAnsi="Times New Roman" w:eastAsia="宋体" w:cs="Times New Roman"/>
          <w:sz w:val="22"/>
        </w:rPr>
        <w:t>动态系数和总损失分别为：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r>
          <m:t>α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Times New Roman" w:hAnsi="Times New Roman" w:eastAsia="宋体" w:cs="Times New Roman"/>
          <w:b w:val="0"/>
        </w:rPr>
        <w:t>是由当前batch自动计算的动态权重：全局MMD较大时更强调LMMD，反之更强调MMD；分母中的</w:t>
      </w:r>
      <m:oMath xmlns:a="http://schemas.openxmlformats.org/drawingml/2006/main" xmlns:pic="http://schemas.openxmlformats.org/drawingml/2006/picture">
        <m:r>
          <m:t>ε₀</m:t>
        </m:r>
      </m:oMath>
      <w:r>
        <w:rPr>
          <w:rFonts w:ascii="Times New Roman" w:hAnsi="Times New Roman" w:eastAsia="宋体" w:cs="Times New Roman"/>
          <w:b w:val="0"/>
        </w:rPr>
        <w:t>保证数值稳定。</w:t>
      </w:r>
      <m:oMath xmlns:a="http://schemas.openxmlformats.org/drawingml/2006/main" xmlns:pic="http://schemas.openxmlformats.org/drawingml/2006/picture">
        <m:sSubSup>
          <m:e>
            <m:r>
              <m:rPr>
                <m:sty m:val="p"/>
                <m:scr m:val="script"/>
              </m:rPr>
              <m:t>L</m:t>
            </m:r>
          </m:e>
          <m:sub>
            <m:r>
              <m:t>C</m:t>
            </m:r>
            <m:r>
              <m:t>E</m:t>
            </m:r>
          </m:sub>
          <m:sup>
            <m:r>
              <m:t>src</m:t>
            </m:r>
            <m:r>
              <m:t>o</m:t>
            </m:r>
            <m:r>
              <m:t>u</m:t>
            </m:r>
            <m:r>
              <m:t>r</m:t>
            </m:r>
            <m:r>
              <m:t>c</m:t>
            </m:r>
            <m:r>
              <m:t>e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Sup>
          <m:e>
            <m:r>
              <m:rPr>
                <m:sty m:val="p"/>
                <m:scr m:val="script"/>
              </m:rPr>
              <m:t>L</m:t>
            </m:r>
          </m:e>
          <m:sub>
            <m:r>
              <m:t>C</m:t>
            </m:r>
            <m:r>
              <m:t>E</m:t>
            </m:r>
          </m:sub>
          <m:sup>
            <m:r>
              <m:t>tgt</m:t>
            </m:r>
            <m:r>
              <m:t>a</m:t>
            </m:r>
            <m:r>
              <m:t>r</m:t>
            </m:r>
            <m:r>
              <m:t>g</m:t>
            </m:r>
            <m:r>
              <m:t>e</m:t>
            </m:r>
            <m:r>
              <m:t>tgt</m:t>
            </m:r>
            <m:r>
              <m:rPr>
                <m:sty m:val="p"/>
              </m:rPr>
              <m:t>−</m:t>
            </m:r>
            <m:r>
              <m:t>src</m:t>
            </m:r>
            <m:r>
              <m:t>u</m:t>
            </m:r>
            <m:r>
              <m:t>p</m:t>
            </m:r>
            <m:r>
              <m:t>p</m:t>
            </m:r>
            <m:r>
              <m:t>o</m:t>
            </m:r>
            <m:r>
              <m:t>r</m:t>
            </m:r>
            <m:r>
              <m:t>tgt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分别监督源样本与目标support的发射机分类；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L</m:t>
            </m:r>
            <m:r>
              <m:t>M</m:t>
            </m:r>
            <m:r>
              <m:t>M</m:t>
            </m:r>
            <m:r>
              <m:t>D</m:t>
            </m:r>
            <m:r>
              <m:rPr>
                <m:sty m:val="p"/>
              </m:rPr>
              <m:t>−</m:t>
            </m:r>
            <m:r>
              <m:t>src</m:t>
            </m:r>
            <m:r>
              <m:t>u</m:t>
            </m:r>
            <m:r>
              <m:t>m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是各类LMMD项的求和；momentum是动量系数，weight decay是权重衰减</w:t>
      </w:r>
      <w:r>
        <w:rPr>
          <w:rFonts w:ascii="Times New Roman" w:hAnsi="Times New Roman" w:cs="Times New Roman" w:eastAsia="宋体"/>
        </w:rPr>
        <w:t>）</w:t>
      </w:r>
    </w:p>
    <w:p w14:paraId="461D712C">
      <w:pPr>
        <w:pStyle w:val="19"/>
      </w:pPr>
      <m:oMathPara>
        <m:oMathParaPr>
          <m:jc m:val="center"/>
        </m:oMathParaPr>
        <m:oMath>
          <m:r>
            <m:rPr/>
            <m:t>α</m:t>
          </m:r>
          <m:r>
            <m:rPr>
              <m:sty m:val="p"/>
            </m:rPr>
            <m:t>=</m:t>
          </m:r>
          <m:f>
            <m:fPr/>
            <m:num>
              <m:sSub>
                <m:sSubPr/>
                <m:e>
                  <m:r>
                    <m:rPr>
                      <m:sty m:val="p"/>
                      <m:scr m:val="script"/>
                    </m:rPr>
                    <m:t>ℒ</m:t>
                  </m:r>
                </m:e>
                <m:sub>
                  <m:r>
                    <m:rPr/>
                    <m:t>MMD</m:t>
                  </m:r>
                </m:sub>
              </m:sSub>
            </m:num>
            <m:den>
              <m:sSub>
                <m:sSubPr/>
                <m:e>
                  <m:r>
                    <m:rPr>
                      <m:sty m:val="p"/>
                      <m:scr m:val="script"/>
                    </m:rPr>
                    <m:t>ℒ</m:t>
                  </m:r>
                </m:e>
                <m:sub>
                  <m:r>
                    <m:rPr/>
                    <m:t>MMD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sSubPr/>
                <m:e>
                  <m:r>
                    <m:rPr>
                      <m:sty m:val="p"/>
                      <m:scr m:val="script"/>
                    </m:rPr>
                    <m:t>ℒ</m:t>
                  </m:r>
                </m:e>
                <m:sub>
                  <m:r>
                    <m:rPr/>
                    <m:t>LMMD</m:t>
                  </m:r>
                </m:sub>
              </m:sSub>
              <m:r>
                <m:rPr>
                  <m:sty m:val="p"/>
                </m:rPr>
                <m:t>+</m:t>
              </m:r>
              <m:r>
                <m:rPr/>
                <m:t>ε₀</m:t>
              </m:r>
            </m:den>
          </m:f>
        </m:oMath>
      </m:oMathPara>
    </w:p>
    <w:p w14:paraId="6DA171BE"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DADDA-SDA</m:t>
              </m:r>
            </m:sub>
          </m:sSub>
          <m:r>
            <m:rPr>
              <m:sty m:val="p"/>
            </m:rPr>
            <m:t>=</m:t>
          </m:r>
          <m:sSubSup>
            <m:sSubSup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CE</m:t>
              </m:r>
            </m:sub>
            <m:sup>
              <m:r>
                <m:rPr>
                  <m:nor/>
                  <m:sty m:val="p"/>
                </m:rPr>
                <w:rPr>
                  <w:b w:val="0"/>
                  <w:i w:val="0"/>
                </w:rPr>
                <m:t>src</m:t>
              </m:r>
            </m:sup>
          </m:sSubSup>
          <m:r>
            <m:rPr>
              <m:sty m:val="p"/>
            </m:rPr>
            <m:t>+</m:t>
          </m:r>
          <m:sSubSup>
            <m:sSubSup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CE</m:t>
              </m:r>
            </m:sub>
            <m:sup>
              <m:r>
                <m:rPr>
                  <m:nor/>
                  <m:sty m:val="p"/>
                </m:rPr>
                <w:rPr>
                  <w:b w:val="0"/>
                  <w:i w:val="0"/>
                </w:rPr>
                <m:t>tgt-support</m:t>
              </m:r>
            </m:sup>
          </m:sSubSup>
          <m:r>
            <m:rPr>
              <m:sty m:val="p"/>
            </m:rPr>
            <m:t>+</m:t>
          </m:r>
          <m:d>
            <m:dPr>
              <m:sepChr m:val=""/>
            </m:dPr>
            <m:e>
              <m:r>
                <m:rPr/>
                <m:t>1</m:t>
              </m:r>
              <m:r>
                <m:rPr>
                  <m:sty m:val="p"/>
                </m:rPr>
                <m:t>−</m:t>
              </m:r>
              <m:r>
                <m:rPr/>
                <m:t>α</m:t>
              </m:r>
            </m:e>
          </m:d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MMD</m:t>
              </m:r>
            </m:sub>
          </m:sSub>
          <m:r>
            <m:rPr>
              <m:sty m:val="p"/>
            </m:rPr>
            <m:t>+</m:t>
          </m:r>
          <m:r>
            <m:rPr/>
            <m:t>α</m:t>
          </m:r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LMMD-sum</m:t>
              </m:r>
            </m:sub>
          </m:sSub>
        </m:oMath>
      </m:oMathPara>
    </w:p>
    <w:p w14:paraId="3A9A0AA3">
      <w:r>
        <w:rPr>
          <w:rFonts w:ascii="Times New Roman" w:hAnsi="Times New Roman" w:eastAsia="宋体" w:cs="Times New Roman"/>
          <w:b/>
          <w:bCs/>
          <w:sz w:val="22"/>
        </w:rPr>
        <w:t>CVS执行：</w:t>
      </w:r>
      <w:r>
        <w:rPr>
          <w:rFonts w:ascii="Times New Roman" w:hAnsi="Times New Roman" w:eastAsia="宋体" w:cs="Times New Roman"/>
          <w:sz w:val="22"/>
        </w:rPr>
        <w:t xml:space="preserve"> 数据与MRIOR-SDA相同；更新完整ADV3B02身份backbone和旧类分类输出。SGD初始学习率为</w:t>
      </w:r>
      <m:oMath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4</m:t>
            </m:r>
          </m:sup>
        </m:sSup>
      </m:oMath>
      <w:r>
        <w:rPr>
          <w:rFonts w:ascii="Times New Roman" w:hAnsi="Times New Roman" w:eastAsia="宋体" w:cs="Times New Roman"/>
          <w:sz w:val="22"/>
        </w:rPr>
        <w:t>、momentum为0.9、weight decay为</w:t>
      </w:r>
      <m:oMath>
        <m:r>
          <m:rPr/>
          <m:t>5</m:t>
        </m:r>
        <m:r>
          <m:rPr>
            <m:sty m:val="p"/>
          </m:rPr>
          <m:t>×</m:t>
        </m:r>
        <m:sSup>
          <m:sSupPr/>
          <m:e>
            <m:r>
              <m:rPr/>
              <m:t>10</m:t>
            </m:r>
          </m:e>
          <m:sup>
            <m:r>
              <m:rPr>
                <m:sty m:val="p"/>
              </m:rPr>
              <m:t>−</m:t>
            </m:r>
            <m:r>
              <m:rPr/>
              <m:t>4</m:t>
            </m:r>
          </m:sup>
        </m:sSup>
      </m:oMath>
      <w:r>
        <w:rPr>
          <w:rFonts w:ascii="Times New Roman" w:hAnsi="Times New Roman" w:eastAsia="宋体" w:cs="Times New Roman"/>
          <w:sz w:val="22"/>
        </w:rPr>
        <w:t>，每场景200步。query不参与CE、MMD、LMMD或</w:t>
      </w:r>
      <m:oMath>
        <m:r>
          <m:rPr/>
          <m:t>α</m:t>
        </m:r>
      </m:oMath>
      <w:r>
        <w:rPr>
          <w:rFonts w:ascii="Times New Roman" w:hAnsi="Times New Roman" w:eastAsia="宋体" w:cs="Times New Roman"/>
          <w:sz w:val="22"/>
        </w:rPr>
        <w:t>估计。DADDA比MRIOR更直接地约束类条件分布，但K很小时</w:t>
      </w:r>
      <m:oMath>
        <m:sSubSup>
          <m:sSubSupPr/>
          <m:e>
            <m:r>
              <m:rPr/>
              <m:t>w</m:t>
            </m:r>
          </m:e>
          <m:sub>
            <m:r>
              <m:rPr/>
              <m:t>t</m:t>
            </m:r>
          </m:sub>
          <m:sup>
            <m:r>
              <m:rPr/>
              <m:t>c</m:t>
            </m:r>
          </m:sup>
        </m:sSubSup>
      </m:oMath>
      <w:r>
        <w:rPr>
          <w:rFonts w:ascii="Times New Roman" w:hAnsi="Times New Roman" w:eastAsia="宋体" w:cs="Times New Roman"/>
          <w:sz w:val="22"/>
        </w:rPr>
        <w:t>估计噪声较大，可能产生负迁移。</w:t>
      </w:r>
    </w:p>
    <w:bookmarkEnd w:id="5"/>
    <w:p w14:paraId="7513F33E">
      <w:pPr>
        <w:pStyle w:val="4"/>
        <w:keepNext/>
      </w:pPr>
      <w:r>
        <w:rPr>
          <w:rFonts w:ascii="Times New Roman" w:hAnsi="Times New Roman" w:eastAsia="宋体" w:cs="Times New Roman"/>
        </w:rPr>
        <w:t>3.5对比方法机制与权限对比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2"/>
        <w:gridCol w:w="1167"/>
        <w:gridCol w:w="1751"/>
        <w:gridCol w:w="1937"/>
        <w:gridCol w:w="869"/>
        <w:gridCol w:w="1702"/>
        <w:gridCol w:w="1052"/>
      </w:tblGrid>
      <w:tr w14:paraId="75AAFA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23EA92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方法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640FC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方法分类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80FB1C0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部署输入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4C4067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更新对象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1A5BF2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source访问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FD8D2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计算特点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9CBB64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本轮能否注册新类</w:t>
            </w:r>
          </w:p>
        </w:tc>
      </w:tr>
      <w:tr w14:paraId="15EAEF8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E34EF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ProtoNet CDA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517530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少样本监督DA基线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985FF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target-old support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149EE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prototype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89627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否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F3D607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0次backbone更新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80BD35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未评估</w:t>
            </w:r>
          </w:p>
        </w:tc>
      </w:tr>
      <w:tr w14:paraId="2DDAD5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E5694C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MRIOR-SDA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570D4F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模型更新型监督域适应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6E753A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source LEO缓存＋target-old support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027AFA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完整身份backbone＋DV-KL估计网络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C20BD9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是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4F0641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200步/场景，3场景合计600步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9D15A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否，闭集旧类</w:t>
            </w:r>
          </w:p>
        </w:tc>
      </w:tr>
      <w:tr w14:paraId="07DAB6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75D86B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DADDA-SDA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284A28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统计距离型监督域适应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1A048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source LEO缓存＋target-old support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90A8A1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完整身份backbone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068DA8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是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13A20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200步/场景，3场景合计600步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98D9B2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否，闭集旧类</w:t>
            </w:r>
          </w:p>
        </w:tc>
      </w:tr>
      <w:bookmarkEnd w:id="2"/>
    </w:tbl>
    <w:p w14:paraId="025EFCD4">
      <w:pPr>
        <w:pStyle w:val="4"/>
        <w:keepNext/>
      </w:pPr>
      <w:r>
        <w:rPr>
          <w:rFonts w:ascii="Times New Roman" w:hAnsi="Times New Roman" w:eastAsia="宋体" w:cs="Times New Roman"/>
        </w:rPr>
        <w:t>3.6对比方法复现实验结果</w:t>
      </w:r>
    </w:p>
    <w:p w14:paraId="07EB6167">
      <w:pPr>
        <w:pStyle w:val="19"/>
        <w:keepNext w:val="0"/>
      </w:pPr>
      <w:r>
        <w:rPr>
          <w:rFonts w:ascii="Times New Roman" w:hAnsi="Times New Roman" w:eastAsia="宋体" w:cs="Times New Roman"/>
        </w:rPr>
        <w:t>以下三张表直接采用《学习进展情况+7.16》中的原始结果表，依次给出总体表现、不同K-shot和不同target receiver的结果。三种方法各运行125个任务，共375个任务；表内数值不再压缩为单一结论。</w:t>
      </w:r>
    </w:p>
    <w:p w14:paraId="3978B4E3">
      <w:pPr>
        <w:pStyle w:val="5"/>
        <w:keepNext/>
      </w:pPr>
      <w:r>
        <w:rPr>
          <w:rFonts w:ascii="Times New Roman" w:hAnsi="Times New Roman" w:eastAsia="宋体" w:cs="Times New Roman"/>
        </w:rPr>
        <w:t>3.6.1总体性能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4"/>
        <w:gridCol w:w="1216"/>
        <w:gridCol w:w="1216"/>
        <w:gridCol w:w="1123"/>
        <w:gridCol w:w="1684"/>
        <w:gridCol w:w="1123"/>
        <w:gridCol w:w="1314"/>
      </w:tblGrid>
      <w:tr w14:paraId="671A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84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8CA1FAF">
            <w:pPr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>方法</w:t>
            </w:r>
          </w:p>
        </w:tc>
        <w:tc>
          <w:tcPr>
            <w:tcW w:w="1216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A916BB8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1F4E79"/>
                <w:sz w:val="16"/>
              </w:rPr>
              <w:t>DA0_REG0</w:t>
            </w: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 xml:space="preserve"> </w:t>
            </w:r>
            <m:oMath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old</m:t>
                  </m:r>
                </m:sub>
              </m:sSub>
            </m:oMath>
          </w:p>
        </w:tc>
        <w:tc>
          <w:tcPr>
            <w:tcW w:w="1216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C6F120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1F4E79"/>
                <w:sz w:val="16"/>
              </w:rPr>
              <w:t>DA1_REG0</w:t>
            </w: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 xml:space="preserve"> </w:t>
            </w:r>
            <m:oMath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old</m:t>
                  </m:r>
                </m:sub>
              </m:sSub>
            </m:oMath>
          </w:p>
        </w:tc>
        <w:tc>
          <w:tcPr>
            <w:tcW w:w="1123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DD83F9E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1F4E79"/>
                <w:sz w:val="16"/>
              </w:rPr>
              <w:t>平均</w:t>
            </w: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 xml:space="preserve"> </w:t>
            </w:r>
            <m:oMath>
              <m:sSub>
                <m:sSubPr/>
                <m:e>
                  <m:r>
                    <m:rPr/>
                    <m:t>G</m:t>
                  </m:r>
                </m:e>
                <m:sub>
                  <m:r>
                    <m:rPr/>
                    <m:t>old</m:t>
                  </m:r>
                </m:sub>
              </m:sSub>
            </m:oMath>
          </w:p>
        </w:tc>
        <w:tc>
          <w:tcPr>
            <w:tcW w:w="1684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6EF8B79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>正/负迁移任务</w:t>
            </w:r>
          </w:p>
        </w:tc>
        <w:tc>
          <w:tcPr>
            <w:tcW w:w="1123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2C61809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>平均时延</w:t>
            </w:r>
          </w:p>
        </w:tc>
        <w:tc>
          <w:tcPr>
            <w:tcW w:w="1314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10BFEC5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>backbone更新</w:t>
            </w:r>
          </w:p>
        </w:tc>
      </w:tr>
      <w:tr w14:paraId="243DC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A8EBC2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MRIOR-SDA</w:t>
            </w:r>
          </w:p>
        </w:tc>
        <w:tc>
          <w:tcPr>
            <w:tcW w:w="121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BC80A3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73.60%</w:t>
            </w:r>
          </w:p>
        </w:tc>
        <w:tc>
          <w:tcPr>
            <w:tcW w:w="121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310E33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82.58%</w:t>
            </w:r>
          </w:p>
        </w:tc>
        <w:tc>
          <w:tcPr>
            <w:tcW w:w="112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CAA591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+8.98pp</w:t>
            </w:r>
          </w:p>
        </w:tc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D480E3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105/20</w:t>
            </w:r>
          </w:p>
        </w:tc>
        <w:tc>
          <w:tcPr>
            <w:tcW w:w="112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C569D4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17.90s</w:t>
            </w:r>
          </w:p>
        </w:tc>
        <w:tc>
          <w:tcPr>
            <w:tcW w:w="131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4B8FFD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600</w:t>
            </w:r>
          </w:p>
        </w:tc>
      </w:tr>
      <w:tr w14:paraId="47ED58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778E08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DADDA-SDA</w:t>
            </w:r>
          </w:p>
        </w:tc>
        <w:tc>
          <w:tcPr>
            <w:tcW w:w="121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58EEAE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73.60%</w:t>
            </w:r>
          </w:p>
        </w:tc>
        <w:tc>
          <w:tcPr>
            <w:tcW w:w="121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DB380A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78.35%</w:t>
            </w:r>
          </w:p>
        </w:tc>
        <w:tc>
          <w:tcPr>
            <w:tcW w:w="112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9F1EE0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+4.75pp</w:t>
            </w:r>
          </w:p>
        </w:tc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133961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99/26</w:t>
            </w:r>
          </w:p>
        </w:tc>
        <w:tc>
          <w:tcPr>
            <w:tcW w:w="112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26EB1C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14.62s</w:t>
            </w:r>
          </w:p>
        </w:tc>
        <w:tc>
          <w:tcPr>
            <w:tcW w:w="131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D8FEEB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600</w:t>
            </w:r>
          </w:p>
        </w:tc>
      </w:tr>
      <w:tr w14:paraId="05A30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DB67AFF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ProtoNet CDA</w:t>
            </w:r>
          </w:p>
        </w:tc>
        <w:tc>
          <w:tcPr>
            <w:tcW w:w="121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F4000B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73.60%</w:t>
            </w:r>
          </w:p>
        </w:tc>
        <w:tc>
          <w:tcPr>
            <w:tcW w:w="121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78157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66.85%</w:t>
            </w:r>
          </w:p>
        </w:tc>
        <w:tc>
          <w:tcPr>
            <w:tcW w:w="112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5EA8D9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−6.75pp</w:t>
            </w:r>
          </w:p>
        </w:tc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A1959C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10/115</w:t>
            </w:r>
          </w:p>
        </w:tc>
        <w:tc>
          <w:tcPr>
            <w:tcW w:w="112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160633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0.046s</w:t>
            </w:r>
          </w:p>
        </w:tc>
        <w:tc>
          <w:tcPr>
            <w:tcW w:w="131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0BFF9F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</w:t>
            </w:r>
          </w:p>
        </w:tc>
      </w:tr>
    </w:tbl>
    <w:p w14:paraId="0CA1A6DF">
      <w:pPr>
        <w:pStyle w:val="19"/>
        <w:keepNext w:val="0"/>
      </w:pPr>
      <w:r>
        <w:rPr>
          <w:rFonts w:ascii="Times New Roman" w:hAnsi="Times New Roman" w:eastAsia="宋体" w:cs="Times New Roman"/>
        </w:rPr>
        <w:t>MRIOR-SDA的适应后old_acc最高，平均收益为+8.98个百分点；DADDA-SDA平均收益为+4.75个百分点；ProtoNet CDA平均下降6.75个百分点。这说明target-old support含有可利用的域校准信息，但固定embedding上的单prototype不足以修正系统性跨接收机偏移。</w:t>
      </w:r>
    </w:p>
    <w:p w14:paraId="5FBB1334">
      <w:pPr>
        <w:pStyle w:val="5"/>
        <w:keepNext/>
      </w:pPr>
      <w:r>
        <w:rPr>
          <w:rFonts w:ascii="Times New Roman" w:hAnsi="Times New Roman" w:eastAsia="宋体" w:cs="Times New Roman"/>
        </w:rPr>
        <w:t>3.6.2不同K-shot下的结果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"/>
        <w:gridCol w:w="2106"/>
        <w:gridCol w:w="2106"/>
        <w:gridCol w:w="2059"/>
        <w:gridCol w:w="2153"/>
      </w:tblGrid>
      <w:tr w14:paraId="243D3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936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97EB15C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7"/>
              </w:rPr>
              <w:t>K</w:t>
            </w:r>
          </w:p>
        </w:tc>
        <w:tc>
          <w:tcPr>
            <w:tcW w:w="2106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D87578D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7"/>
              </w:rPr>
              <w:t>直接ADV3B02</w:t>
            </w:r>
          </w:p>
        </w:tc>
        <w:tc>
          <w:tcPr>
            <w:tcW w:w="2106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2E09383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7"/>
              </w:rPr>
              <w:t>MRIOR-SDA</w:t>
            </w:r>
          </w:p>
        </w:tc>
        <w:tc>
          <w:tcPr>
            <w:tcW w:w="2059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C49BF73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7"/>
              </w:rPr>
              <w:t>DADDA-SDA</w:t>
            </w:r>
          </w:p>
        </w:tc>
        <w:tc>
          <w:tcPr>
            <w:tcW w:w="2153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2F78E39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7"/>
              </w:rPr>
              <w:t>ProtoNet CDA</w:t>
            </w:r>
          </w:p>
        </w:tc>
      </w:tr>
      <w:tr w14:paraId="7FB3B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008BC7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</w:t>
            </w:r>
          </w:p>
        </w:tc>
        <w:tc>
          <w:tcPr>
            <w:tcW w:w="21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C40B73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73.60%</w:t>
            </w:r>
          </w:p>
        </w:tc>
        <w:tc>
          <w:tcPr>
            <w:tcW w:w="21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4464A4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77.22%</w:t>
            </w:r>
          </w:p>
        </w:tc>
        <w:tc>
          <w:tcPr>
            <w:tcW w:w="205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9B4BC7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74.94%</w:t>
            </w:r>
          </w:p>
        </w:tc>
        <w:tc>
          <w:tcPr>
            <w:tcW w:w="215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81C0FA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58.67%</w:t>
            </w:r>
          </w:p>
        </w:tc>
      </w:tr>
      <w:tr w14:paraId="65253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BFC693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</w:t>
            </w:r>
          </w:p>
        </w:tc>
        <w:tc>
          <w:tcPr>
            <w:tcW w:w="21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15A814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73.60%</w:t>
            </w:r>
          </w:p>
        </w:tc>
        <w:tc>
          <w:tcPr>
            <w:tcW w:w="21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5DED70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79.51%</w:t>
            </w:r>
          </w:p>
        </w:tc>
        <w:tc>
          <w:tcPr>
            <w:tcW w:w="205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6E64F7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76.14%</w:t>
            </w:r>
          </w:p>
        </w:tc>
        <w:tc>
          <w:tcPr>
            <w:tcW w:w="215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761BA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64.70%</w:t>
            </w:r>
          </w:p>
        </w:tc>
      </w:tr>
      <w:tr w14:paraId="769456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C1D42D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5</w:t>
            </w:r>
          </w:p>
        </w:tc>
        <w:tc>
          <w:tcPr>
            <w:tcW w:w="21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F80296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73.60%</w:t>
            </w:r>
          </w:p>
        </w:tc>
        <w:tc>
          <w:tcPr>
            <w:tcW w:w="21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80ED04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82.59%</w:t>
            </w:r>
          </w:p>
        </w:tc>
        <w:tc>
          <w:tcPr>
            <w:tcW w:w="205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7E14AC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78.19%</w:t>
            </w:r>
          </w:p>
        </w:tc>
        <w:tc>
          <w:tcPr>
            <w:tcW w:w="215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36A376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68.98%</w:t>
            </w:r>
          </w:p>
        </w:tc>
      </w:tr>
      <w:tr w14:paraId="3F691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D9DD61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10</w:t>
            </w:r>
          </w:p>
        </w:tc>
        <w:tc>
          <w:tcPr>
            <w:tcW w:w="21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EC52C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73.60%</w:t>
            </w:r>
          </w:p>
        </w:tc>
        <w:tc>
          <w:tcPr>
            <w:tcW w:w="21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43802E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85.82%</w:t>
            </w:r>
          </w:p>
        </w:tc>
        <w:tc>
          <w:tcPr>
            <w:tcW w:w="205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3AACAB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80.31%</w:t>
            </w:r>
          </w:p>
        </w:tc>
        <w:tc>
          <w:tcPr>
            <w:tcW w:w="215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2414DC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70.42%</w:t>
            </w:r>
          </w:p>
        </w:tc>
      </w:tr>
      <w:tr w14:paraId="4CC919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412293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20</w:t>
            </w:r>
          </w:p>
        </w:tc>
        <w:tc>
          <w:tcPr>
            <w:tcW w:w="21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9C8233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73.60%</w:t>
            </w:r>
          </w:p>
        </w:tc>
        <w:tc>
          <w:tcPr>
            <w:tcW w:w="21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BB9A6E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87.74%</w:t>
            </w:r>
          </w:p>
        </w:tc>
        <w:tc>
          <w:tcPr>
            <w:tcW w:w="205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B84094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82.16%</w:t>
            </w:r>
          </w:p>
        </w:tc>
        <w:tc>
          <w:tcPr>
            <w:tcW w:w="2153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177307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71.48%</w:t>
            </w:r>
          </w:p>
        </w:tc>
      </w:tr>
    </w:tbl>
    <w:p w14:paraId="7BCE328B">
      <w:pPr>
        <w:pStyle w:val="19"/>
        <w:keepNext w:val="0"/>
      </w:pPr>
      <w:r>
        <w:rPr>
          <w:rFonts w:ascii="Times New Roman" w:hAnsi="Times New Roman" w:eastAsia="宋体" w:cs="Times New Roman"/>
        </w:rPr>
        <w:t>K从1增加到20时，MRIOR-SDA与DADDA-SDA持续受益，说明更多target support提高了梯度估计和类条件分布估计的稳定性。ProtoNet CDA也随K增加而改善，但K=20时仍低于直接ADV3B02。</w:t>
      </w:r>
    </w:p>
    <w:p w14:paraId="7930FEE2">
      <w:pPr>
        <w:pStyle w:val="5"/>
        <w:keepNext/>
      </w:pPr>
      <w:r>
        <w:rPr>
          <w:rFonts w:ascii="Times New Roman" w:hAnsi="Times New Roman" w:eastAsia="宋体" w:cs="Times New Roman"/>
        </w:rPr>
        <w:t>3.6.3不同target receiver下的结果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4"/>
        <w:gridCol w:w="1918"/>
        <w:gridCol w:w="1918"/>
        <w:gridCol w:w="1918"/>
        <w:gridCol w:w="1922"/>
      </w:tblGrid>
      <w:tr w14:paraId="2E790B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684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B90B893">
            <w:pPr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7"/>
              </w:rPr>
              <w:t>target receiver</w:t>
            </w:r>
          </w:p>
        </w:tc>
        <w:tc>
          <w:tcPr>
            <w:tcW w:w="1918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48A849D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7"/>
              </w:rPr>
              <w:t>直接ADV3B02</w:t>
            </w:r>
          </w:p>
        </w:tc>
        <w:tc>
          <w:tcPr>
            <w:tcW w:w="1918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66CEB71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7"/>
              </w:rPr>
              <w:t>MRIOR-SDA</w:t>
            </w:r>
          </w:p>
        </w:tc>
        <w:tc>
          <w:tcPr>
            <w:tcW w:w="1918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F43F77C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7"/>
              </w:rPr>
              <w:t>DADDA-SDA</w:t>
            </w:r>
          </w:p>
        </w:tc>
        <w:tc>
          <w:tcPr>
            <w:tcW w:w="1922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30095D5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7"/>
              </w:rPr>
              <w:t>ProtoNet CDA</w:t>
            </w:r>
          </w:p>
        </w:tc>
      </w:tr>
      <w:tr w14:paraId="2F4CD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4FFA67E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20-1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414E5A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64.61%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C8ECBE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83.43%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0A9EAD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75.91%</w:t>
            </w:r>
          </w:p>
        </w:tc>
        <w:tc>
          <w:tcPr>
            <w:tcW w:w="192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B274E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60.98%</w:t>
            </w:r>
          </w:p>
        </w:tc>
      </w:tr>
      <w:tr w14:paraId="594D1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F196B1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3-19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C9C32C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60.33%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AB1095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69.06%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E7D1BF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65.31%</w:t>
            </w:r>
          </w:p>
        </w:tc>
        <w:tc>
          <w:tcPr>
            <w:tcW w:w="192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7B1876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48.50%</w:t>
            </w:r>
          </w:p>
        </w:tc>
      </w:tr>
      <w:tr w14:paraId="2E9DED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DF9E122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7-14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FB2349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90.06%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57C5F5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89.93%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74E03E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89.93%</w:t>
            </w:r>
          </w:p>
        </w:tc>
        <w:tc>
          <w:tcPr>
            <w:tcW w:w="192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B5D62C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83.53%</w:t>
            </w:r>
          </w:p>
        </w:tc>
      </w:tr>
      <w:tr w14:paraId="3AECD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98C693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7-7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373629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80.22%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92BE47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86.78%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B90E7B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82.49%</w:t>
            </w:r>
          </w:p>
        </w:tc>
        <w:tc>
          <w:tcPr>
            <w:tcW w:w="192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2CAA23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74.81%</w:t>
            </w:r>
          </w:p>
        </w:tc>
      </w:tr>
      <w:tr w14:paraId="08E00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684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124DB04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8-8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718EF9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72.78%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AE5729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83.69%</w:t>
            </w:r>
          </w:p>
        </w:tc>
        <w:tc>
          <w:tcPr>
            <w:tcW w:w="1918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19C8D4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78.10%</w:t>
            </w:r>
          </w:p>
        </w:tc>
        <w:tc>
          <w:tcPr>
            <w:tcW w:w="192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9ADD96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7"/>
              </w:rPr>
              <w:t>66.42%</w:t>
            </w:r>
          </w:p>
        </w:tc>
      </w:tr>
    </w:tbl>
    <w:p w14:paraId="39BABBA1">
      <w:pPr>
        <w:pStyle w:val="19"/>
        <w:keepNext w:val="0"/>
      </w:pPr>
      <w:r>
        <w:rPr>
          <w:rFonts w:ascii="Times New Roman" w:hAnsi="Times New Roman" w:eastAsia="宋体" w:cs="Times New Roman"/>
        </w:rPr>
        <w:t>不同receiver的direct基线差异明显：3-19最困难，7-14的direct基线最高。MRIOR-SDA在20-1、7-7和8-8上获得明显正收益，但在7-14上略低于direct，说明高基线receiver继续更新时存在负迁移风险。</w:t>
      </w:r>
    </w:p>
    <w:p>
      <w:pPr>
        <w:pStyle w:val="5"/>
        <w:keepNext/>
      </w:pPr>
      <w:r>
        <w:rPr>
          <w:rFonts w:ascii="Times New Roman" w:hAnsi="Times New Roman" w:cs="Times New Roman" w:eastAsia="宋体"/>
        </w:rPr>
        <w:t>3.6.4qKNN Stage2-B域适应实验结果</w:t>
      </w:r>
    </w:p>
    <w:p>
      <w:pPr>
        <w:pStyle w:val="19"/>
        <w:keepNext w:val="0"/>
      </w:pPr>
      <w:r>
        <w:rPr>
          <w:rFonts w:ascii="Times New Roman" w:hAnsi="Times New Roman" w:cs="Times New Roman" w:eastAsia="宋体"/>
        </w:rPr>
        <w:t>qKNN</w:t>
      </w:r>
      <w:r>
        <w:rPr>
          <w:rFonts w:ascii="Times New Roman" w:hAnsi="Times New Roman" w:cs="Times New Roman" w:eastAsia="宋体"/>
        </w:rPr>
        <w:t>（</w:t>
      </w:r>
      <w:r>
        <w:rPr>
          <w:rFonts w:ascii="Times New Roman" w:hAnsi="Times New Roman" w:eastAsia="宋体" w:cs="Times New Roman"/>
          <w:b w:val="0"/>
        </w:rPr>
        <w:t>quantized K-nearest neighbors，即量化K近邻；其中q表示quantized，KNN表示K-nearest neighbors；qKNN名称中的K不表示K-shot，本文只有单独出现的K才表示每类support物理样本数。本文按照项目命名约定，用qKNN统称Phase2轻量适配/注册路线。所列实验版本在量化近邻/原型记忆基础上加入support稳健状态和共享判别头，因此不能理解为最原始的裸KNN多数投票；S2B-old表示完成旧类target support域适配后、注册新类前的Stage2-B旧类准确率</w:t>
      </w:r>
      <w:r>
        <w:rPr>
          <w:rFonts w:ascii="Times New Roman" w:hAnsi="Times New Roman" w:cs="Times New Roman" w:eastAsia="宋体"/>
        </w:rPr>
        <w:t>）</w:t>
      </w:r>
      <w:r>
        <w:rPr>
          <w:rFonts w:ascii="Times New Roman" w:hAnsi="Times New Roman" w:cs="Times New Roman" w:eastAsia="宋体"/>
        </w:rPr>
        <w:t>的Stage2-B状态读取6个旧类的K-shot target support，在注册任何新类之前完成旧类目标域适配。原始artifact将该指标记为B-old；为避免把“注册前”误解成“尚未域适应”，本节统一记为S2B-old。下表按K、target receiver和LEO弱信道场景列出S2B-old，每个单元格为5个seed（713102–713106）的均值。</w:t>
      </w:r>
    </w:p>
    <w:tbl>
      <w:tblPr>
        <w:tblStyle w:val="33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655"/>
        <w:gridCol w:w="1872"/>
        <w:gridCol w:w="1591"/>
        <w:gridCol w:w="1778"/>
        <w:gridCol w:w="1591"/>
        <w:gridCol w:w="1873"/>
      </w:tblGrid>
      <w:tr>
        <w:trPr>
          <w:tblHeader w:val="true"/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K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target receiver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clear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low-elev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rain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三场景均值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20-1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67.000%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67.000%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65.500%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66.500%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3-19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52.833%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43.333%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52.667%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49.611%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7-14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80.000%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80.833%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76.667%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79.167%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7-7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81.667%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74.167%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71.000%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75.611%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8-8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75.167%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70.500%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63.833%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69.833%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5接收机总体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71.333%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67.167%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65.933%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68.144%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20-1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88.667%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83.667%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79.333%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83.889%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3-19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69.833%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65.667%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65.167%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66.889%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7-14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87.667%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80.500%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77.667%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81.944%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7-7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93.500%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89.667%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90.333%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91.167%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8-8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85.500%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82.500%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79.333%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82.444%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5接收机总体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85.033%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80.400%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78.367%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81.267%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10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20-1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93.000%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88.000%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86.500%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89.167%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10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3-19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76.000%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72.500%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71.500%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73.333%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10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7-14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91.333%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83.000%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84.500%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86.278%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10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7-7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96.833%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96.333%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94.167%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95.778%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10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8-8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91.167%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83.833%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83.000%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86.000%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10</w:t>
            </w:r>
          </w:p>
        </w:tc>
        <w:tc>
          <w:tcPr>
            <w:tcW w:type="dxa" w:w="187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5接收机总体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89.667%</w:t>
            </w:r>
          </w:p>
        </w:tc>
        <w:tc>
          <w:tcPr>
            <w:tcW w:type="dxa" w:w="1778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84.733%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83.933%</w:t>
            </w:r>
          </w:p>
        </w:tc>
        <w:tc>
          <w:tcPr>
            <w:tcW w:type="dxa" w:w="187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86.111%</w:t>
            </w:r>
          </w:p>
        </w:tc>
      </w:tr>
    </w:tbl>
    <w:p>
      <w:pPr>
        <w:pStyle w:val="19"/>
        <w:keepNext w:val="0"/>
      </w:pPr>
      <w:r>
        <w:rPr>
          <w:rFonts w:ascii="Times New Roman" w:hAnsi="Times New Roman" w:cs="Times New Roman" w:eastAsia="宋体"/>
        </w:rPr>
        <w:t>qKNN的Stage2-B域适应准确率随support由K=1增加到K=5、K=10而提升：5个接收机三场景总体均值依次为68.144%、81.267%和86.111%。同一K下，clear场景总体最高，low-elev与rain场景更低；接收机3-19始终最弱，K=10时三场景均值仍仅73.333%，说明接收机域偏移和弱信道扰动尚未被完全消除。</w:t>
      </w:r>
    </w:p>
    <w:p>
      <w:pPr>
        <w:pStyle w:val="5"/>
        <w:keepNext/>
      </w:pPr>
      <w:r>
        <w:rPr>
          <w:rFonts w:ascii="Times New Roman" w:hAnsi="Times New Roman" w:cs="Times New Roman" w:eastAsia="宋体"/>
        </w:rPr>
        <w:t>3.6.5qKNN与域适应方法的共同LEO场景对照</w:t>
      </w:r>
    </w:p>
    <w:p>
      <w:pPr>
        <w:pStyle w:val="19"/>
        <w:keepNext w:val="0"/>
      </w:pPr>
      <w:r>
        <w:rPr>
          <w:rFonts w:ascii="Times New Roman" w:hAnsi="Times New Roman" w:cs="Times New Roman" w:eastAsia="宋体"/>
        </w:rPr>
        <w:t>下表将qKNN的S2B-old与相同三类LEO弱信道场景下的域适应对比方法并列。域适应矩阵使用5个receiver、seed 713101–713105，qKNN使用5个receiver和seed 713102–713106；两套矩阵的seed集合及artifact没有严格一一配对，因此只作描述性比较，不计算paired显著性。</w:t>
      </w:r>
    </w:p>
    <w:tbl>
      <w:tblPr>
        <w:tblStyle w:val="33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655"/>
        <w:gridCol w:w="1591"/>
        <w:gridCol w:w="1591"/>
        <w:gridCol w:w="1591"/>
        <w:gridCol w:w="1591"/>
        <w:gridCol w:w="2341"/>
      </w:tblGrid>
      <w:tr>
        <w:trPr>
          <w:tblHeader w:val="true"/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K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直接ADV3B02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MRIOR-SDA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DADDA-SDA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ProtoNet CDA</w:t>
            </w:r>
          </w:p>
        </w:tc>
        <w:tc>
          <w:tcPr>
            <w:tcW w:type="dxa" w:w="234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6"/>
              </w:rPr>
              <w:t>qKNN Stage2-B旧类准确率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75.21%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69.88%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72.58%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59.47%</w:t>
            </w:r>
          </w:p>
        </w:tc>
        <w:tc>
          <w:tcPr>
            <w:tcW w:type="dxa" w:w="234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68.144%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5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75.21%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79.17%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76.74%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70.28%</w:t>
            </w:r>
          </w:p>
        </w:tc>
        <w:tc>
          <w:tcPr>
            <w:tcW w:type="dxa" w:w="234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81.267%</w:t>
            </w:r>
          </w:p>
        </w:tc>
      </w:tr>
      <w:tr>
        <w:trPr>
          <w:cantSplit/>
        </w:trPr>
        <w:tc>
          <w:tcPr>
            <w:tcW w:type="dxa" w:w="655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10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75.21%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84.50%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79.36%</w:t>
            </w:r>
          </w:p>
        </w:tc>
        <w:tc>
          <w:tcPr>
            <w:tcW w:type="dxa" w:w="159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70.86%</w:t>
            </w:r>
          </w:p>
        </w:tc>
        <w:tc>
          <w:tcPr>
            <w:tcW w:type="dxa" w:w="2341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6"/>
              </w:rPr>
              <w:t>86.111%</w:t>
            </w:r>
          </w:p>
        </w:tc>
      </w:tr>
    </w:tbl>
    <w:p>
      <w:pPr>
        <w:pStyle w:val="19"/>
        <w:keepNext w:val="0"/>
      </w:pPr>
      <w:r>
        <w:rPr>
          <w:rFonts w:ascii="Times New Roman" w:hAnsi="Times New Roman" w:cs="Times New Roman" w:eastAsia="宋体"/>
        </w:rPr>
        <w:t>在这一描述性口径下，qKNN的Stage2-B旧类准确率在K=5和K=10时分别为81.267%和86.111%，高于同表中的三个论文适配头；K=1时MRIOR-SDA为69.88%，高于qKNN的68.144%。这里比较的是完成旧类support域适应后的S2B-old，而不是Phase1模型直接推理结果。此时尚未加入新类，qKNN的旧/新任务均衡协方差也尚未启用；数值反映qKNN的旧类support稳健状态构造，不能归因于Stage2-C均衡模块。</w:t>
      </w:r>
    </w:p>
    <w:p w14:paraId="6E624E4E">
      <w:pPr>
        <w:pStyle w:val="5"/>
        <w:keepNext/>
      </w:pPr>
      <w:r>
        <w:rPr>
          <w:rFonts w:ascii="Times New Roman" w:hAnsi="Times New Roman" w:cs="Times New Roman" w:eastAsia="宋体"/>
        </w:rPr>
        <w:t>3.6.6结果边界</w:t>
      </w:r>
    </w:p>
    <w:p w14:paraId="591314C4">
      <w:pPr>
        <w:pStyle w:val="19"/>
        <w:keepNext w:val="0"/>
      </w:pPr>
      <w:r>
        <w:rPr>
          <w:rFonts w:ascii="Times New Roman" w:hAnsi="Times New Roman" w:cs="Times New Roman" w:eastAsia="宋体"/>
        </w:rPr>
        <w:t>ProtoNet CDA只读取target-old support并闭式更新prototype；MRIOR-SDA和DADDA-SDA还读取封存source LEO弱信道标签缓存并更新完整backbone。因此三者可以比较机制与适应趋势，但权限和计算代价并不完全相同；这些结果不能直接证明support-only的Phase2主方法已经解决旧类域适应。qKNN补充表只报告完成旧类域适配后的Stage2-B状态，不应被解释为新类注册结果。</w:t>
      </w:r>
    </w:p>
    <w:p w14:paraId="25988F7C">
      <w:pPr>
        <w:pStyle w:val="3"/>
        <w:keepNext/>
        <w:pageBreakBefore w:val="0"/>
      </w:pPr>
      <w:bookmarkStart w:id="6" w:name="X2464148e56484ad46d4959199fb3b49214b217b"/>
      <w:r>
        <w:rPr>
          <w:rFonts w:ascii="Times New Roman" w:hAnsi="Times New Roman" w:eastAsia="宋体" w:cs="Times New Roman"/>
          <w:sz w:val="32"/>
        </w:rPr>
        <w:t>4.Stage2-C：少样本类增量仿真实验</w:t>
      </w:r>
    </w:p>
    <w:p w14:paraId="5A8DC836">
      <w:pPr>
        <w:pStyle w:val="4"/>
        <w:keepNext/>
      </w:pPr>
      <w:bookmarkStart w:id="7" w:name="Xe41a15347bd3fd3b4101ce2aaa7c7c4b55233d0"/>
      <w:r>
        <w:rPr>
          <w:rFonts w:ascii="Times New Roman" w:hAnsi="Times New Roman" w:eastAsia="宋体" w:cs="Times New Roman"/>
          <w:sz w:val="26"/>
        </w:rPr>
        <w:t>4.1仿真问题、代码口径与数据</w:t>
      </w:r>
    </w:p>
    <w:p w14:paraId="0572DD72">
      <w:r>
        <w:rPr>
          <w:rFonts w:ascii="Times New Roman" w:hAnsi="Times New Roman" w:eastAsia="宋体" w:cs="Times New Roman"/>
          <w:sz w:val="22"/>
        </w:rPr>
        <w:t>Stage2-C在同一target receiver中注册新类，并要求旧类与新类在同一输出空间统一竞争，因此它是跨域FSCIL。本轮每个cell只执行一次新类集合注册，编码器接口替换为ADV3B02的160维，其余训练器、损失和更新范围按官方实现保留。</w:t>
      </w:r>
      <w:r>
        <w:rPr>
          <w:rFonts w:ascii="Times New Roman" w:hAnsi="Times New Roman" w:cs="Times New Roman" w:eastAsia="宋体"/>
        </w:rPr>
        <w:t>（</w:t>
      </w:r>
      <w:r>
        <w:rPr>
          <w:rFonts w:ascii="Times New Roman" w:hAnsi="Times New Roman" w:eastAsia="宋体" w:cs="Times New Roman"/>
          <w:b w:val="0"/>
        </w:rPr>
        <w:t>CSIL是Channel Separation Enabled Incremental Learning，即通道隔离型增量学习；MoPC-HR是Momentum-based Prototype Correction and Hierarchical Regularization，即基于动量的原型校正与分层正则；HR表示Hierarchical Regularization；IoT是Internet of Things，即物联网。exemplar是保存供后续回放的历史原始样本；无exemplar表示不保存旧类原始IQ，但仍可保留旧模型、Fisher信息或类别prototype等聚合历史状态</w:t>
      </w:r>
      <w:r>
        <w:rPr>
          <w:rFonts w:ascii="Times New Roman" w:hAnsi="Times New Roman" w:cs="Times New Roman" w:eastAsia="宋体"/>
        </w:rPr>
        <w:t>）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3788"/>
        <w:gridCol w:w="4282"/>
      </w:tblGrid>
      <w:tr w14:paraId="264D01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8C48C3B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环节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385046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CSIL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1643C31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MoPC-HR</w:t>
            </w:r>
          </w:p>
        </w:tc>
      </w:tr>
      <w:tr w14:paraId="68A8550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95329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Phase2前基座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47135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5879条source base train＋2521条Fisher validation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397AF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8400条source base训练并保存6个旧类prototype</w:t>
            </w:r>
          </w:p>
        </w:tc>
      </w:tr>
      <w:tr w14:paraId="13341A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DAD5C0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Phase2真实训练数据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B7AEEC0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当前cell的target-new K-shot support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A86861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当前cell的target-new K-shot support</w:t>
            </w:r>
          </w:p>
        </w:tc>
      </w:tr>
      <w:tr w14:paraId="0263E04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F5002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query作用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911E3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旧类测遗忘、新类测注册；均不参与训练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70E7D1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旧类测遗忘、新类测注册；均不参与训练</w:t>
            </w:r>
          </w:p>
        </w:tc>
      </w:tr>
      <w:tr w14:paraId="032292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C71C40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冻结矩阵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62BBDBF">
            <w:pPr>
              <w:spacing w:before="0" w:after="0"/>
            </w:pPr>
            <w:r>
              <w:rPr>
                <w:rFonts w:ascii="Times New Roman" w:hAnsi="Times New Roman" w:eastAsia="宋体" w:cs="Times New Roman"/>
                <w:sz w:val="18"/>
              </w:rPr>
              <w:t>K=5、10、20；新类规模1、3、20（周报列出9个正式配置）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E74D1A9">
            <w:pPr>
              <w:spacing w:before="0" w:after="0"/>
            </w:pPr>
            <w:r>
              <w:rPr>
                <w:rFonts w:ascii="Times New Roman" w:hAnsi="Times New Roman" w:eastAsia="宋体" w:cs="Times New Roman"/>
                <w:sz w:val="18"/>
              </w:rPr>
              <w:t>K=5、10、20；新类规模1、3、5、10、25（周报列出15个正式配置）</w:t>
            </w:r>
          </w:p>
        </w:tc>
      </w:tr>
    </w:tbl>
    <w:p w14:paraId="02838563">
      <w:pPr>
        <w:pStyle w:val="19"/>
      </w:pPr>
      <w:r>
        <w:rPr>
          <w:rFonts w:ascii="Times New Roman" w:hAnsi="Times New Roman" w:eastAsia="宋体" w:cs="Times New Roman"/>
          <w:sz w:val="22"/>
        </w:rPr>
        <w:t>这里的source数据只用于构造进入Phase2前的旧类状态，不是每个增量cell中的source replay。每个cell的唯一真实增量训练数据是target-new K-shot support；old query与new query均只用于模型冻结后的统一评价，不能参与训练、调参、回滚或阈值选择。实验属于“官方方法语义＋CVS基座/数据接口适配”，不是原论文数据集数值复现。</w:t>
      </w:r>
    </w:p>
    <w:bookmarkEnd w:id="7"/>
    <w:p w14:paraId="2965CDD7">
      <w:pPr>
        <w:pStyle w:val="4"/>
        <w:keepNext/>
      </w:pPr>
      <w:bookmarkStart w:id="8" w:name="Xa5c3c5dc97a1f787a3a9294b6bba64696e83dab"/>
      <w:r>
        <w:rPr>
          <w:rFonts w:ascii="Times New Roman" w:hAnsi="Times New Roman" w:eastAsia="宋体" w:cs="Times New Roman"/>
          <w:sz w:val="26"/>
        </w:rPr>
        <w:t>4.2CSIL：通道隔离型无exemplar类增量学习</w:t>
      </w:r>
    </w:p>
    <w:p w14:paraId="174DC5CA">
      <w:r>
        <w:rPr>
          <w:rFonts w:ascii="Times New Roman" w:hAnsi="Times New Roman" w:eastAsia="宋体" w:cs="Times New Roman"/>
          <w:sz w:val="22"/>
        </w:rPr>
        <w:t>Liu等人提出的CSIL属于无exemplar、结构扩展型类增量方法[4]。其特点是冻结ADV3B02 backbone，以通道扩展和mask限制新类更新，再用EWC与KD保护旧类响应。</w:t>
      </w:r>
    </w:p>
    <w:p w14:paraId="6490F907">
      <w:pPr>
        <w:pStyle w:val="19"/>
      </w:pPr>
      <w:r>
        <w:rPr>
          <w:rFonts w:ascii="Times New Roman" w:hAnsi="Times New Roman" w:eastAsia="宋体" w:cs="Times New Roman"/>
          <w:b/>
          <w:bCs/>
          <w:sz w:val="22"/>
        </w:rPr>
        <w:t>CVS数据与更新：</w:t>
      </w:r>
      <w:r>
        <w:rPr>
          <w:rFonts w:ascii="Times New Roman" w:hAnsi="Times New Roman" w:eastAsia="宋体" w:cs="Times New Roman"/>
          <w:sz w:val="22"/>
        </w:rPr>
        <w:t xml:space="preserve"> 进入Phase2前，5879条source样本训练fc_bf_fp→zero-bias Fingerprints基座，2521条互斥source样本估计Fisher。Phase2只用target-new support训练；ADV3B02冻结，fc只更新新增行和bias，fingerprint只允许old-old与new-new块更新，两个交叉块保持为0。</w:t>
      </w:r>
    </w:p>
    <w:p w14:paraId="257B406D">
      <w:pPr>
        <w:pStyle w:val="19"/>
      </w:pPr>
      <w:r>
        <w:rPr>
          <w:rFonts w:ascii="Times New Roman" w:hAnsi="Times New Roman" w:eastAsia="宋体" w:cs="Times New Roman"/>
          <w:sz w:val="22"/>
        </w:rPr>
        <w:t>记</w:t>
      </w:r>
      <m:oMath>
        <m:sSub>
          <m:sSubPr/>
          <m:e>
            <m:r>
              <m:rPr/>
              <m:t>B</m:t>
            </m:r>
          </m:e>
          <m:sub>
            <m:r>
              <m:rPr/>
              <m:t>new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为新类support训练batch，</w:t>
      </w:r>
      <m:oMath>
        <m:sSub>
          <m:sSubPr/>
          <m:e>
            <m:r>
              <m:rPr/>
              <m:t>π</m:t>
            </m:r>
          </m:e>
          <m:sub>
            <m:r>
              <m:rPr/>
              <m:t>θ</m:t>
            </m:r>
          </m:sub>
        </m:sSub>
        <m:d>
          <m:dPr>
            <m:sepChr m:val=""/>
          </m:dPr>
          <m:e>
            <m:r>
              <m:rPr/>
              <m:t>c</m:t>
            </m:r>
            <m:r>
              <m:rPr>
                <m:sty m:val="p"/>
              </m:rPr>
              <m:t>|</m:t>
            </m:r>
            <m:r>
              <m:rPr/>
              <m:t>x</m:t>
            </m:r>
          </m:e>
        </m:d>
      </m:oMath>
      <w:r>
        <w:rPr>
          <w:rFonts w:ascii="Times New Roman" w:hAnsi="Times New Roman" w:eastAsia="宋体" w:cs="Times New Roman"/>
          <w:sz w:val="22"/>
        </w:rPr>
        <w:t>为全部注册类概率。新类交叉熵为：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>
          <m:e>
            <m:r>
              <m:t>B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是当前新类support训练batch，</w:t>
      </w:r>
      <m:oMath xmlns:a="http://schemas.openxmlformats.org/drawingml/2006/main" xmlns:pic="http://schemas.openxmlformats.org/drawingml/2006/picture">
        <m:sSub>
          <m:e>
            <m:r>
              <m:t>π</m:t>
            </m:r>
          </m:e>
          <m:sub>
            <m:r>
              <m:t>θ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c</m:t>
            </m:r>
            <m:r>
              <m:rPr>
                <m:sty m:val="p"/>
              </m:rPr>
              <m:t>∣</m:t>
            </m:r>
            <m:r>
              <m:t>x</m:t>
            </m:r>
          </m:e>
        </m:d>
      </m:oMath>
      <w:r>
        <w:rPr>
          <w:rFonts w:ascii="Times New Roman" w:hAnsi="Times New Roman" w:eastAsia="宋体" w:cs="Times New Roman"/>
          <w:b w:val="0"/>
        </w:rPr>
        <w:t>是当前模型对全部已注册类别的概率。</w:t>
      </w:r>
      <m:oMath xmlns:a="http://schemas.openxmlformats.org/drawingml/2006/main" xmlns:pic="http://schemas.openxmlformats.org/drawingml/2006/picture"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宋体" w:cs="Times New Roman"/>
          <w:b w:val="0"/>
        </w:rPr>
        <w:t>是增量前冻结参数，</w:t>
      </w:r>
      <m:oMath xmlns:a="http://schemas.openxmlformats.org/drawingml/2006/main" xmlns:pic="http://schemas.openxmlformats.org/drawingml/2006/picture">
        <m:sSub>
          <m:e>
            <m:r>
              <m:t>θ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是当前第</w:t>
      </w:r>
      <m:oMath xmlns:a="http://schemas.openxmlformats.org/drawingml/2006/main" xmlns:pic="http://schemas.openxmlformats.org/drawingml/2006/picture">
        <m:r>
          <m:t>j</m:t>
        </m:r>
      </m:oMath>
      <w:r>
        <w:rPr>
          <w:rFonts w:ascii="Times New Roman" w:hAnsi="Times New Roman" w:eastAsia="宋体" w:cs="Times New Roman"/>
          <w:b w:val="0"/>
        </w:rPr>
        <w:t>个参数，</w:t>
      </w:r>
      <m:oMath xmlns:a="http://schemas.openxmlformats.org/drawingml/2006/main" xmlns:pic="http://schemas.openxmlformats.org/drawingml/2006/picture">
        <m:sSub>
          <m:e>
            <m:r>
              <m:t>F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是该参数对旧任务的重要性。EWC是Elastic Weight Consolidation（弹性权重固化），通过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E</m:t>
            </m:r>
            <m:r>
              <m:t>W</m:t>
            </m:r>
            <m:r>
              <m:t>C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限制重要参数漂移；KD是Knowledge Distillation（知识蒸馏），</w:t>
      </w:r>
      <m:oMath xmlns:a="http://schemas.openxmlformats.org/drawingml/2006/main" xmlns:pic="http://schemas.openxmlformats.org/drawingml/2006/picture">
        <m:sSubSup>
          <m:e>
            <m:r>
              <m:t>r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  <m:sup>
            <m:r>
              <m:rPr>
                <m:sty m:val="p"/>
              </m:rPr>
              <m:t>*</m:t>
            </m:r>
          </m:sup>
        </m:sSubSup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>
          <m:e>
            <m:r>
              <m:t>r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Times New Roman" w:hAnsi="Times New Roman" w:eastAsia="宋体" w:cs="Times New Roman"/>
          <w:b w:val="0"/>
        </w:rPr>
        <w:t>分别是旧模型与当前模型对旧类的fingerprint响应，系数</w:t>
      </w:r>
      <m:oMath xmlns:a="http://schemas.openxmlformats.org/drawingml/2006/main" xmlns:pic="http://schemas.openxmlformats.org/drawingml/2006/picture">
        <m:r>
          <m:t>1</m:t>
        </m:r>
        <m:r>
          <m:rPr>
            <m:sty m:val="p"/>
          </m:rPr>
          <m:t>/</m:t>
        </m:r>
        <m:r>
          <m:t>32</m:t>
        </m:r>
      </m:oMath>
      <w:r>
        <w:rPr>
          <w:rFonts w:ascii="Times New Roman" w:hAnsi="Times New Roman" w:eastAsia="宋体" w:cs="Times New Roman"/>
          <w:b w:val="0"/>
        </w:rPr>
        <w:t>按32维响应取均值。</w:t>
      </w:r>
      <m:oMath xmlns:a="http://schemas.openxmlformats.org/drawingml/2006/main" xmlns:pic="http://schemas.openxmlformats.org/drawingml/2006/picture">
        <m:sSub>
          <m:e>
            <m:r>
              <m:rPr>
                <m:sty m:val="p"/>
                <m:scr m:val="script"/>
              </m:rPr>
              <m:t>L</m:t>
            </m:r>
          </m:e>
          <m:sub>
            <m:r>
              <m:t>C</m:t>
            </m:r>
            <m:r>
              <m:t>S</m:t>
            </m:r>
            <m:r>
              <m:t>I</m:t>
            </m:r>
            <m:r>
              <m:t>L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是新类CE、EWC和KD的加权和；SGDM是带动量的SGD；epoch是完整遍历训练集一次，batch size是一次参数更新读取的样本数</w:t>
      </w:r>
      <w:r>
        <w:rPr>
          <w:rFonts w:ascii="Times New Roman" w:hAnsi="Times New Roman" w:cs="Times New Roman" w:eastAsia="宋体"/>
        </w:rPr>
        <w:t>）</w:t>
      </w:r>
    </w:p>
    <w:p w14:paraId="0CBDE716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CE</m:t>
              </m:r>
              <m:r>
                <m:rPr>
                  <m:sty m:val="p"/>
                </m:rPr>
                <m:t>,</m:t>
              </m:r>
              <m:r>
                <m:rPr/>
                <m:t>new</m:t>
              </m:r>
            </m:sub>
          </m:sSub>
          <m:r>
            <m:rPr>
              <m:sty m:val="p"/>
            </m:rPr>
            <m:t>=−</m:t>
          </m:r>
          <m:f>
            <m:fPr/>
            <m:num>
              <m:r>
                <m:rPr/>
                <m:t>1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r>
                        <m:rPr/>
                        <m:t>new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pHide m:val="1"/>
            </m:naryPr>
            <m:sub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x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sSubPr/>
                    <m:e>
                      <m:r>
                        <m:rPr/>
                        <m:t>y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B</m:t>
                  </m:r>
                </m:e>
                <m:sub>
                  <m:r>
                    <m:rPr/>
                    <m:t>new</m:t>
                  </m:r>
                </m:sub>
              </m:sSub>
            </m:sub>
            <m:sup>
              <m:r>
                <m:rPr/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sSub>
            <m:sSubPr/>
            <m:e>
              <m:r>
                <m:rPr/>
                <m:t>π</m:t>
              </m:r>
            </m:e>
            <m:sub>
              <m:r>
                <m:rPr/>
                <m:t>θ</m:t>
              </m:r>
            </m:sub>
          </m:sSub>
          <m:d>
            <m:dPr>
              <m:sepChr m:val=""/>
            </m:dPr>
            <m:e>
              <m:sSub>
                <m:sSubPr/>
                <m:e>
                  <m:r>
                    <m:rPr/>
                    <m:t>y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</m:oMath>
      </m:oMathPara>
    </w:p>
    <w:p w14:paraId="16D3D3A7">
      <w:r>
        <w:rPr>
          <w:rFonts w:ascii="Times New Roman" w:hAnsi="Times New Roman" w:eastAsia="宋体" w:cs="Times New Roman"/>
          <w:sz w:val="22"/>
        </w:rPr>
        <w:t>EWC使用Phase2前参数</w:t>
      </w:r>
      <m:oMath>
        <m:sSup>
          <m:sSupPr/>
          <m:e>
            <m:r>
              <m:rPr/>
              <m:t>θ</m:t>
            </m:r>
          </m:e>
          <m:sup>
            <m:r>
              <m:rPr>
                <m:sty m:val="p"/>
              </m:rPr>
              <m:t>∗</m:t>
            </m:r>
          </m:sup>
        </m:sSup>
      </m:oMath>
      <w:r>
        <w:rPr>
          <w:rFonts w:ascii="Times New Roman" w:hAnsi="Times New Roman" w:eastAsia="宋体" w:cs="Times New Roman"/>
          <w:sz w:val="22"/>
        </w:rPr>
        <w:t>和Fisher重要性</w:t>
      </w:r>
      <m:oMath>
        <m:sSub>
          <m:sSubPr/>
          <m:e>
            <m:r>
              <m:rPr/>
              <m:t>F</m:t>
            </m:r>
          </m:e>
          <m:sub>
            <m:r>
              <m:rPr/>
              <m:t>j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：</w:t>
      </w:r>
    </w:p>
    <w:p w14:paraId="7A6C1914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EWC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</m:num>
            <m:den>
              <m:r>
                <m:rPr/>
                <m:t>2</m:t>
              </m:r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j</m:t>
              </m:r>
            </m:sub>
            <m:sup>
              <m:r>
                <m:rPr/>
                <m:t>​</m:t>
              </m:r>
            </m:sup>
            <m:e>
              <m:sSub>
                <m:sSubPr/>
                <m:e>
                  <m:r>
                    <m:rPr/>
                    <m:t>F</m:t>
                  </m:r>
                </m:e>
                <m:sub>
                  <m:r>
                    <m:rPr/>
                    <m:t>j</m:t>
                  </m:r>
                </m:sub>
              </m:sSub>
            </m:e>
          </m:nary>
          <m:sSup>
            <m:sSupPr/>
            <m:e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θ</m:t>
                      </m:r>
                    </m:e>
                    <m:sub>
                      <m:r>
                        <m:rPr/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sSubSupPr/>
                    <m:e>
                      <m:r>
                        <m:rPr/>
                        <m:t>θ</m:t>
                      </m:r>
                    </m:e>
                    <m:sub>
                      <m:r>
                        <m:rPr/>
                        <m:t>j</m:t>
                      </m:r>
                    </m:sub>
                    <m:sup>
                      <m:r>
                        <m:rPr>
                          <m:sty m:val="p"/>
                        </m:rPr>
                        <m:t>∗</m:t>
                      </m:r>
                    </m:sup>
                  </m:sSubSup>
                </m:e>
              </m:d>
            </m:e>
            <m:sup>
              <m:r>
                <m:rPr/>
                <m:t>2</m:t>
              </m:r>
            </m:sup>
          </m:sSup>
        </m:oMath>
      </m:oMathPara>
    </w:p>
    <w:p w14:paraId="4BCEC476">
      <w:r>
        <w:rPr>
          <w:rFonts w:ascii="Times New Roman" w:hAnsi="Times New Roman" w:eastAsia="宋体" w:cs="Times New Roman"/>
          <w:sz w:val="22"/>
        </w:rPr>
        <w:t>令</w:t>
      </w:r>
      <m:oMath>
        <m:sSubSup>
          <m:sSubSupPr/>
          <m:e>
            <m:r>
              <m:rPr/>
              <m:t>r</m:t>
            </m:r>
          </m:e>
          <m:sub>
            <m:r>
              <m:rPr/>
              <m:t>old</m:t>
            </m:r>
          </m:sub>
          <m:sup>
            <m:r>
              <m:rPr>
                <m:sty m:val="p"/>
              </m:rPr>
              <m:t>∗</m:t>
            </m:r>
          </m:sup>
        </m:sSubSup>
        <m:d>
          <m:dPr>
            <m:sepChr m:val=""/>
          </m:dPr>
          <m:e>
            <m:r>
              <m:rPr/>
              <m:t>x</m:t>
            </m:r>
          </m:e>
        </m:d>
      </m:oMath>
      <w:r>
        <w:rPr>
          <w:rFonts w:ascii="Times New Roman" w:hAnsi="Times New Roman" w:eastAsia="宋体" w:cs="Times New Roman"/>
          <w:sz w:val="22"/>
        </w:rPr>
        <w:t>和</w:t>
      </w:r>
      <m:oMath>
        <m:sSub>
          <m:sSubPr/>
          <m:e>
            <m:r>
              <m:rPr/>
              <m:t>r</m:t>
            </m:r>
          </m:e>
          <m:sub>
            <m:r>
              <m:rPr/>
              <m:t>old</m:t>
            </m:r>
          </m:sub>
        </m:sSub>
        <m:d>
          <m:dPr>
            <m:sepChr m:val=""/>
          </m:dPr>
          <m:e>
            <m:r>
              <m:rPr/>
              <m:t>x</m:t>
            </m:r>
          </m:e>
        </m:d>
      </m:oMath>
      <w:r>
        <w:rPr>
          <w:rFonts w:ascii="Times New Roman" w:hAnsi="Times New Roman" w:eastAsia="宋体" w:cs="Times New Roman"/>
          <w:sz w:val="22"/>
        </w:rPr>
        <w:t>为旧模型与当前模型的旧类fingerprint响应，官方KD为：</w:t>
      </w:r>
    </w:p>
    <w:p w14:paraId="190F531C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KD</m:t>
              </m:r>
            </m:sub>
          </m:sSub>
          <m:r>
            <m:rPr>
              <m:sty m:val="p"/>
            </m:rPr>
            <m:t>=</m:t>
          </m:r>
          <m:f>
            <m:fPr/>
            <m:num>
              <m:r>
                <m:rPr/>
                <m:t>1</m:t>
              </m:r>
            </m:num>
            <m:den>
              <m:r>
                <m:rPr/>
                <m:t>32</m:t>
              </m:r>
            </m:den>
          </m:f>
          <m:nary>
            <m:naryPr>
              <m:chr m:val="∑"/>
              <m:limLoc m:val="undOvr"/>
              <m:supHide m:val="1"/>
            </m:naryPr>
            <m:sub>
              <m:r>
                <m:rPr/>
                <m:t>x</m:t>
              </m:r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B</m:t>
                  </m:r>
                </m:e>
                <m:sub>
                  <m:r>
                    <m:rPr/>
                    <m:t>new</m:t>
                  </m:r>
                </m:sub>
              </m:sSub>
            </m:sub>
            <m:sup>
              <m:r>
                <m:rPr/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Sup>
            <m:sSubSupPr/>
            <m:e>
              <m:r>
                <m:rPr/>
                <m:t>r</m:t>
              </m:r>
            </m:e>
            <m:sub>
              <m:r>
                <m:rPr/>
                <m:t>old</m:t>
              </m:r>
            </m:sub>
            <m:sup>
              <m:r>
                <m:rPr>
                  <m:sty m:val="p"/>
                </m:rPr>
                <m:t>∗</m:t>
              </m:r>
            </m:sup>
          </m:sSubSup>
          <m:d>
            <m:dPr>
              <m:sepChr m:val=""/>
            </m:dPr>
            <m:e>
              <m:r>
                <m:rPr/>
                <m:t>x</m:t>
              </m:r>
            </m:e>
          </m:d>
          <m:r>
            <m:rPr>
              <m:sty m:val="p"/>
            </m:rPr>
            <m:t>−</m:t>
          </m:r>
          <m:sSub>
            <m:sSubPr/>
            <m:e>
              <m:r>
                <m:rPr/>
                <m:t>r</m:t>
              </m:r>
            </m:e>
            <m:sub>
              <m:r>
                <m:rPr/>
                <m:t>old</m:t>
              </m:r>
            </m:sub>
          </m:sSub>
          <m:d>
            <m:dPr>
              <m:sepChr m:val=""/>
            </m:dPr>
            <m:e>
              <m:r>
                <m:rPr/>
                <m:t>x</m:t>
              </m:r>
            </m:e>
          </m:d>
          <m:sSubSup>
            <m:sSubSupPr/>
            <m:e>
              <m:r>
                <m:rPr>
                  <m:sty m:val="p"/>
                </m:rPr>
                <m:t>∥</m:t>
              </m:r>
            </m:e>
            <m:sub>
              <m:r>
                <m:rPr/>
                <m:t>2</m:t>
              </m:r>
            </m:sub>
            <m:sup>
              <m:r>
                <m:rPr/>
                <m:t>2</m:t>
              </m:r>
            </m:sup>
          </m:sSubSup>
        </m:oMath>
      </m:oMathPara>
    </w:p>
    <w:p w14:paraId="60A18EC2">
      <w:r>
        <w:rPr>
          <w:rFonts w:ascii="Times New Roman" w:hAnsi="Times New Roman" w:eastAsia="宋体" w:cs="Times New Roman"/>
          <w:sz w:val="22"/>
        </w:rPr>
        <w:t>实际执行总损失为：</w:t>
      </w:r>
    </w:p>
    <w:p w14:paraId="239F4AAA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CSIL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CE,new</m:t>
              </m:r>
            </m:sub>
          </m:sSub>
          <m:r>
            <m:rPr>
              <m:sty m:val="p"/>
            </m:rPr>
            <m:t>+</m:t>
          </m:r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EWC</m:t>
              </m:r>
            </m:sub>
          </m:sSub>
          <m:r>
            <m:rPr>
              <m:sty m:val="p"/>
            </m:rPr>
            <m:t>+</m:t>
          </m:r>
          <m:r>
            <m:rPr/>
            <m:t>0.2</m:t>
          </m:r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KD</m:t>
              </m:r>
            </m:sub>
          </m:sSub>
        </m:oMath>
      </m:oMathPara>
    </w:p>
    <w:p w14:paraId="03C8F3F9">
      <w:r>
        <w:rPr>
          <w:rFonts w:ascii="Times New Roman" w:hAnsi="Times New Roman" w:eastAsia="宋体" w:cs="Times New Roman"/>
          <w:b/>
          <w:bCs/>
          <w:sz w:val="22"/>
        </w:rPr>
        <w:t>执行特点：</w:t>
      </w:r>
      <w:r>
        <w:rPr>
          <w:rFonts w:ascii="Times New Roman" w:hAnsi="Times New Roman" w:eastAsia="宋体" w:cs="Times New Roman"/>
          <w:sz w:val="22"/>
        </w:rPr>
        <w:t xml:space="preserve"> 3个epoch、batch size 20、drop_last=True，手工SGDM学习率为（其中u表示optimizer step）</w:t>
      </w:r>
      <m:oMath>
        <m:r>
          <m:rPr/>
          <m:t>0.01</m:t>
        </m:r>
        <m:r>
          <m:rPr>
            <m:sty m:val="p"/>
          </m:rPr>
          <m:t>/</m:t>
        </m:r>
        <m:d>
          <m:dPr>
            <m:sepChr m:val=""/>
          </m:dPr>
          <m:e>
            <m:r>
              <m:rPr/>
              <m:t>1</m:t>
            </m:r>
            <m:r>
              <m:rPr>
                <m:sty m:val="p"/>
              </m:rPr>
              <m:t>+</m:t>
            </m:r>
            <m:r>
              <m:rPr/>
              <m:t>0.01u</m:t>
            </m:r>
          </m:e>
        </m:d>
      </m:oMath>
      <w:r>
        <w:rPr>
          <w:rFonts w:ascii="Times New Roman" w:hAnsi="Times New Roman" w:eastAsia="宋体" w:cs="Times New Roman"/>
          <w:sz w:val="22"/>
        </w:rPr>
        <w:t>。query用zero-bias全注册类argmax，训练步数为0。该方法旧类约束最强，但低K时可能没有完整batch，或者新类更新被旧类约束压制。</w:t>
      </w:r>
    </w:p>
    <w:bookmarkEnd w:id="8"/>
    <w:p w14:paraId="20EDCCBB">
      <w:pPr>
        <w:pStyle w:val="4"/>
        <w:keepNext/>
      </w:pPr>
      <w:bookmarkStart w:id="9" w:name="X71f2e484c158983947a2c66dcb2ce360d6afc56"/>
      <w:r>
        <w:rPr>
          <w:rFonts w:ascii="Times New Roman" w:hAnsi="Times New Roman" w:eastAsia="宋体" w:cs="Times New Roman"/>
          <w:sz w:val="26"/>
        </w:rPr>
        <w:t>4.3MoPC-HR：prototype校正与分层正则化</w:t>
      </w:r>
    </w:p>
    <w:p w14:paraId="31C19E8D">
      <w:r>
        <w:rPr>
          <w:rFonts w:ascii="Times New Roman" w:hAnsi="Times New Roman" w:eastAsia="宋体" w:cs="Times New Roman"/>
          <w:sz w:val="22"/>
        </w:rPr>
        <w:t>Li等人提出的MoPC-HR属于无exemplar、prototype校正型类增量方法[5]。其特点是允许完整ADV3B02随新类support更新，同时用旧prototype伪特征和分层参数正则限制遗忘。</w:t>
      </w:r>
    </w:p>
    <w:p w14:paraId="2725693E">
      <w:pPr>
        <w:pStyle w:val="19"/>
      </w:pPr>
      <w:r>
        <w:rPr>
          <w:rFonts w:ascii="Times New Roman" w:hAnsi="Times New Roman" w:eastAsia="宋体" w:cs="Times New Roman"/>
          <w:b/>
          <w:bCs/>
          <w:sz w:val="22"/>
        </w:rPr>
        <w:t>CVS数据与更新：</w:t>
      </w:r>
      <w:r>
        <w:rPr>
          <w:rFonts w:ascii="Times New Roman" w:hAnsi="Times New Roman" w:eastAsia="宋体" w:cs="Times New Roman"/>
          <w:sz w:val="22"/>
        </w:rPr>
        <w:t xml:space="preserve"> 进入Phase2前用全部8400条source旧类样本训练基座并保存6个old prototype。Phase2真实样本只来自target-new support；每个step另采样16个old prototype并加入</w:t>
      </w:r>
      <m:oMath>
        <m:r>
          <m:rPr/>
          <m:t>ξ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sepChr m:val=""/>
          </m:dPr>
          <m:e>
            <m:r>
              <m:rPr/>
              <m:t>0</m:t>
            </m:r>
            <m:r>
              <m:rPr>
                <m:sty m:val="p"/>
              </m:rPr>
              <m:t>,</m:t>
            </m:r>
            <m:sSup>
              <m:sSupPr/>
              <m:e>
                <m:r>
                  <m:rPr/>
                  <m:t>0.05</m:t>
                </m:r>
              </m:e>
              <m:sup>
                <m:r>
                  <m:rPr/>
                  <m:t>2</m:t>
                </m:r>
              </m:sup>
            </m:sSup>
            <m:r>
              <m:rPr/>
              <m:t>I</m:t>
            </m:r>
          </m:e>
        </m:d>
      </m:oMath>
      <w:r>
        <w:rPr>
          <w:rFonts w:ascii="Times New Roman" w:hAnsi="Times New Roman" w:eastAsia="宋体" w:cs="Times New Roman"/>
          <w:sz w:val="22"/>
        </w:rPr>
        <w:t>。ADV3B02 backbone和Linear classifier均更新。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>
          <m:e>
            <m:r>
              <m:t>μ</m:t>
            </m:r>
          </m:e>
          <m:sub>
            <m:sSub>
              <m:e>
                <m:r>
                  <m:t>c</m:t>
                </m:r>
              </m:e>
              <m:sub>
                <m:r>
                  <m:t>r</m:t>
                </m:r>
              </m:sub>
            </m:sSub>
          </m:sub>
        </m:sSub>
      </m:oMath>
      <w:r>
        <w:rPr>
          <w:rFonts w:ascii="Times New Roman" w:hAnsi="Times New Roman" w:eastAsia="宋体" w:cs="Times New Roman"/>
          <w:b w:val="0"/>
        </w:rPr>
        <w:t>是被采样旧类</w:t>
      </w:r>
      <m:oMath xmlns:a="http://schemas.openxmlformats.org/drawingml/2006/main" xmlns:pic="http://schemas.openxmlformats.org/drawingml/2006/picture"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的prototype，</w:t>
      </w:r>
      <m:oMath xmlns:a="http://schemas.openxmlformats.org/drawingml/2006/main" xmlns:pic="http://schemas.openxmlformats.org/drawingml/2006/picture">
        <m:sSub>
          <m:e>
            <m:r>
              <m:t>ξ</m:t>
            </m:r>
          </m:e>
          <m:sub>
            <m:r>
              <m:t>r</m:t>
            </m:r>
          </m:sub>
        </m:sSub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  <m:r>
              <m:t>I</m:t>
            </m:r>
          </m:e>
        </m:d>
      </m:oMath>
      <w:r>
        <w:rPr>
          <w:rFonts w:ascii="Times New Roman" w:hAnsi="Times New Roman" w:eastAsia="宋体" w:cs="Times New Roman"/>
          <w:b w:val="0"/>
        </w:rPr>
        <w:t>是零均值各向同性高斯扰动向量，</w:t>
      </w:r>
      <m:oMath xmlns:a="http://schemas.openxmlformats.org/drawingml/2006/main" xmlns:pic="http://schemas.openxmlformats.org/drawingml/2006/picture">
        <m:r>
          <m:t>I</m:t>
        </m:r>
      </m:oMath>
      <w:r>
        <w:rPr>
          <w:rFonts w:ascii="Times New Roman" w:hAnsi="Times New Roman" w:eastAsia="宋体" w:cs="Times New Roman"/>
          <w:b w:val="0"/>
        </w:rPr>
        <w:t>为单位矩阵，</w:t>
      </w:r>
      <m:oMath xmlns:a="http://schemas.openxmlformats.org/drawingml/2006/main" xmlns:pic="http://schemas.openxmlformats.org/drawingml/2006/picture"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是增强后的伪旧类特征。</w:t>
      </w:r>
      <m:oMath xmlns:a="http://schemas.openxmlformats.org/drawingml/2006/main" xmlns:pic="http://schemas.openxmlformats.org/drawingml/2006/picture">
        <m:sSub>
          <m:e>
            <m:r>
              <m:t>B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是每次采样的旧prototype数，</w:t>
      </w:r>
      <m:oMath xmlns:a="http://schemas.openxmlformats.org/drawingml/2006/main" xmlns:pic="http://schemas.openxmlformats.org/drawingml/2006/picture">
        <m:sSub>
          <m:e>
            <m:r>
              <m:t>g</m:t>
            </m:r>
          </m:e>
          <m:sub>
            <m:r>
              <m:t>θ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是当前分类器，</w:t>
      </w:r>
      <m:oMath xmlns:a="http://schemas.openxmlformats.org/drawingml/2006/main" xmlns:pic="http://schemas.openxmlformats.org/drawingml/2006/picture">
        <m:r>
          <m:t>Tₜₑₘₚ</m:t>
        </m:r>
      </m:oMath>
      <w:r>
        <w:rPr>
          <w:rFonts w:ascii="Times New Roman" w:hAnsi="Times New Roman" w:eastAsia="宋体" w:cs="Times New Roman"/>
          <w:b w:val="0"/>
        </w:rPr>
        <w:t>是softmax温度；softmax把logit转换为类别概率。</w:t>
      </w:r>
      <m:oMath xmlns:a="http://schemas.openxmlformats.org/drawingml/2006/main" xmlns:pic="http://schemas.openxmlformats.org/drawingml/2006/picture">
        <m:r>
          <m:rPr>
            <m:sty m:val="p"/>
          </m:rPr>
          <m:t>j</m:t>
        </m:r>
      </m:oMath>
      <w:r>
        <w:rPr>
          <w:rFonts w:ascii="Times New Roman" w:hAnsi="Times New Roman" w:eastAsia="宋体" w:cs="Times New Roman"/>
          <w:b w:val="0"/>
        </w:rPr>
        <w:t>是参数组索引，</w:t>
      </w:r>
      <m:oMath xmlns:a="http://schemas.openxmlformats.org/drawingml/2006/main" xmlns:pic="http://schemas.openxmlformats.org/drawingml/2006/picture">
        <m:r>
          <m:t>J</m:t>
        </m:r>
      </m:oMath>
      <w:r>
        <w:rPr>
          <w:rFonts w:ascii="Times New Roman" w:hAnsi="Times New Roman" w:eastAsia="宋体" w:cs="Times New Roman"/>
          <w:b w:val="0"/>
        </w:rPr>
        <w:t>是参数组总数，</w:t>
      </w:r>
      <m:oMath xmlns:a="http://schemas.openxmlformats.org/drawingml/2006/main" xmlns:pic="http://schemas.openxmlformats.org/drawingml/2006/picture">
        <m:sSub>
          <m:e>
            <m:r>
              <m:t>a</m:t>
            </m:r>
          </m:e>
          <m:sub>
            <m:r>
              <m:rPr>
                <m:sty m:val="p"/>
              </m:rPr>
              <m:t>j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是逐层正则权重，</w:t>
      </w:r>
      <m:oMath xmlns:a="http://schemas.openxmlformats.org/drawingml/2006/main" xmlns:pic="http://schemas.openxmlformats.org/drawingml/2006/picture">
        <m:sSubSup>
          <m:e>
            <m:r>
              <m:t>θ</m:t>
            </m:r>
          </m:e>
          <m:sub>
            <m:r>
              <m:rPr>
                <m:sty m:val="p"/>
              </m:rPr>
              <m:t>j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与</w:t>
      </w:r>
      <m:oMath xmlns:a="http://schemas.openxmlformats.org/drawingml/2006/main" xmlns:pic="http://schemas.openxmlformats.org/drawingml/2006/picture">
        <m:sSub>
          <m:e>
            <m:r>
              <m:t>θ</m:t>
            </m:r>
          </m:e>
          <m:sub>
            <m:r>
              <m:rPr>
                <m:sty m:val="p"/>
              </m:rPr>
              <m:t>j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分别是旧/当前参数组。</w:t>
      </w:r>
      <m:oMath xmlns:a="http://schemas.openxmlformats.org/drawingml/2006/main" xmlns:pic="http://schemas.openxmlformats.org/drawingml/2006/picture">
        <m:sSub>
          <m:e>
            <m:r>
              <m:t>P</m:t>
            </m:r>
          </m:e>
          <m:sub>
            <m:r>
              <m:t>o</m:t>
            </m:r>
            <m:r>
              <m:t>l</m:t>
            </m:r>
            <m:r>
              <m:t>d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和</w:t>
      </w:r>
      <m:oMath xmlns:a="http://schemas.openxmlformats.org/drawingml/2006/main" xmlns:pic="http://schemas.openxmlformats.org/drawingml/2006/picture">
        <m:sSub>
          <m:e>
            <m:r>
              <m:t>P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是旧类与新类prototype矩阵，</w:t>
      </w:r>
      <m:oMath xmlns:a="http://schemas.openxmlformats.org/drawingml/2006/main" xmlns:pic="http://schemas.openxmlformats.org/drawingml/2006/picture">
        <m:sSubSup>
          <m:e>
            <m:r>
              <m:t>P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宋体" w:cs="Times New Roman"/>
          <w:b w:val="0"/>
        </w:rPr>
        <w:t>是更新前的新类prototype；0.97/0.03是保留旧prototype与吸收校正量的固定动量系数</w:t>
      </w:r>
      <w:r>
        <w:rPr>
          <w:rFonts w:ascii="Times New Roman" w:hAnsi="Times New Roman" w:cs="Times New Roman" w:eastAsia="宋体"/>
        </w:rPr>
        <w:t>）</w:t>
      </w:r>
    </w:p>
    <w:p w14:paraId="56141708">
      <w:pPr>
        <w:pStyle w:val="19"/>
      </w:pPr>
      <w:r>
        <w:rPr>
          <w:rFonts w:ascii="Times New Roman" w:hAnsi="Times New Roman" w:eastAsia="宋体" w:cs="Times New Roman"/>
          <w:sz w:val="22"/>
        </w:rPr>
        <w:t>新类真实样本交叉熵为：</w:t>
      </w:r>
    </w:p>
    <w:p w14:paraId="16F325B7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CE</m:t>
              </m:r>
              <m:r>
                <m:rPr>
                  <m:sty m:val="p"/>
                </m:rPr>
                <m:t>,</m:t>
              </m:r>
              <m:r>
                <m:rPr/>
                <m:t>new</m:t>
              </m:r>
            </m:sub>
          </m:sSub>
          <m:r>
            <m:rPr>
              <m:sty m:val="p"/>
            </m:rPr>
            <m:t>=−</m:t>
          </m:r>
          <m:f>
            <m:fPr/>
            <m:num>
              <m:r>
                <m:rPr/>
                <m:t>1</m:t>
              </m:r>
            </m:num>
            <m:den>
              <m:d>
                <m:dPr>
                  <m:begChr m:val="|"/>
                  <m:sepChr m:val=""/>
                  <m:endChr m:val="|"/>
                </m:dPr>
                <m:e>
                  <m:sSub>
                    <m:sSubPr/>
                    <m:e>
                      <m:r>
                        <m:rPr/>
                        <m:t>B</m:t>
                      </m:r>
                    </m:e>
                    <m:sub>
                      <m:r>
                        <m:rPr/>
                        <m:t>new</m:t>
                      </m:r>
                    </m:sub>
                  </m:sSub>
                </m:e>
              </m:d>
            </m:den>
          </m:f>
          <m:nary>
            <m:naryPr>
              <m:chr m:val="∑"/>
              <m:limLoc m:val="undOvr"/>
              <m:supHide m:val="1"/>
            </m:naryPr>
            <m:sub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x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sSubPr/>
                    <m:e>
                      <m:r>
                        <m:rPr/>
                        <m:t>y</m:t>
                      </m:r>
                    </m:e>
                    <m:sub>
                      <m:r>
                        <m:rPr/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sSub>
                <m:sSubPr/>
                <m:e>
                  <m:r>
                    <m:rPr/>
                    <m:t>B</m:t>
                  </m:r>
                </m:e>
                <m:sub>
                  <m:r>
                    <m:rPr/>
                    <m:t>new</m:t>
                  </m:r>
                </m:sub>
              </m:sSub>
            </m:sub>
            <m:sup>
              <m:r>
                <m:rPr/>
                <m:t>​</m:t>
              </m:r>
            </m:sup>
            <m:e>
              <m:r>
                <m:rPr>
                  <m:sty m:val="p"/>
                </m:rPr>
                <m:t>log</m:t>
              </m:r>
            </m:e>
          </m:nary>
          <m:sSub>
            <m:sSubPr/>
            <m:e>
              <m:r>
                <m:rPr/>
                <m:t>π</m:t>
              </m:r>
            </m:e>
            <m:sub>
              <m:r>
                <m:rPr/>
                <m:t>θ</m:t>
              </m:r>
            </m:sub>
          </m:sSub>
          <m:d>
            <m:dPr>
              <m:sepChr m:val=""/>
            </m:dPr>
            <m:e>
              <m:sSub>
                <m:sSubPr/>
                <m:e>
                  <m:r>
                    <m:rPr/>
                    <m:t>y</m:t>
                  </m:r>
                </m:e>
                <m:sub>
                  <m:r>
                    <m:rPr/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sSubPr/>
                <m:e>
                  <m:r>
                    <m:rPr/>
                    <m:t>x</m:t>
                  </m:r>
                </m:e>
                <m:sub>
                  <m:r>
                    <m:rPr/>
                    <m:t>i</m:t>
                  </m:r>
                </m:sub>
              </m:sSub>
            </m:e>
          </m:d>
        </m:oMath>
      </m:oMathPara>
    </w:p>
    <w:p w14:paraId="4AEE8C1B">
      <w:r>
        <w:rPr>
          <w:rFonts w:ascii="Times New Roman" w:hAnsi="Times New Roman" w:eastAsia="宋体" w:cs="Times New Roman"/>
          <w:sz w:val="22"/>
        </w:rPr>
        <w:t>令</w:t>
      </w:r>
      <m:oMath>
        <m:sSub>
          <m:sSubPr/>
          <m:e>
            <m:acc>
              <m:accPr>
                <m:chr m:val="̃"/>
              </m:accPr>
              <m:e>
                <m:r>
                  <m:rPr/>
                  <m:t>z</m:t>
                </m:r>
              </m:e>
            </m:acc>
          </m:e>
          <m:sub>
            <m:r>
              <m:rPr/>
              <m:t>r</m:t>
            </m:r>
          </m:sub>
        </m:sSub>
        <m:r>
          <m:rPr>
            <m:sty m:val="p"/>
          </m:rPr>
          <m:t>=</m:t>
        </m:r>
        <m:sSub>
          <m:sSubPr/>
          <m:e>
            <m:r>
              <m:rPr/>
              <m:t>μ</m:t>
            </m:r>
          </m:e>
          <m:sub>
            <m:sSub>
              <m:sSubPr/>
              <m:e>
                <m:r>
                  <m:rPr/>
                  <m:t>c</m:t>
                </m:r>
              </m:e>
              <m:sub>
                <m:r>
                  <m:rPr/>
                  <m:t>r</m:t>
                </m:r>
              </m:sub>
            </m:sSub>
          </m:sub>
        </m:sSub>
        <m:r>
          <m:rPr>
            <m:sty m:val="p"/>
          </m:rPr>
          <m:t>+</m:t>
        </m:r>
        <m:sSub>
          <m:sSubPr/>
          <m:e>
            <m:r>
              <m:rPr/>
              <m:t>ξ</m:t>
            </m:r>
          </m:e>
          <m:sub>
            <m:r>
              <m:rPr/>
              <m:t>r</m:t>
            </m:r>
          </m:sub>
        </m:sSub>
      </m:oMath>
      <w:r>
        <w:rPr>
          <w:rFonts w:ascii="Times New Roman" w:hAnsi="Times New Roman" w:eastAsia="宋体" w:cs="Times New Roman"/>
          <w:sz w:val="22"/>
        </w:rPr>
        <w:t>为增强后的旧类prototype，温度</w:t>
      </w:r>
      <m:oMath>
        <m:r>
          <m:rPr/>
          <m:t>Tₜₑₘₚ</m:t>
        </m:r>
        <m:r>
          <m:rPr>
            <m:sty m:val="p"/>
          </m:rPr>
          <m:t>=</m:t>
        </m:r>
        <m:r>
          <m:rPr/>
          <m:t>2</m:t>
        </m:r>
      </m:oMath>
      <w:r>
        <w:rPr>
          <w:rFonts w:ascii="Times New Roman" w:hAnsi="Times New Roman" w:eastAsia="宋体" w:cs="Times New Roman"/>
          <w:sz w:val="22"/>
        </w:rPr>
        <w:t>，prototype augmentation损失为：</w:t>
      </w:r>
    </w:p>
    <w:p w14:paraId="789521B2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protoAug</m:t>
              </m:r>
            </m:sub>
          </m:sSub>
          <m:r>
            <m:rPr>
              <m:sty m:val="p"/>
            </m:rPr>
            <m:t>=−</m:t>
          </m:r>
          <m:f>
            <m:fPr/>
            <m:num>
              <m:r>
                <m:rPr/>
                <m:t>1</m:t>
              </m:r>
            </m:num>
            <m:den>
              <m:sSub>
                <m:sSubPr/>
                <m:e>
                  <m:r>
                    <m:rPr/>
                    <m:t>B</m:t>
                  </m:r>
                </m:e>
                <m:sub>
                  <m:r>
                    <m:rPr/>
                    <m:t>p</m:t>
                  </m:r>
                </m:sub>
              </m:sSub>
            </m:den>
          </m:f>
          <m:nary>
            <m:naryPr>
              <m:chr m:val="∑"/>
              <m:limLoc m:val="undOvr"/>
            </m:naryPr>
            <m:sub>
              <m:r>
                <m:rPr/>
                <m:t>r</m:t>
              </m:r>
              <m:r>
                <m:rPr>
                  <m:sty m:val="p"/>
                </m:rPr>
                <m:t>=</m:t>
              </m:r>
              <m:r>
                <m:rPr/>
                <m:t>1</m:t>
              </m:r>
            </m:sub>
            <m:sup>
              <m:sSub>
                <m:sSubPr/>
                <m:e>
                  <m:r>
                    <m:rPr/>
                    <m:t>B</m:t>
                  </m:r>
                </m:e>
                <m:sub>
                  <m:r>
                    <m:rPr/>
                    <m:t>p</m:t>
                  </m:r>
                </m:sub>
              </m:sSub>
            </m:sup>
            <m:e>
              <m:r>
                <m:rPr>
                  <m:sty m:val="p"/>
                </m:rPr>
                <m:t>log</m:t>
              </m:r>
            </m:e>
          </m:nary>
          <m:r>
            <m:rPr/>
            <m:t>softmax</m:t>
          </m:r>
          <m:sSub>
            <m:sSubPr/>
            <m:e>
              <m:d>
                <m:dPr>
                  <m:sepChr m:val=""/>
                </m:dPr>
                <m:e>
                  <m:f>
                    <m:fPr/>
                    <m:num>
                      <m:sSub>
                        <m:sSubPr/>
                        <m:e>
                          <m:r>
                            <m:rPr/>
                            <m:t>g</m:t>
                          </m:r>
                        </m:e>
                        <m:sub>
                          <m:r>
                            <m:rPr/>
                            <m:t>θ</m:t>
                          </m:r>
                        </m:sub>
                      </m:sSub>
                      <m:d>
                        <m:dPr>
                          <m:sepChr m:val=""/>
                        </m:dPr>
                        <m:e>
                          <m:sSub>
                            <m:sSubPr/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rPr/>
                                    <m:t>z</m:t>
                                  </m:r>
                                </m:e>
                              </m:acc>
                            </m:e>
                            <m:sub>
                              <m:r>
                                <m:rPr/>
                                <m:t>r</m:t>
                              </m:r>
                            </m:sub>
                          </m:sSub>
                        </m:e>
                      </m:d>
                    </m:num>
                    <m:den>
                      <m:r>
                        <m:rPr/>
                        <m:t>Tₜₑₘₚ</m:t>
                      </m:r>
                    </m:den>
                  </m:f>
                </m:e>
              </m:d>
            </m:e>
            <m:sub>
              <m:sSub>
                <m:sSubPr/>
                <m:e>
                  <m:r>
                    <m:rPr/>
                    <m:t>c</m:t>
                  </m:r>
                </m:e>
                <m:sub>
                  <m:r>
                    <m:rPr/>
                    <m:t>r</m:t>
                  </m:r>
                </m:sub>
              </m:sSub>
            </m:sub>
          </m:sSub>
        </m:oMath>
      </m:oMathPara>
    </w:p>
    <w:p w14:paraId="4E86CB15">
      <w:r>
        <w:rPr>
          <w:rFonts w:ascii="Times New Roman" w:hAnsi="Times New Roman" w:eastAsia="宋体" w:cs="Times New Roman"/>
          <w:sz w:val="22"/>
        </w:rPr>
        <w:t>公开trainer对第</w:t>
      </w:r>
      <m:oMath>
        <m:r>
          <m:rPr>
            <m:sty m:val="p"/>
          </m:rPr>
          <m:t>j</m:t>
        </m:r>
      </m:oMath>
      <w:r>
        <w:rPr>
          <w:rFonts w:ascii="Times New Roman" w:hAnsi="Times New Roman" w:eastAsia="宋体" w:cs="Times New Roman"/>
          <w:sz w:val="22"/>
        </w:rPr>
        <w:t>组参数使用递减系数</w:t>
      </w:r>
      <m:oMath>
        <m:sSub>
          <m:sSubPr/>
          <m:e>
            <m:r>
              <m:rPr/>
              <m:t>a</m:t>
            </m:r>
          </m:e>
          <m:sub>
            <m:r>
              <m:rPr>
                <m:sty m:val="p"/>
              </m:rPr>
              <m:t>j</m:t>
            </m:r>
          </m:sub>
        </m:sSub>
        <m:r>
          <m:rPr>
            <m:sty m:val="p"/>
          </m:rPr>
          <m:t>=</m:t>
        </m:r>
        <m:r>
          <m:rPr/>
          <m:t>1</m:t>
        </m:r>
        <m:r>
          <m:rPr>
            <m:sty m:val="p"/>
          </m:rPr>
          <m:t>−</m:t>
        </m:r>
        <m:d>
          <m:dPr>
            <m:sepChr m:val=""/>
          </m:dPr>
          <m:e>
            <m:r>
              <m:rPr>
                <m:sty m:val="p"/>
              </m:rPr>
              <m:t>j−</m:t>
            </m:r>
            <m:r>
              <m:rPr/>
              <m:t>1</m:t>
            </m:r>
          </m:e>
        </m:d>
        <m:r>
          <m:rPr>
            <m:sty m:val="p"/>
          </m:rPr>
          <m:t>/</m:t>
        </m:r>
        <m:r>
          <m:rPr/>
          <m:t>J</m:t>
        </m:r>
      </m:oMath>
      <w:r>
        <w:rPr>
          <w:rFonts w:ascii="Times New Roman" w:hAnsi="Times New Roman" w:eastAsia="宋体" w:cs="Times New Roman"/>
          <w:sz w:val="22"/>
        </w:rPr>
        <w:t>，分层正则为：</w:t>
      </w:r>
    </w:p>
    <w:p w14:paraId="54942E62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/>
                <m:t>HR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</m:naryPr>
            <m:sub>
              <m:r>
                <m:rPr>
                  <m:sty m:val="p"/>
                </m:rPr>
                <m:t>j=</m:t>
              </m:r>
              <m:r>
                <m:rPr/>
                <m:t>1</m:t>
              </m:r>
            </m:sub>
            <m:sup>
              <m:r>
                <m:rPr/>
                <m:t>J</m:t>
              </m:r>
            </m:sup>
            <m:e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>
                      <m:sty m:val="p"/>
                    </m:rPr>
                    <m:t>j</m:t>
                  </m:r>
                </m:sub>
              </m:sSub>
            </m:e>
          </m:nary>
          <m:r>
            <m:rPr>
              <m:sty m:val="p"/>
            </m:rPr>
            <m:t>∥</m:t>
          </m:r>
          <m:sSub>
            <m:sSubPr/>
            <m:e>
              <m:r>
                <m:rPr/>
                <m:t>θ</m:t>
              </m:r>
            </m:e>
            <m:sub>
              <m:r>
                <m:rPr>
                  <m:sty m:val="p"/>
                </m:rPr>
                <m:t>j</m:t>
              </m:r>
            </m:sub>
          </m:sSub>
          <m:r>
            <m:rPr>
              <m:sty m:val="p"/>
            </m:rPr>
            <m:t>−</m:t>
          </m:r>
          <m:sSubSup>
            <m:sSubSupPr/>
            <m:e>
              <m:r>
                <m:rPr/>
                <m:t>θ</m:t>
              </m:r>
            </m:e>
            <m:sub>
              <m:r>
                <m:rPr>
                  <m:sty m:val="p"/>
                </m:rPr>
                <m:t>j</m:t>
              </m:r>
            </m:sub>
            <m:sup>
              <m:r>
                <m:rPr>
                  <m:sty m:val="p"/>
                </m:rPr>
                <m:t>∗</m:t>
              </m:r>
            </m:sup>
          </m:sSubSup>
          <m:sSub>
            <m:sSubPr/>
            <m:e>
              <m:r>
                <m:rPr>
                  <m:sty m:val="p"/>
                </m:rPr>
                <m:t>∥</m:t>
              </m:r>
            </m:e>
            <m:sub>
              <m:r>
                <m:rPr/>
                <m:t>2</m:t>
              </m:r>
            </m:sub>
          </m:sSub>
        </m:oMath>
      </m:oMathPara>
    </w:p>
    <w:p w14:paraId="7CD82318">
      <w:r>
        <w:rPr>
          <w:rFonts w:ascii="Times New Roman" w:hAnsi="Times New Roman" w:eastAsia="宋体" w:cs="Times New Roman"/>
          <w:sz w:val="22"/>
        </w:rPr>
        <w:t>实际执行总损失为：</w:t>
      </w:r>
    </w:p>
    <w:p w14:paraId="0058A284">
      <w:pPr>
        <w:pStyle w:val="19"/>
      </w:pPr>
      <m:oMathPara>
        <m:oMathParaPr>
          <m:jc m:val="center"/>
        </m:oMathParaPr>
        <m:oMath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MoPC-HR</m:t>
              </m:r>
            </m:sub>
          </m:sSub>
          <m:r>
            <m:rPr>
              <m:sty m:val="p"/>
            </m:rPr>
            <m:t>=</m:t>
          </m:r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CE,new</m:t>
              </m:r>
            </m:sub>
          </m:sSub>
          <m:r>
            <m:rPr>
              <m:sty m:val="p"/>
            </m:rPr>
            <m:t>+</m:t>
          </m:r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protoAug</m:t>
              </m:r>
            </m:sub>
          </m:sSub>
          <m:r>
            <m:rPr>
              <m:sty m:val="p"/>
            </m:rPr>
            <m:t>+</m:t>
          </m:r>
          <m:sSub>
            <m:sSubPr/>
            <m:e>
              <m:r>
                <m:rPr>
                  <m:sty m:val="p"/>
                  <m:scr m:val="script"/>
                </m:rPr>
                <m:t>ℒ</m:t>
              </m:r>
            </m:e>
            <m:sub>
              <m:r>
                <m:rPr>
                  <m:nor/>
                  <m:sty m:val="p"/>
                </m:rPr>
                <w:rPr>
                  <w:b w:val="0"/>
                  <w:i w:val="0"/>
                </w:rPr>
                <m:t>HR</m:t>
              </m:r>
            </m:sub>
          </m:sSub>
        </m:oMath>
      </m:oMathPara>
    </w:p>
    <w:p w14:paraId="3E698ECB">
      <w:r>
        <w:rPr>
          <w:rFonts w:ascii="Times New Roman" w:hAnsi="Times New Roman" w:eastAsia="宋体" w:cs="Times New Roman"/>
          <w:sz w:val="22"/>
        </w:rPr>
        <w:t>公开代码还计算KD用于日志，但KD不进入总loss。训练后prototype校正为：</w:t>
      </w:r>
    </w:p>
    <w:p w14:paraId="46DA55D6">
      <w:pPr>
        <w:pStyle w:val="19"/>
      </w:pPr>
      <m:oMathPara>
        <m:oMathParaPr>
          <m:jc m:val="center"/>
        </m:oMathParaPr>
        <m:oMath>
          <m:sSub>
            <m:sSubPr/>
            <m:e>
              <m:acc>
                <m:accPr>
                  <m:chr m:val="̃"/>
                </m:accPr>
                <m:e>
                  <m:r>
                    <m:rPr/>
                    <m:t>P</m:t>
                  </m:r>
                </m:e>
              </m:acc>
            </m:e>
            <m:sub>
              <m:r>
                <m:rPr/>
                <m:t>old</m:t>
              </m:r>
            </m:sub>
          </m:sSub>
          <m:r>
            <m:rPr>
              <m:sty m:val="p"/>
            </m:rPr>
            <m:t>=</m:t>
          </m:r>
          <m:r>
            <m:rPr/>
            <m:t>0.97</m:t>
          </m:r>
          <m:sSub>
            <m:sSubPr/>
            <m:e>
              <m:r>
                <m:rPr/>
                <m:t>P</m:t>
              </m:r>
            </m:e>
            <m:sub>
              <m:r>
                <m:rPr/>
                <m:t>old</m:t>
              </m:r>
            </m:sub>
          </m:sSub>
          <m:r>
            <m:rPr>
              <m:sty m:val="p"/>
            </m:rPr>
            <m:t>+</m:t>
          </m:r>
          <m:r>
            <m:rPr/>
            <m:t>0.03softmax</m:t>
          </m:r>
          <m:d>
            <m:dPr>
              <m:sepChr m:val=""/>
            </m:dPr>
            <m:e>
              <m:sSub>
                <m:sSubPr/>
                <m:e>
                  <m:r>
                    <m:rPr/>
                    <m:t>P</m:t>
                  </m:r>
                </m:e>
                <m:sub>
                  <m:r>
                    <m:rPr/>
                    <m:t>old</m:t>
                  </m:r>
                </m:sub>
              </m:sSub>
              <m:sSup>
                <m:sSupPr/>
                <m:e>
                  <m:d>
                    <m:dPr>
                      <m:sepChr m:val=""/>
                    </m:dPr>
                    <m:e>
                      <m:sSubSup>
                        <m:sSubSupPr/>
                        <m:e>
                          <m:r>
                            <m:rPr/>
                            <m:t>P</m:t>
                          </m:r>
                        </m:e>
                        <m:sub>
                          <m:r>
                            <m:rPr/>
                            <m:t>new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∗</m:t>
                          </m:r>
                        </m:sup>
                      </m:sSub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d>
            <m:dPr>
              <m:sepChr m:val=""/>
            </m:dPr>
            <m:e>
              <m:sSub>
                <m:sSubPr/>
                <m:e>
                  <m:r>
                    <m:rPr/>
                    <m:t>P</m:t>
                  </m:r>
                </m:e>
                <m:sub>
                  <m:r>
                    <m:rPr/>
                    <m:t>new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sSubSupPr/>
                <m:e>
                  <m:r>
                    <m:rPr/>
                    <m:t>P</m:t>
                  </m:r>
                </m:e>
                <m:sub>
                  <m:r>
                    <m:rPr/>
                    <m:t>new</m:t>
                  </m:r>
                </m:sub>
                <m:sup>
                  <m:r>
                    <m:rPr>
                      <m:sty m:val="p"/>
                    </m:rPr>
                    <m:t>∗</m:t>
                  </m:r>
                </m:sup>
              </m:sSubSup>
            </m:e>
          </m:d>
        </m:oMath>
      </m:oMathPara>
    </w:p>
    <w:p w14:paraId="1BDC43F1">
      <w:r>
        <w:rPr>
          <w:rFonts w:ascii="Times New Roman" w:hAnsi="Times New Roman" w:eastAsia="宋体" w:cs="Times New Roman"/>
          <w:b/>
          <w:bCs/>
          <w:sz w:val="22"/>
        </w:rPr>
        <w:t>执行特点：</w:t>
      </w:r>
      <w:r>
        <w:rPr>
          <w:rFonts w:ascii="Times New Roman" w:hAnsi="Times New Roman" w:eastAsia="宋体" w:cs="Times New Roman"/>
          <w:sz w:val="22"/>
        </w:rPr>
        <w:t xml:space="preserve"> 20个epoch、batch size 16、SGD学习率0.01。正式CVS query仍使用当前模型的全注册类classifier logits，而不是校正prototype。该方法新类可塑性强于CSIL，但完整backbone更新会放大旧类遗忘。</w:t>
      </w:r>
    </w:p>
    <w:bookmarkEnd w:id="9"/>
    <w:p w14:paraId="48787FDB">
      <w:pPr>
        <w:pStyle w:val="4"/>
        <w:keepNext/>
      </w:pPr>
      <w:bookmarkStart w:id="10" w:name="X5001bd00c1e45a019c9ebc60a72c3cd7b05aeed"/>
      <w:r>
        <w:rPr>
          <w:rFonts w:ascii="Times New Roman" w:hAnsi="Times New Roman" w:eastAsia="宋体" w:cs="Times New Roman"/>
          <w:sz w:val="26"/>
        </w:rPr>
        <w:t>4.4CSIL与MoPC-HR机制对比</w:t>
      </w:r>
    </w:p>
    <w:tbl>
      <w:tblPr>
        <w:tblStyle w:val="3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3"/>
        <w:gridCol w:w="3597"/>
        <w:gridCol w:w="4200"/>
      </w:tblGrid>
      <w:tr w14:paraId="27DCF5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4BD7DD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比较维度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83C44EA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CSIL</w:t>
            </w:r>
          </w:p>
        </w:tc>
        <w:tc>
          <w:tcPr>
            <w:shd w:val="clear" w:color="auto" w:fill="E7E6E6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4083B5"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sz w:val="18"/>
              </w:rPr>
              <w:t>MoPC-HR</w:t>
            </w:r>
          </w:p>
        </w:tc>
      </w:tr>
      <w:tr w14:paraId="304983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B1168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主要方法类别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78BEA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结构扩展与通道隔离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DDA711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prototype校正与分层正则</w:t>
            </w:r>
          </w:p>
        </w:tc>
      </w:tr>
      <w:tr w14:paraId="51D080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CFAB51E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历史原始样本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9F7DF39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不保存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312B56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不保存</w:t>
            </w:r>
          </w:p>
        </w:tc>
      </w:tr>
      <w:tr w14:paraId="03AF96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557AE22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Phase2真实训练样本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F800F2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target-new support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BEAC7C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target-new support＋旧prototype伪特征</w:t>
            </w:r>
          </w:p>
        </w:tc>
      </w:tr>
      <w:tr w14:paraId="769606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FA6D8B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保留的历史状态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C4CFB9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旧模型、fingerprint结构、Fisher重要参数统计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7D8C9BA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旧类prototype、旧模型参数</w:t>
            </w:r>
          </w:p>
        </w:tc>
      </w:tr>
      <w:tr w14:paraId="1CB4F2D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0A4A1B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ADV3B02增量更新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36584318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冻结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79C7AF2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不冻结</w:t>
            </w:r>
          </w:p>
        </w:tc>
      </w:tr>
      <w:tr w14:paraId="61B1C7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A49CEE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实际损失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BB09A53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CE-new＋EWC＋0.2KD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7C34F06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CE-new＋protoAug＋逐参数非平方L2 HR；KD仅记录</w:t>
            </w:r>
          </w:p>
        </w:tc>
      </w:tr>
      <w:tr w14:paraId="45DA13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9ED085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旧类保护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F5C54CF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mask、冻结、KD、EWC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2E8ED9B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prototype增强、HR、旧参数参考</w:t>
            </w:r>
          </w:p>
        </w:tc>
      </w:tr>
      <w:tr w14:paraId="6D2847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12919AB5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最终query规则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62B5B79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zero-bias全注册类argmax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6C636D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当前模型全注册类classifier logits argmax</w:t>
            </w:r>
          </w:p>
        </w:tc>
      </w:tr>
      <w:tr w14:paraId="0F2F26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08F8E907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主要风险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4736D39D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过度保护旧类，新类不注册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92CDEA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新类学得快，但旧类遗忘</w:t>
            </w:r>
          </w:p>
        </w:tc>
      </w:tr>
      <w:tr w14:paraId="12482A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04A7904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部署特征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5E2346C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结构复杂、容量增长</w:t>
            </w:r>
          </w:p>
        </w:tc>
        <w:tc>
          <w:tcPr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14:paraId="5EA0B05B">
            <w:pPr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sz w:val="18"/>
              </w:rPr>
              <w:t>状态较紧凑，但仍需多轮训练</w:t>
            </w:r>
          </w:p>
        </w:tc>
      </w:tr>
      <w:bookmarkEnd w:id="10"/>
    </w:tbl>
    <w:p w14:paraId="2FA595CC">
      <w:pPr>
        <w:pStyle w:val="4"/>
        <w:keepNext/>
      </w:pPr>
      <w:r>
        <w:rPr>
          <w:rFonts w:ascii="Times New Roman" w:hAnsi="Times New Roman" w:eastAsia="宋体" w:cs="Times New Roman"/>
        </w:rPr>
        <w:t>4.5正式LEO弱信道逐配置结果</w:t>
      </w:r>
    </w:p>
    <w:p w14:paraId="54C54BCE">
      <w:pPr>
        <w:pStyle w:val="5"/>
        <w:keepNext/>
      </w:pPr>
      <w:r>
        <w:rPr>
          <w:rFonts w:ascii="Times New Roman" w:hAnsi="Times New Roman" w:eastAsia="宋体" w:cs="Times New Roman"/>
        </w:rPr>
        <w:t>4.5.1逐配置结果</w:t>
      </w:r>
    </w:p>
    <w:p w14:paraId="785E7855">
      <w:pPr>
        <w:pStyle w:val="19"/>
        <w:keepNext w:val="0"/>
      </w:pPr>
      <w:r>
        <w:rPr>
          <w:rFonts w:ascii="Times New Roman" w:hAnsi="Times New Roman" w:eastAsia="宋体" w:cs="Times New Roman"/>
        </w:rPr>
        <w:t>下表直接采用《学习进展情况+7.24》中的正式LEO结果，按K-shot、方法和新类数逐项展开。旧类与新类query只用于冻结后评价；表内数值保持周报原口径，不再汇总为跨条件总均值，也不跨行拼接“最佳指标”。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2"/>
        <w:gridCol w:w="1310"/>
        <w:gridCol w:w="936"/>
        <w:gridCol w:w="1591"/>
        <w:gridCol w:w="1591"/>
        <w:gridCol w:w="1591"/>
        <w:gridCol w:w="1499"/>
      </w:tblGrid>
      <w:tr w14:paraId="45D7E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42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7F28CCA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>K-shot</w:t>
            </w:r>
          </w:p>
        </w:tc>
        <w:tc>
          <w:tcPr>
            <w:tcW w:w="1310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F0254DE">
            <w:pPr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>方法</w:t>
            </w:r>
          </w:p>
        </w:tc>
        <w:tc>
          <w:tcPr>
            <w:tcW w:w="936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08DAFD3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>新类数</w:t>
            </w:r>
          </w:p>
        </w:tc>
        <w:tc>
          <w:tcPr>
            <w:tcW w:w="1591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AE736F9">
            <w:pPr>
              <w:keepNext/>
              <w:spacing w:before="0" w:after="0" w:line="240" w:lineRule="auto"/>
              <w:jc w:val="center"/>
            </w:pPr>
            <m:oMathPara>
              <m:oMath>
                <m:sSubSup>
                  <m:sSubSupPr/>
                  <m:e>
                    <m:r>
                      <m:rPr/>
                      <m:t>A</m:t>
                    </m:r>
                  </m:e>
                  <m:sub>
                    <m:r>
                      <m:rPr/>
                      <m:t>old</m:t>
                    </m:r>
                  </m:sub>
                  <m:sup>
                    <m:r>
                      <m:rPr/>
                      <m:t>DA0_REG1</m:t>
                    </m:r>
                  </m:sup>
                </m:sSubSup>
              </m:oMath>
            </m:oMathPara>
          </w:p>
        </w:tc>
        <w:tc>
          <w:tcPr>
            <w:tcW w:w="1591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A37AC33">
            <w:pPr>
              <w:keepNext/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A</m:t>
                    </m:r>
                  </m:e>
                  <m:sub>
                    <m:r>
                      <m:rPr/>
                      <m:t>new</m:t>
                    </m:r>
                  </m:sub>
                </m:sSub>
              </m:oMath>
            </m:oMathPara>
          </w:p>
        </w:tc>
        <w:tc>
          <w:tcPr>
            <w:tcW w:w="1591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84B0AB3">
            <w:pPr>
              <w:keepNext/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H</m:t>
                    </m:r>
                  </m:e>
                  <m:sub>
                    <m:r>
                      <m:rPr/>
                      <m:t>old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new</m:t>
                    </m:r>
                  </m:sub>
                </m:sSub>
              </m:oMath>
            </m:oMathPara>
          </w:p>
        </w:tc>
        <w:tc>
          <w:tcPr>
            <w:tcW w:w="1499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368CC4A">
            <w:pPr>
              <w:keepNext/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F</m:t>
                    </m:r>
                  </m:e>
                  <m:sub>
                    <m:r>
                      <m:rPr/>
                      <m:t>old</m:t>
                    </m:r>
                  </m:sub>
                </m:sSub>
              </m:oMath>
            </m:oMathPara>
          </w:p>
        </w:tc>
      </w:tr>
      <w:tr w14:paraId="2FF7B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932711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463170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075C25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BDE376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83.70%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343178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D475F4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455CDF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</w:tr>
      <w:tr w14:paraId="5857E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980BDA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2E0B81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857664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945993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83.70%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5E3611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2B17FF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CD9AE5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</w:tr>
      <w:tr w14:paraId="57859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E96A27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268B5A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7FDED4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CA4273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0.78%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67E690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5.17%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92709D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0.54%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1E0CE9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82.92%</w:t>
            </w:r>
          </w:p>
        </w:tc>
      </w:tr>
      <w:tr w14:paraId="70261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F9155D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3CC3DB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E71862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FE1CDA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87.47%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3FEB9B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919BDF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852A3D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</w:tr>
      <w:tr w14:paraId="2D267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BE01D3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F6BD53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3042C0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9771D8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87.47%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41C094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0.02%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E77651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0.04%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CCCFB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</w:tr>
      <w:tr w14:paraId="7EC2C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DCD895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2E209A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A0F83D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5E69B0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77.44%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F2C630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25.65%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02B8C7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37.97%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BA7B1B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10.02%</w:t>
            </w:r>
          </w:p>
        </w:tc>
      </w:tr>
      <w:tr w14:paraId="14F3F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1F9339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2AA12EE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1697B0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3ECF8C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63.80%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A19B07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22.08%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BC4182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32.30%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03015E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23.67%</w:t>
            </w:r>
          </w:p>
        </w:tc>
      </w:tr>
      <w:tr w14:paraId="0EBD4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B443D7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BC12DD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018B1D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2DC573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58.73%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0F5AA0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14.82%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566294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23.43%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B3DE66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28.73%</w:t>
            </w:r>
          </w:p>
        </w:tc>
      </w:tr>
      <w:tr w14:paraId="1C191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1D9550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DAE1DB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FB6548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155353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83.70%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EE1047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AFB8FF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49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3C2486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</w:tr>
      <w:tr w14:paraId="48AA8A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882709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C7B2DC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16B0F1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5B2FD8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83.70%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AB620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9EA67D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49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E5AE36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</w:tr>
      <w:tr w14:paraId="1BA2B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E410BA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966C85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74049B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F6562C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8.33%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631611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5.49%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F315DF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3.17%</w:t>
            </w:r>
          </w:p>
        </w:tc>
        <w:tc>
          <w:tcPr>
            <w:tcW w:w="149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020DF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75.37%</w:t>
            </w:r>
          </w:p>
        </w:tc>
      </w:tr>
      <w:tr w14:paraId="7B1931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808266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BC3DAAF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DDC5AB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18FF4C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87.47%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40F25E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541186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49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BAF516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</w:tr>
      <w:tr w14:paraId="3F2BE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28F3EA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BFFC8D8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FB6B8B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A3CA5A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66.78%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CB4A90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50.40%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193648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56.78%</w:t>
            </w:r>
          </w:p>
        </w:tc>
        <w:tc>
          <w:tcPr>
            <w:tcW w:w="149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2EFBE1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20.69%</w:t>
            </w:r>
          </w:p>
        </w:tc>
      </w:tr>
      <w:tr w14:paraId="212A9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A577F1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467DD47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A4DF07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5B7250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47.38%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057B74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50.52%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2D2BC9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48.05%</w:t>
            </w:r>
          </w:p>
        </w:tc>
        <w:tc>
          <w:tcPr>
            <w:tcW w:w="149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7F7A52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40.09%</w:t>
            </w:r>
          </w:p>
        </w:tc>
      </w:tr>
      <w:tr w14:paraId="038DC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8578D1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16C569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4A48FC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D27FB2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44.69%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0E1935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33.15%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7272DF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37.57%</w:t>
            </w:r>
          </w:p>
        </w:tc>
        <w:tc>
          <w:tcPr>
            <w:tcW w:w="149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131182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42.78%</w:t>
            </w:r>
          </w:p>
        </w:tc>
      </w:tr>
      <w:tr w14:paraId="60522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D80C54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7EB800E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A886B2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1D8C34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44.99%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F67957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22.31%</w:t>
            </w:r>
          </w:p>
        </w:tc>
        <w:tc>
          <w:tcPr>
            <w:tcW w:w="1591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673A0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29.32%</w:t>
            </w:r>
          </w:p>
        </w:tc>
        <w:tc>
          <w:tcPr>
            <w:tcW w:w="1499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B21677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42.48%</w:t>
            </w:r>
          </w:p>
        </w:tc>
      </w:tr>
      <w:tr w14:paraId="4DCED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9CFB17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0761F3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B79077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4FE177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83.70%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7D6910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C7D247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DC70C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</w:tr>
      <w:tr w14:paraId="0B5F1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98D5AB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C79EE9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14ECB2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7BD97A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0.08%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F583ED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34.04%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C8AB5A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0.14%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04230A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83.62%</w:t>
            </w:r>
          </w:p>
        </w:tc>
      </w:tr>
      <w:tr w14:paraId="0BAB0D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37A40B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DB4DE5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8714AD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B7894E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59.84%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1F8CB8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5.64%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8D8DDA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9.96%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5EA5F4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23.86%</w:t>
            </w:r>
          </w:p>
        </w:tc>
      </w:tr>
      <w:tr w14:paraId="4D160D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C68D4F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E0A16FF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497194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BF798C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60.76%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38DC52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96.53%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FF728F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72.69%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860927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26.71%</w:t>
            </w:r>
          </w:p>
        </w:tc>
      </w:tr>
      <w:tr w14:paraId="70ED3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F255F4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CA364C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CF9E4D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4F8765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48.96%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9F9341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71.47%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14EB7B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57.23%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C81C65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38.51%</w:t>
            </w:r>
          </w:p>
        </w:tc>
      </w:tr>
      <w:tr w14:paraId="764FCD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06E6E3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38EB59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CD4701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8A038E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33.28%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ECAD7C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61.31%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4510E3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41.09%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98A314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54.19%</w:t>
            </w:r>
          </w:p>
        </w:tc>
      </w:tr>
      <w:tr w14:paraId="3563C5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94E9D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BAA16F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296273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8F0FD7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34.07%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7DDEB5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41.36%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12347E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35.48%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B8163D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53.40%</w:t>
            </w:r>
          </w:p>
        </w:tc>
      </w:tr>
      <w:tr w14:paraId="489F91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11FE4E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20EE7B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A8FB06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0AF71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36.66%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FE37C6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27.86%</w:t>
            </w:r>
          </w:p>
        </w:tc>
        <w:tc>
          <w:tcPr>
            <w:tcW w:w="1591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AECB84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30.23%</w:t>
            </w:r>
          </w:p>
        </w:tc>
        <w:tc>
          <w:tcPr>
            <w:tcW w:w="1499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86D25B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50.81%</w:t>
            </w:r>
          </w:p>
        </w:tc>
      </w:tr>
    </w:tbl>
    <w:p w14:paraId="6AD37733">
      <w:pPr>
        <w:pStyle w:val="5"/>
        <w:keepNext/>
      </w:pPr>
      <w:r>
        <w:rPr>
          <w:rFonts w:ascii="Times New Roman" w:hAnsi="Times New Roman" w:eastAsia="宋体" w:cs="Times New Roman"/>
        </w:rPr>
        <w:t>4.5.2主要现象</w:t>
      </w:r>
    </w:p>
    <w:p w14:paraId="2F2FB097">
      <w:pPr>
        <w:pStyle w:val="19"/>
        <w:keepNext w:val="0"/>
      </w:pPr>
      <w:r>
        <w:rPr>
          <w:rFonts w:ascii="Times New Roman" w:hAnsi="Times New Roman" w:eastAsia="宋体" w:cs="Times New Roman"/>
          <w:b/>
          <w:color w:val="C00000"/>
        </w:rPr>
        <w:t>低K、少新类时存在零注册。</w:t>
      </w:r>
      <w:r>
        <w:rPr>
          <w:rFonts w:ascii="Times New Roman" w:hAnsi="Times New Roman" w:eastAsia="宋体" w:cs="Times New Roman"/>
          <w:b w:val="0"/>
        </w:rPr>
        <w:t>CSIL在K=5/10且新类数为1或3时seen_new_acc为0；MoPC-HR在K=5或10、新类数为1时也为0。</w:t>
      </w:r>
    </w:p>
    <w:p w14:paraId="6EAE2E34">
      <w:pPr>
        <w:pStyle w:val="19"/>
        <w:keepNext w:val="0"/>
      </w:pPr>
      <w:r>
        <w:rPr>
          <w:rFonts w:ascii="Times New Roman" w:hAnsi="Times New Roman" w:eastAsia="宋体" w:cs="Times New Roman"/>
          <w:b/>
          <w:color w:val="C00000"/>
        </w:rPr>
        <w:t>MoPC-HR的可塑性更强，但会牺牲旧类。</w:t>
      </w:r>
      <w:r>
        <w:rPr>
          <w:rFonts w:ascii="Times New Roman" w:hAnsi="Times New Roman" w:eastAsia="宋体" w:cs="Times New Roman"/>
          <w:b w:val="0"/>
        </w:rPr>
        <w:t>K=20、新类数1时seen_new_acc为96.53%，H_old_new为72.69%；与此同时，old_acc_after降至60.76%，forgetting为26.71个百分点。</w:t>
      </w:r>
    </w:p>
    <w:p w14:paraId="708924D1">
      <w:pPr>
        <w:pStyle w:val="19"/>
        <w:keepNext w:val="0"/>
      </w:pPr>
      <w:r>
        <w:rPr>
          <w:rFonts w:ascii="Times New Roman" w:hAnsi="Times New Roman" w:eastAsia="宋体" w:cs="Times New Roman"/>
          <w:b/>
          <w:color w:val="C00000"/>
        </w:rPr>
        <w:t>新类规模扩大后联合性能下降。</w:t>
      </w:r>
      <w:r>
        <w:rPr>
          <w:rFonts w:ascii="Times New Roman" w:hAnsi="Times New Roman" w:eastAsia="宋体" w:cs="Times New Roman"/>
          <w:b w:val="0"/>
        </w:rPr>
        <w:t>MoPC-HR在K=20时，新类数从1增加到25，seen_new_acc从96.53%降至27.86%，old_acc_after也从60.76%降至36.66%。</w:t>
      </w:r>
    </w:p>
    <w:p w14:paraId="0F426BDF">
      <w:pPr>
        <w:pStyle w:val="19"/>
        <w:keepNext w:val="0"/>
      </w:pPr>
      <w:r>
        <w:rPr>
          <w:rFonts w:ascii="Times New Roman" w:hAnsi="Times New Roman" w:eastAsia="宋体" w:cs="Times New Roman"/>
          <w:b/>
          <w:color w:val="C00000"/>
        </w:rPr>
        <w:t>CSIL呈现明显的稳定性—可塑性极端。</w:t>
      </w:r>
      <w:r>
        <w:rPr>
          <w:rFonts w:ascii="Times New Roman" w:hAnsi="Times New Roman" w:eastAsia="宋体" w:cs="Times New Roman"/>
          <w:b w:val="0"/>
        </w:rPr>
        <w:t>小规模时旧类几乎完全保留但新类不注册；部分较大规模或高K切片中，新类开始被学习，却伴随旧类显著下降。</w:t>
      </w:r>
    </w:p>
    <w:p>
      <w:pPr>
        <w:pStyle w:val="5"/>
        <w:keepNext/>
      </w:pPr>
      <w:r>
        <w:rPr>
          <w:rFonts w:ascii="Times New Roman" w:hAnsi="Times New Roman" w:cs="Times New Roman" w:eastAsia="宋体"/>
        </w:rPr>
        <w:t>4.5.3qKNN与类增量方法的共同LEO切片对照</w:t>
      </w:r>
    </w:p>
    <w:p>
      <w:pPr>
        <w:pStyle w:val="19"/>
        <w:keepNext w:val="0"/>
      </w:pPr>
      <w:r>
        <w:rPr>
          <w:rFonts w:ascii="Times New Roman" w:hAnsi="Times New Roman" w:cs="Times New Roman" w:eastAsia="宋体"/>
        </w:rPr>
        <w:t>qKNN完成125/125个任务和375/375个LEO场景，失败数为0。下表在K1/new20、K5/new20、K10/new5、K10/new10和K10/new20五个共同切片上，对照qKNN与CSIL、MoPC-HR官方流程的三场景平均结果。CSIL和MoPC-HR使用seed 713101–713105，qKNN使用713102–713106；三者的base训练、状态构造和训练权限也不同，因此该表是同LEO场景的描述性对照，不是严格paired显著性比较。</w:t>
      </w:r>
      <w:r>
        <w:rPr>
          <w:rFonts w:ascii="Times New Roman" w:hAnsi="Times New Roman" w:eastAsia="宋体" w:cs="Times New Roman"/>
        </w:rPr>
        <w:t xml:space="preserve"> 状态路径明确为：qKNN采用DA1_REG0→DA1_REG1；CSIL与MoPC-HR官方流程采用DA0_REG0→DA0_REG1。</w:t>
      </w:r>
    </w:p>
    <w:tbl>
      <w:tblPr>
        <w:tblStyle w:val="33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310"/>
        <w:gridCol w:w="2152"/>
        <w:gridCol w:w="1216"/>
        <w:gridCol w:w="1216"/>
        <w:gridCol w:w="1123"/>
        <w:gridCol w:w="1123"/>
        <w:gridCol w:w="1220"/>
      </w:tblGrid>
      <w:tr>
        <w:trPr>
          <w:tblHeader w:val="true"/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5"/>
              </w:rPr>
              <w:t>切片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/>
                <w:color w:val="1F4E79"/>
                <w:sz w:val="15"/>
              </w:rPr>
              <w:t>方法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 w14:paraId="5A916BB8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1F4E79"/>
                <w:sz w:val="15"/>
              </w:rPr>
              <w:t>初始状态</w:t>
            </w:r>
            <w:r>
              <w:rPr>
                <w:rFonts w:ascii="Times New Roman" w:hAnsi="Times New Roman" w:eastAsia="宋体" w:cs="Times New Roman"/>
                <w:b/>
                <w:color w:val="1F4E79"/>
                <w:sz w:val="15"/>
              </w:rPr>
              <w:t xml:space="preserve"> </w:t>
            </w:r>
            <m:oMath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old</m:t>
                  </m:r>
                </m:sub>
              </m:sSub>
            </m:oMath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 w14:paraId="1AE736F9">
            <w:pPr>
              <w:keepNext/>
              <w:spacing w:before="0" w:after="0" w:line="240" w:lineRule="auto"/>
              <w:jc w:val="center"/>
            </w:pPr>
            <m:oMathPara>
              <m:oMath>
                <m:sSubSup>
                  <m:sSubSupPr/>
                  <m:e>
                    <m:r>
                      <m:rPr/>
                      <m:t>A</m:t>
                    </m:r>
                  </m:e>
                  <m:sub>
                    <m:r>
                      <m:rPr/>
                      <m:t>old</m:t>
                    </m:r>
                  </m:sub>
                  <m:sup>
                    <m:r>
                      <m:rPr/>
                      <m:t>REG1</m:t>
                    </m:r>
                  </m:sup>
                </m:sSubSup>
              </m:oMath>
            </m:oMathPara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 w14:paraId="1A37AC33">
            <w:pPr>
              <w:keepNext/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A</m:t>
                    </m:r>
                  </m:e>
                  <m:sub>
                    <m:r>
                      <m:rPr/>
                      <m:t>new</m:t>
                    </m:r>
                  </m:sub>
                </m:sSub>
              </m:oMath>
            </m:oMathPara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 w14:paraId="784B0AB3">
            <w:pPr>
              <w:keepNext/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H</m:t>
                    </m:r>
                  </m:e>
                  <m:sub>
                    <m:r>
                      <m:rPr/>
                      <m:t>old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new</m:t>
                    </m:r>
                  </m:sub>
                </m:sSub>
              </m:oMath>
            </m:oMathPara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E7E6E6"/>
          </w:tcPr>
          <w:p w14:paraId="4368CC4A">
            <w:pPr>
              <w:keepNext/>
              <w:spacing w:before="0" w:after="0" w:line="240" w:lineRule="auto"/>
              <w:jc w:val="center"/>
            </w:pPr>
            <m:oMathPara>
              <m:oMath>
                <m:sSub>
                  <m:sSubPr/>
                  <m:e>
                    <m:r>
                      <m:rPr/>
                      <m:t>F</m:t>
                    </m:r>
                  </m:e>
                  <m:sub>
                    <m:r>
                      <m:rPr/>
                      <m:t>old</m:t>
                    </m:r>
                  </m:sub>
                </m:sSub>
              </m:oMath>
            </m:oMathPara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K1/new20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qKNN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68.144%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44.033%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27.150%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33.410%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24.111pp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K1/new20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CSIL官方流程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42.833%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42.833%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0.000%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0.000%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0.000pp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K1/new20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MoPC-HR官方流程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45.322%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40.722%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1.363%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2.603%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4.600pp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K5/new20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qKNN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81.267%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63.711%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58.883%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60.955%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17.556pp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K5/new20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CSIL官方流程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42.833%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0.200%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5.557%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0.316%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42.633pp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K5/new20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MoPC-HR官方流程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45.322%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13.511%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17.433%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14.309%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31.811pp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K10/new5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qKNN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86.111%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76.189%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74.133%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74.803%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9.922pp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K10/new5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CSIL官方流程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42.833%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0.689%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20.413%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1.264%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42.144pp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K10/new5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MoPC-HR官方流程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45.322%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9.322%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49.547%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14.947%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36.000pp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K10/new10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qKNN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86.111%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72.533%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66.353%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69.106%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13.578pp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K10/new10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CSIL官方流程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42.833%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0.000%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10.460%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0.000%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42.833pp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K10/new10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MoPC-HR官方流程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45.322%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9.500%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32.900%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13.770%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35.822pp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K10/new20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qKNN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86.111%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71.333%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68.150%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69.555%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14.778pp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K10/new20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CSIL官方流程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42.833%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38.222%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1.660%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2.979%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4.611pp</w:t>
            </w:r>
          </w:p>
        </w:tc>
      </w:tr>
      <w:tr>
        <w:trPr>
          <w:cantSplit/>
        </w:trPr>
        <w:tc>
          <w:tcPr>
            <w:tcW w:type="dxa" w:w="131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K10/new20</w:t>
            </w:r>
          </w:p>
        </w:tc>
        <w:tc>
          <w:tcPr>
            <w:tcW w:type="dxa" w:w="2152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MoPC-HR官方流程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45.322%</w:t>
            </w:r>
          </w:p>
        </w:tc>
        <w:tc>
          <w:tcPr>
            <w:tcW w:type="dxa" w:w="1216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7.611%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25.187%</w:t>
            </w:r>
          </w:p>
        </w:tc>
        <w:tc>
          <w:tcPr>
            <w:tcW w:type="dxa" w:w="1123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10.695%</w:t>
            </w:r>
          </w:p>
        </w:tc>
        <w:tc>
          <w:tcPr>
            <w:tcW w:type="dxa" w:w="1220"/>
            <w:vAlign w:val="center"/>
            <w:tcMar>
              <w:top w:w="55" w:type="dxa"/>
              <w:start w:w="70" w:type="dxa"/>
              <w:bottom w:w="55" w:type="dxa"/>
              <w:end w:w="70" w:type="dxa"/>
            </w:tcMar>
            <w:shd w:fill="F4F8FC"/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宋体"/>
                <w:b w:val="0"/>
                <w:sz w:val="15"/>
              </w:rPr>
              <w:t>37.711pp</w:t>
            </w:r>
          </w:p>
        </w:tc>
      </w:tr>
    </w:tbl>
    <w:p>
      <w:pPr>
        <w:pStyle w:val="19"/>
        <w:keepNext w:val="0"/>
      </w:pPr>
      <w:r>
        <w:rPr>
          <w:rFonts w:ascii="Times New Roman" w:hAnsi="Times New Roman" w:cs="Times New Roman" w:eastAsia="宋体"/>
        </w:rPr>
        <w:t>qKNN在五个共同切片上的旧新调和均值均高于两种论文流程，但不能把差距全部归因于qKNN算法：qKNN的Stage2-B旧类状态明显更强，方法生命周期和允许使用的历史状态也不同。qKNN在K10/new20得到注册后旧类71.333%、新类68.150%、调和均值69.555%，遗忘14.778个百分点；相对其matched D81控制，它改善旧类和遗忘，但新类下降且全部绝对性能门仍失败。正式结论保持COMPLETED_DIAGNOSTIC_NEGATIVE_NOT_PROMOTABLE，不能表述为qKNN已完成晋级。</w:t>
      </w:r>
    </w:p>
    <w:p w14:paraId="7042E6F0">
      <w:pPr>
        <w:pStyle w:val="4"/>
        <w:keepNext/>
      </w:pPr>
      <w:r>
        <w:rPr>
          <w:rFonts w:ascii="Times New Roman" w:hAnsi="Times New Roman" w:eastAsia="宋体" w:cs="Times New Roman"/>
        </w:rPr>
        <w:t>4.6matched无LEO新类归因诊断</w:t>
      </w:r>
    </w:p>
    <w:p w14:paraId="7254FD14">
      <w:pPr>
        <w:pStyle w:val="5"/>
        <w:keepNext/>
      </w:pPr>
      <w:r>
        <w:rPr>
          <w:rFonts w:ascii="Times New Roman" w:hAnsi="Times New Roman" w:eastAsia="宋体" w:cs="Times New Roman"/>
        </w:rPr>
        <w:t>4.6.1逐配置结果</w:t>
      </w:r>
    </w:p>
    <w:p w14:paraId="308E9191">
      <w:pPr>
        <w:pStyle w:val="19"/>
        <w:keepNext w:val="0"/>
      </w:pPr>
      <w:r>
        <w:rPr>
          <w:rFonts w:ascii="Times New Roman" w:hAnsi="Times New Roman" w:eastAsia="宋体" w:cs="Times New Roman"/>
        </w:rPr>
        <w:t>该诊断保持方法、物理样本ID、support/query划分、K-shot和旧类评测条件一致，只把新类support/query替换为未叠加LEO的同一物理记录。结果永久标记为DIAGNOSTIC_NEW_CLASS_NO_LEO_NON_FORMAL。</w:t>
      </w:r>
    </w:p>
    <w:tbl>
      <w:tblPr>
        <w:tblStyle w:val="33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2"/>
        <w:gridCol w:w="1310"/>
        <w:gridCol w:w="936"/>
        <w:gridCol w:w="1872"/>
        <w:gridCol w:w="1497"/>
        <w:gridCol w:w="1497"/>
        <w:gridCol w:w="1406"/>
      </w:tblGrid>
      <w:tr w14:paraId="6AC612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842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9E82008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>K-shot</w:t>
            </w:r>
          </w:p>
        </w:tc>
        <w:tc>
          <w:tcPr>
            <w:tcW w:w="1310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3A67386">
            <w:pPr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>方法</w:t>
            </w:r>
          </w:p>
        </w:tc>
        <w:tc>
          <w:tcPr>
            <w:tcW w:w="936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27649D2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>新类数</w:t>
            </w:r>
          </w:p>
        </w:tc>
        <w:tc>
          <w:tcPr>
            <w:tcW w:w="1872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9505204">
            <w:pPr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bCs/>
                <w:color w:val="1F4E79"/>
                <w:sz w:val="16"/>
              </w:rPr>
              <w:t>无LEO</w:t>
            </w:r>
            <w:r>
              <w:rPr>
                <w:rFonts w:ascii="Times New Roman" w:hAnsi="Times New Roman" w:eastAsia="宋体" w:cs="Times New Roman"/>
                <w:b/>
                <w:color w:val="1F4E79"/>
                <w:sz w:val="16"/>
              </w:rPr>
              <w:t xml:space="preserve"> </w:t>
            </w:r>
            <m:oMath>
              <m:sSub>
                <m:sSubPr/>
                <m:e>
                  <m:r>
                    <m:rPr/>
                    <m:t>A</m:t>
                  </m:r>
                </m:e>
                <m:sub>
                  <m:r>
                    <m:rPr/>
                    <m:t>new</m:t>
                  </m:r>
                </m:sub>
              </m:sSub>
            </m:oMath>
          </w:p>
        </w:tc>
        <w:tc>
          <w:tcPr>
            <w:tcW w:w="1497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12A8EDB">
            <w:pPr>
              <w:keepNext/>
              <w:spacing w:before="0" w:after="0" w:line="240" w:lineRule="auto"/>
              <w:jc w:val="center"/>
            </w:pPr>
            <m:oMathPara>
              <m:oMath>
                <m:r>
                  <m:rPr/>
                  <m:t>Δ</m:t>
                </m:r>
                <m:sSub>
                  <m:sSubPr/>
                  <m:e>
                    <m:r>
                      <m:rPr/>
                      <m:t>A</m:t>
                    </m:r>
                  </m:e>
                  <m:sub>
                    <m:r>
                      <m:rPr/>
                      <m:t>new</m:t>
                    </m:r>
                  </m:sub>
                </m:sSub>
              </m:oMath>
            </m:oMathPara>
          </w:p>
        </w:tc>
        <w:tc>
          <w:tcPr>
            <w:tcW w:w="1497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80868E">
            <w:pPr>
              <w:keepNext/>
              <w:spacing w:before="0" w:after="0" w:line="240" w:lineRule="auto"/>
              <w:jc w:val="center"/>
            </w:pPr>
            <m:oMathPara>
              <m:oMath>
                <m:r>
                  <m:rPr/>
                  <m:t>Δ</m:t>
                </m:r>
                <m:sSubSup>
                  <m:sSubSupPr/>
                  <m:e>
                    <m:r>
                      <m:rPr/>
                      <m:t>A</m:t>
                    </m:r>
                  </m:e>
                  <m:sub>
                    <m:r>
                      <m:rPr/>
                      <m:t>old</m:t>
                    </m:r>
                  </m:sub>
                  <m:sup>
                    <m:r>
                      <m:rPr/>
                      <m:t>DA0_REG1</m:t>
                    </m:r>
                  </m:sup>
                </m:sSubSup>
              </m:oMath>
            </m:oMathPara>
          </w:p>
        </w:tc>
        <w:tc>
          <w:tcPr>
            <w:tcW w:w="1406" w:type="dxa"/>
            <w:shd w:val="clear" w:color="auto" w:fill="E7E6E6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66A40E">
            <w:pPr>
              <w:keepNext/>
              <w:spacing w:before="0" w:after="0" w:line="240" w:lineRule="auto"/>
              <w:jc w:val="center"/>
            </w:pPr>
            <m:oMathPara>
              <m:oMath>
                <m:r>
                  <m:rPr/>
                  <m:t>Δ</m:t>
                </m:r>
                <m:sSub>
                  <m:sSubPr/>
                  <m:e>
                    <m:r>
                      <m:rPr/>
                      <m:t>H</m:t>
                    </m:r>
                  </m:e>
                  <m:sub>
                    <m:r>
                      <m:rPr/>
                      <m:t>old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/>
                      <m:t>new</m:t>
                    </m:r>
                  </m:sub>
                </m:sSub>
              </m:oMath>
            </m:oMathPara>
          </w:p>
        </w:tc>
      </w:tr>
      <w:tr w14:paraId="32EE4C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FBD2AC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49211C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1A2729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CF75A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E4B2DF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+0.00pp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20CA9E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+0.00pp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C12E0B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+0.00pp</w:t>
            </w:r>
          </w:p>
        </w:tc>
      </w:tr>
      <w:tr w14:paraId="060F6C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708DE4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2C9734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42745F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EB0B9B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8.05%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3E3AA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+2.88pp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ED0D58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-0.78pp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ADC2CE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-0.54pp</w:t>
            </w:r>
          </w:p>
        </w:tc>
      </w:tr>
      <w:tr w14:paraId="7BC4B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B37ABA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EBC8999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BDC3BC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A01A76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4971C4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-0.02pp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B24D26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+0.00pp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CA3688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-0.04pp</w:t>
            </w:r>
          </w:p>
        </w:tc>
      </w:tr>
      <w:tr w14:paraId="0D100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45E9F3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375F55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6DB99E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D0E6B9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54.33%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B0750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+28.68pp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EBA846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-33.44pp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26BABB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+6.75pp</w:t>
            </w:r>
          </w:p>
        </w:tc>
      </w:tr>
      <w:tr w14:paraId="341FFB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790D2E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F3C5E3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542016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69761E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63.29%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18030F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+41.21pp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39F6B7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-38.09pp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BC02A9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+3.56pp</w:t>
            </w:r>
          </w:p>
        </w:tc>
      </w:tr>
      <w:tr w14:paraId="79209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32C0D5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E23F1BB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80E306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25F391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51.02%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7F9C2A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+36.20pp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0ED1DE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-40.32pp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AE0C60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+3.23pp</w:t>
            </w:r>
          </w:p>
        </w:tc>
      </w:tr>
      <w:tr w14:paraId="70356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31856D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4AAE616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A70C3F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87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B60D59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0.00%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234F6E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+0.00pp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FD182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+0.00pp</w:t>
            </w:r>
          </w:p>
        </w:tc>
        <w:tc>
          <w:tcPr>
            <w:tcW w:w="14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507088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+0.00pp</w:t>
            </w:r>
          </w:p>
        </w:tc>
      </w:tr>
      <w:tr w14:paraId="347824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EAFD88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981D5DD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460CAA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87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E598AD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4.98%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01EED1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-0.50pp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8216A4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+48.69pp</w:t>
            </w:r>
          </w:p>
        </w:tc>
        <w:tc>
          <w:tcPr>
            <w:tcW w:w="14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422A9A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+3.10pp</w:t>
            </w:r>
          </w:p>
        </w:tc>
      </w:tr>
      <w:tr w14:paraId="422F0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4D24EF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BBDDD8C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0260DC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87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0EE25A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63.04%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BC55FB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+12.64pp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E4648A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-12.68pp</w:t>
            </w:r>
          </w:p>
        </w:tc>
        <w:tc>
          <w:tcPr>
            <w:tcW w:w="14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ACEC9A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-0.98pp</w:t>
            </w:r>
          </w:p>
        </w:tc>
      </w:tr>
      <w:tr w14:paraId="576BE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3063F7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CC3439F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AF318F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87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17021C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90.91%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A5E35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+40.39pp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01184F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-19.80pp</w:t>
            </w:r>
          </w:p>
        </w:tc>
        <w:tc>
          <w:tcPr>
            <w:tcW w:w="14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6AC70F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-6.12pp</w:t>
            </w:r>
          </w:p>
        </w:tc>
      </w:tr>
      <w:tr w14:paraId="64CAC2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C2DEC0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9709AB5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BF8291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87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B3A978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75.63%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A2EF77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+42.48pp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479E00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-29.12pp</w:t>
            </w:r>
          </w:p>
        </w:tc>
        <w:tc>
          <w:tcPr>
            <w:tcW w:w="14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B8AE00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-12.28pp</w:t>
            </w:r>
          </w:p>
        </w:tc>
      </w:tr>
      <w:tr w14:paraId="3CBB5F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04391D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310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7DB8BF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1BBCFE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</w:t>
            </w:r>
          </w:p>
        </w:tc>
        <w:tc>
          <w:tcPr>
            <w:tcW w:w="1872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E779AB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64.38%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3DE4F9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+42.07pp</w:t>
            </w:r>
          </w:p>
        </w:tc>
        <w:tc>
          <w:tcPr>
            <w:tcW w:w="1497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CCA2A2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-35.71pp</w:t>
            </w:r>
          </w:p>
        </w:tc>
        <w:tc>
          <w:tcPr>
            <w:tcW w:w="1406" w:type="dxa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3BA465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-13.64pp</w:t>
            </w:r>
          </w:p>
        </w:tc>
      </w:tr>
      <w:tr w14:paraId="77323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302B51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60E8B8A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DEF805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A897FD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45.09%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E384DC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+11.04pp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B3E43D1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-0.08pp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C5C8E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-0.14pp</w:t>
            </w:r>
          </w:p>
        </w:tc>
      </w:tr>
      <w:tr w14:paraId="4D2AF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16F9A93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2197DD4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CSIL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489767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717232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5.03%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D91B7EC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-0.61pp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6A8C2B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+2.00pp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798465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-0.98pp</w:t>
            </w:r>
          </w:p>
        </w:tc>
      </w:tr>
      <w:tr w14:paraId="4D49A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9003CC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2FFD46A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3DC694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3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623BD1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95.64%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5BEC20B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+24.18pp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E44065F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+5.46pp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A00070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+10.85pp</w:t>
            </w:r>
          </w:p>
        </w:tc>
      </w:tr>
      <w:tr w14:paraId="0E5EA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382EE9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1987254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1F056D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5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C61697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94.85%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914F876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+33.55pp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AAAEC3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-10.28pp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27AE0C8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-4.69pp</w:t>
            </w:r>
          </w:p>
        </w:tc>
      </w:tr>
      <w:tr w14:paraId="0DA2D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48B7AC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DB66EEA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45C6279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10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A4A6BFA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81.81%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29F2D3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+40.45pp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5380C80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-20.38pp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8C16CAD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-12.51pp</w:t>
            </w:r>
          </w:p>
        </w:tc>
      </w:tr>
      <w:tr w14:paraId="3CA2D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4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C438F25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20</w:t>
            </w:r>
          </w:p>
        </w:tc>
        <w:tc>
          <w:tcPr>
            <w:tcW w:w="1310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B66FA01"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MoPC-HR</w:t>
            </w:r>
          </w:p>
        </w:tc>
        <w:tc>
          <w:tcPr>
            <w:tcW w:w="93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F651D6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25</w:t>
            </w:r>
          </w:p>
        </w:tc>
        <w:tc>
          <w:tcPr>
            <w:tcW w:w="1872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A94A2A2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70.26%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90D669E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+42.40pp</w:t>
            </w:r>
          </w:p>
        </w:tc>
        <w:tc>
          <w:tcPr>
            <w:tcW w:w="1497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1B01357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-29.78pp</w:t>
            </w:r>
          </w:p>
        </w:tc>
        <w:tc>
          <w:tcPr>
            <w:tcW w:w="1406" w:type="dxa"/>
            <w:shd w:val="clear" w:color="auto" w:fill="F4F8FC"/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8A7BD94"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sz w:val="16"/>
              </w:rPr>
              <w:t>-18.16pp</w:t>
            </w:r>
          </w:p>
        </w:tc>
      </w:tr>
    </w:tbl>
    <w:p w14:paraId="34988A19">
      <w:pPr>
        <w:pStyle w:val="19"/>
        <w:keepNext w:val="0"/>
      </w:pPr>
      <w:r>
        <w:rPr>
          <w:rFonts w:ascii="Times New Roman" w:hAnsi="Times New Roman" w:eastAsia="宋体" w:cs="Times New Roman"/>
        </w:rPr>
        <w:t>Δ表示无LEO诊断相对正式LEO结果的变化。</w:t>
      </w:r>
    </w:p>
    <w:p w14:paraId="10058240">
      <w:pPr>
        <w:pStyle w:val="5"/>
        <w:keepNext/>
      </w:pPr>
      <w:r>
        <w:rPr>
          <w:rFonts w:ascii="Times New Roman" w:hAnsi="Times New Roman" w:eastAsia="宋体" w:cs="Times New Roman"/>
        </w:rPr>
        <w:t>4.6.2诊断解读</w:t>
      </w:r>
    </w:p>
    <w:p w14:paraId="144AAB78">
      <w:pPr>
        <w:pStyle w:val="19"/>
        <w:keepNext w:val="0"/>
      </w:pPr>
      <w:r>
        <w:rPr>
          <w:rFonts w:ascii="Times New Roman" w:hAnsi="Times New Roman" w:eastAsia="宋体" w:cs="Times New Roman"/>
        </w:rPr>
        <w:t>移除新类LEO扰动后，MoPC-HR的新类准确率在多数切片显著提高，说明信道失真确实破坏了新类特征与旧类prototype之间的几何关系。但新类学得更好不一定提高H_old_new：新类梯度更强时，旧类准确率可能进一步下降。</w:t>
      </w:r>
    </w:p>
    <w:p w14:paraId="159F0B70">
      <w:pPr>
        <w:pStyle w:val="19"/>
        <w:keepNext w:val="0"/>
      </w:pPr>
      <w:r>
        <w:rPr>
          <w:rFonts w:ascii="Times New Roman" w:hAnsi="Times New Roman" w:eastAsia="宋体" w:cs="Times New Roman"/>
        </w:rPr>
        <w:t>例如K=10、新类数10时，无LEO使seen_new_acc提高42.48个百分点，但old_acc_after下降29.12个百分点，H_old_new反而下降12.28个百分点。该诊断只能用于信道归因，不能替代正式卫星场景结果或用于方法晋级。</w:t>
      </w:r>
    </w:p>
    <w:p w14:paraId="27A644C9">
      <w:pPr>
        <w:pStyle w:val="4"/>
        <w:keepNext/>
      </w:pPr>
      <w:bookmarkStart w:id="11" w:name="X31943cb66b4f1a5bd38bc2ce323d836de6d2278"/>
      <w:r>
        <w:rPr>
          <w:rFonts w:ascii="Times New Roman" w:hAnsi="Times New Roman" w:eastAsia="宋体" w:cs="Times New Roman"/>
          <w:sz w:val="26"/>
        </w:rPr>
        <w:t>4.7低K条件下的零注册问题</w:t>
      </w:r>
    </w:p>
    <w:p w14:paraId="14D037E3">
      <w:r>
        <w:rPr>
          <w:rFonts w:ascii="Times New Roman" w:hAnsi="Times New Roman" w:eastAsia="宋体" w:cs="Times New Roman"/>
          <w:sz w:val="22"/>
        </w:rPr>
        <w:t>若增量阶段只有</w:t>
      </w:r>
      <m:oMath>
        <m:sSub>
          <m:sSubPr/>
          <m:e>
            <m:r>
              <m:rPr/>
              <m:t>N</m:t>
            </m:r>
          </m:e>
          <m:sub>
            <m:r>
              <m:rPr>
                <m:nor/>
                <m:sty m:val="p"/>
              </m:rPr>
              <w:rPr>
                <w:b w:val="0"/>
                <w:i w:val="0"/>
              </w:rPr>
              <m:t>new</m:t>
            </m:r>
          </m:sub>
        </m:sSub>
        <m:r>
          <m:rPr>
            <m:sty m:val="p"/>
          </m:rPr>
          <m:t>×</m:t>
        </m:r>
        <m:r>
          <m:rPr/>
          <m:t>K</m:t>
        </m:r>
      </m:oMath>
      <w:r>
        <w:rPr>
          <w:rFonts w:ascii="Times New Roman" w:hAnsi="Times New Roman" w:eastAsia="宋体" w:cs="Times New Roman"/>
          <w:sz w:val="22"/>
        </w:rPr>
        <w:t>个样本，batch size为</w:t>
      </w:r>
      <m:oMath>
        <m:r>
          <m:rPr/>
          <m:t>B</m:t>
        </m:r>
      </m:oMath>
      <w:r>
        <w:rPr>
          <w:rFonts w:ascii="Times New Roman" w:hAnsi="Times New Roman" w:eastAsia="宋体" w:cs="Times New Roman"/>
          <w:sz w:val="22"/>
        </w:rPr>
        <w:t>，并且DataLoader使用drop_last=True，则：</w:t>
      </w:r>
      <w:r>
        <w:rPr>
          <w:rFonts w:ascii="Times New Roman" w:hAnsi="Times New Roman" w:cs="Times New Roman" w:eastAsia="宋体"/>
        </w:rPr>
        <w:t>（</w:t>
      </w:r>
      <m:oMath xmlns:a="http://schemas.openxmlformats.org/drawingml/2006/main" xmlns:pic="http://schemas.openxmlformats.org/drawingml/2006/picture">
        <m:sSub>
          <m:e>
            <m:r>
              <m:t>N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</m:oMath>
      <w:r>
        <w:rPr>
          <w:rFonts w:ascii="Times New Roman" w:hAnsi="Times New Roman" w:eastAsia="宋体" w:cs="Times New Roman"/>
          <w:b w:val="0"/>
        </w:rPr>
        <w:t>是当前增量阶段的新类数，</w:t>
      </w:r>
      <m:oMath xmlns:a="http://schemas.openxmlformats.org/drawingml/2006/main" xmlns:pic="http://schemas.openxmlformats.org/drawingml/2006/picture">
        <m:r>
          <m:t>K</m:t>
        </m:r>
      </m:oMath>
      <w:r>
        <w:rPr>
          <w:rFonts w:ascii="Times New Roman" w:hAnsi="Times New Roman" w:eastAsia="宋体" w:cs="Times New Roman"/>
          <w:b w:val="0"/>
        </w:rPr>
        <w:t>是每个新类的support数，因此</w:t>
      </w:r>
      <m:oMath xmlns:a="http://schemas.openxmlformats.org/drawingml/2006/main" xmlns:pic="http://schemas.openxmlformats.org/drawingml/2006/picture">
        <m:sSub>
          <m:e>
            <m:r>
              <m:t>N</m:t>
            </m:r>
          </m:e>
          <m:sub>
            <m:r>
              <m:t>n</m:t>
            </m:r>
            <m:r>
              <m:t>e</m:t>
            </m:r>
            <m:r>
              <m:t>w</m:t>
            </m:r>
          </m:sub>
        </m:sSub>
        <m:r>
          <m:t>K</m:t>
        </m:r>
      </m:oMath>
      <w:r>
        <w:rPr>
          <w:rFonts w:ascii="Times New Roman" w:hAnsi="Times New Roman" w:eastAsia="宋体" w:cs="Times New Roman"/>
          <w:b w:val="0"/>
        </w:rPr>
        <w:t>是真实增量训练样本总数；</w:t>
      </w:r>
      <m:oMath xmlns:a="http://schemas.openxmlformats.org/drawingml/2006/main" xmlns:pic="http://schemas.openxmlformats.org/drawingml/2006/picture">
        <m:r>
          <m:t>B</m:t>
        </m:r>
      </m:oMath>
      <w:r>
        <w:rPr>
          <w:rFonts w:ascii="Times New Roman" w:hAnsi="Times New Roman" w:eastAsia="宋体" w:cs="Times New Roman"/>
          <w:b w:val="0"/>
        </w:rPr>
        <w:t>是batch size。</w:t>
      </w:r>
      <m:oMath xmlns:a="http://schemas.openxmlformats.org/drawingml/2006/main" xmlns:pic="http://schemas.openxmlformats.org/drawingml/2006/picture">
        <m:r>
          <m:rPr>
            <m:sty m:val="p"/>
          </m:rPr>
          <m:t>floor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N</m:t>
                </m:r>
              </m:e>
              <m:sub>
                <m:r>
                  <m:t>n</m:t>
                </m:r>
                <m:r>
                  <m:t>e</m:t>
                </m:r>
                <m:r>
                  <m:t>w</m:t>
                </m:r>
              </m:sub>
            </m:sSub>
            <m:r>
              <m:t>K</m:t>
            </m:r>
            <m:r>
              <m:rPr>
                <m:sty m:val="p"/>
              </m:rPr>
              <m:t>/</m:t>
            </m:r>
            <m:r>
              <m:t>B</m:t>
            </m:r>
          </m:e>
        </m:d>
      </m:oMath>
      <w:r>
        <w:rPr>
          <w:rFonts w:ascii="Times New Roman" w:hAnsi="Times New Roman" w:eastAsia="宋体" w:cs="Times New Roman"/>
          <w:b w:val="0"/>
        </w:rPr>
        <w:t>表示向下取整后的完整batch数量。当其为0且DataLoader设置drop_last=True时，不足一个batch的样本被丢弃，optimizer step为0，模型没有发生任何梯度更新</w:t>
      </w:r>
      <w:r>
        <w:rPr>
          <w:rFonts w:ascii="Times New Roman" w:hAnsi="Times New Roman" w:cs="Times New Roman" w:eastAsia="宋体"/>
        </w:rPr>
        <w:t>）</w:t>
      </w:r>
    </w:p>
    <w:p w14:paraId="38D1FA85">
      <w:pPr>
        <w:pStyle w:val="19"/>
      </w:pPr>
      <m:oMathPara>
        <m:oMathParaPr>
          <m:jc m:val="center"/>
        </m:oMathParaPr>
        <m:oMath>
          <m:r>
            <m:rPr/>
            <m:t>floor</m:t>
          </m:r>
          <m:d>
            <m:dPr>
              <m:sepChr m:val=""/>
            </m:dPr>
            <m:e>
              <m:d>
                <m:dPr>
                  <m:sepChr m:val=""/>
                </m:dPr>
                <m:e>
                  <m:sSub>
                    <m:sSubPr/>
                    <m:e>
                      <m:r>
                        <m:rPr/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w:rPr>
                          <w:b w:val="0"/>
                          <w:i w:val="0"/>
                        </w:rPr>
                        <m:t>new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rPr/>
                    <m:t>K</m:t>
                  </m:r>
                </m:e>
              </m:d>
              <m:r>
                <m:rPr>
                  <m:sty m:val="p"/>
                </m:rPr>
                <m:t>/</m:t>
              </m:r>
              <m:r>
                <m:rPr/>
                <m:t>B</m:t>
              </m:r>
            </m:e>
          </m:d>
          <m:r>
            <m:rPr>
              <m:sty m:val="p"/>
            </m:rPr>
            <m:t>=</m:t>
          </m:r>
          <m:r>
            <m:rPr/>
            <m:t>0</m:t>
          </m:r>
        </m:oMath>
      </m:oMathPara>
    </w:p>
    <w:p w14:paraId="56FD8364">
      <w:r>
        <w:rPr>
          <w:rFonts w:ascii="Times New Roman" w:hAnsi="Times New Roman" w:eastAsia="宋体" w:cs="Times New Roman"/>
          <w:sz w:val="22"/>
        </w:rPr>
        <w:t>当结果为0时，一个完整batch都不会产生，optimizer step也为0。新增分类权重没有学习，query自然继续被预测为旧类。</w:t>
      </w:r>
    </w:p>
    <w:p w14:paraId="40EC2048">
      <w:pPr>
        <w:pStyle w:val="19"/>
      </w:pPr>
      <w:r>
        <w:rPr>
          <w:rFonts w:ascii="Times New Roman" w:hAnsi="Times New Roman" w:eastAsia="宋体" w:cs="Times New Roman"/>
        </w:rPr>
        <w:t>结果表中，CSIL在K=5/10且新类数为1或3时seen_new_acc为0；MoPC-HR在K=5或10、新类数为1时也为0。官方流程审计表明，固定batch和drop_last=True会使样本不足一个完整batch的切片不产生optimizer step。因此这些零准确率首先反映训练是否真正发生，不能解释成“充分训练后方法仍然无效”。</w:t>
      </w:r>
    </w:p>
    <w:p w14:paraId="2480B3F5">
      <w:pPr>
        <w:pStyle w:val="19"/>
      </w:pPr>
      <w:r>
        <w:rPr>
          <w:rFonts w:ascii="Times New Roman" w:hAnsi="Times New Roman" w:eastAsia="宋体" w:cs="Times New Roman"/>
        </w:rPr>
        <w:t>即使能够产生更新，低新类数也不意味着边界更容易学习：新增权重缺少新类间对比，旧类logit已经充分训练，而新类logit接近初始化，统一单头竞争仍可能偏向旧类。LEO弱信道还会放大support估计误差。</w:t>
      </w:r>
    </w:p>
    <w:bookmarkEnd w:id="6"/>
    <w:bookmarkEnd w:id="11"/>
    <w:p w14:paraId="2B02D57B">
      <w:pPr>
        <w:pStyle w:val="3"/>
        <w:keepNext/>
        <w:pageBreakBefore w:val="0"/>
      </w:pPr>
      <w:r>
        <w:rPr>
          <w:rFonts w:ascii="Times New Roman" w:hAnsi="Times New Roman" w:eastAsia="宋体" w:cs="Times New Roman"/>
        </w:rPr>
        <w:t>5.参考文献</w:t>
      </w:r>
    </w:p>
    <w:p w14:paraId="4F8738CA">
      <w:r>
        <w:rPr>
          <w:rFonts w:ascii="Times New Roman" w:hAnsi="Times New Roman" w:eastAsia="宋体" w:cs="Times New Roman"/>
          <w:sz w:val="22"/>
        </w:rPr>
        <w:t xml:space="preserve">[1] SNELL J, SWERSKY K, ZEMEL R S. Prototypical Networks for Few-shot Learning[C]//Advances in Neural Information Processing Systems 30. 2017. </w:t>
      </w:r>
      <w:r>
        <w:rPr>
          <w:rFonts w:ascii="Times New Roman" w:hAnsi="Times New Roman" w:eastAsia="宋体" w:cs="Times New Roman"/>
        </w:rPr>
        <w:fldChar w:fldCharType="begin"/>
      </w:r>
      <w:r>
        <w:rPr>
          <w:rFonts w:ascii="Times New Roman" w:hAnsi="Times New Roman" w:eastAsia="宋体" w:cs="Times New Roman"/>
        </w:rPr>
        <w:instrText xml:space="preserve"> HYPERLINK "https://papers.nips.cc/paper/6996-prototypical-networks-for-few-shot-learning" \h </w:instrText>
      </w:r>
      <w:r>
        <w:rPr>
          <w:rFonts w:ascii="Times New Roman" w:hAnsi="Times New Roman" w:eastAsia="宋体" w:cs="Times New Roman"/>
        </w:rPr>
        <w:fldChar w:fldCharType="separate"/>
      </w:r>
      <w:r>
        <w:rPr>
          <w:rFonts w:ascii="Times New Roman" w:hAnsi="Times New Roman" w:eastAsia="宋体" w:cs="Times New Roman"/>
        </w:rPr>
        <w:t>https://papers.nips.cc/paper/6996-prototypical-networks-for-few-shot-learning</w:t>
      </w:r>
      <w:r>
        <w:rPr>
          <w:rFonts w:ascii="Times New Roman" w:hAnsi="Times New Roman" w:eastAsia="宋体" w:cs="Times New Roman"/>
        </w:rPr>
        <w:fldChar w:fldCharType="end"/>
      </w:r>
      <w:r>
        <w:rPr>
          <w:rFonts w:ascii="Times New Roman" w:hAnsi="Times New Roman" w:cs="Times New Roman" w:eastAsia="宋体"/>
        </w:rPr>
        <w:t>（</w:t>
      </w:r>
      <w:r>
        <w:rPr>
          <w:rFonts w:ascii="Times New Roman" w:hAnsi="Times New Roman" w:eastAsia="宋体" w:cs="Times New Roman"/>
          <w:b w:val="0"/>
        </w:rPr>
        <w:t>IEEE是Institute of Electrical and Electronics Engineers，即电气电子工程师学会；DOI是Digital Object Identifier，即数字对象唯一标识符；参考文献类型标识[J]表示期刊论文，[C]表示会议论文</w:t>
      </w:r>
      <w:r>
        <w:rPr>
          <w:rFonts w:ascii="Times New Roman" w:hAnsi="Times New Roman" w:cs="Times New Roman" w:eastAsia="宋体"/>
        </w:rPr>
        <w:t>）</w:t>
      </w:r>
    </w:p>
    <w:p w14:paraId="7D1270B4">
      <w:pPr>
        <w:pStyle w:val="19"/>
      </w:pPr>
      <w:r>
        <w:rPr>
          <w:rFonts w:ascii="Times New Roman" w:hAnsi="Times New Roman" w:eastAsia="宋体" w:cs="Times New Roman"/>
          <w:sz w:val="22"/>
        </w:rPr>
        <w:t>[2] YANG L, LI Q, REN X, et al. Mitigating Receiver Impact on Radio Frequency Fingerprint Identification via Domain Adaptation[J]. IEEE Internet of Things Journal, 2024, 11(13):24024-24034. DOI:10.1109/JIOT.2024.3389491.</w:t>
      </w:r>
    </w:p>
    <w:p w14:paraId="5C9DD3C2">
      <w:pPr>
        <w:pStyle w:val="19"/>
      </w:pPr>
      <w:r>
        <w:rPr>
          <w:rFonts w:ascii="Times New Roman" w:hAnsi="Times New Roman" w:eastAsia="宋体" w:cs="Times New Roman"/>
          <w:sz w:val="22"/>
        </w:rPr>
        <w:t>[3] FENG J, FANG S, FAN Y. Cross-Receiver Radio Frequency Fingerprint Identification Based on Domain Adaptation With Dynamic Distribution Alignment[J]. IEEE Internet of Things Journal, 2025, 12(16):33202-33214. DOI:10.1109/JIOT.2025.3573713.</w:t>
      </w:r>
    </w:p>
    <w:p w14:paraId="326A3C0E">
      <w:pPr>
        <w:pStyle w:val="19"/>
      </w:pPr>
      <w:r>
        <w:rPr>
          <w:rFonts w:ascii="Times New Roman" w:hAnsi="Times New Roman" w:eastAsia="宋体" w:cs="Times New Roman"/>
          <w:sz w:val="22"/>
        </w:rPr>
        <w:t>[4] LIU Y, WANG J, LI J, NIU S, SONG H. Class-Incremental Learning for Wireless Device Identification in IoT[J]. IEEE Internet of Things Journal, 2021, 8(23):17227-17235. DOI:10.1109/JIOT.2021.3078407.</w:t>
      </w:r>
    </w:p>
    <w:p w14:paraId="4382C300">
      <w:pPr>
        <w:pStyle w:val="19"/>
      </w:pPr>
      <w:r>
        <w:rPr>
          <w:rFonts w:ascii="Times New Roman" w:hAnsi="Times New Roman" w:eastAsia="宋体" w:cs="Times New Roman"/>
          <w:sz w:val="22"/>
        </w:rPr>
        <w:t>[5] LI D, CHEN Z, SHAO M, et al. Non-Exemplar Class-Incremental Learning via Prototype Correction and Hierarchical Regularization for Specific Emitter Identification[J]. IEEE Transactions on Intelligent Transportation Systems, 2025, 26(8):12632-12646. DOI:10.1109/TITS.2025.3559174.</w:t>
      </w: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D3A90B">
    <w:pPr>
      <w:pStyle w:val="24"/>
      <w:spacing w:before="0" w:after="0"/>
      <w:jc w:val="right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79450F">
    <w:pPr>
      <w:pStyle w:val="24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248B18">
    <w:pPr>
      <w:pStyle w:val="24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64" w:lineRule="auto"/>
      </w:pPr>
      <w:r>
        <w:separator/>
      </w:r>
    </w:p>
  </w:footnote>
  <w:footnote w:type="continuationSeparator" w:id="1">
    <w:p>
      <w:pPr>
        <w:spacing w:before="0" w:after="0" w:line="264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A51DB0">
    <w:pPr>
      <w:pStyle w:val="25"/>
      <w:spacing w:after="0"/>
      <w:jc w:val="lef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C53D0A">
    <w:pPr>
      <w:pStyle w:val="25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AF3E39">
    <w:pPr>
      <w:pStyle w:val="25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AD057FF"/>
    <w:rsid w:val="49460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before="0" w:after="120" w:line="264" w:lineRule="auto"/>
    </w:pPr>
    <w:rPr>
      <w:rFonts w:ascii="Times New Roman" w:hAnsi="Times New Roman" w:eastAsia="宋体" w:cs="Times New Roman"/>
      <w:color w:val="1F1F1F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widowControl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1F4E79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widowControl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1F4E79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widowControl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404040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  <w:rPr>
      <w:rFonts w:ascii="Times New Roman" w:hAnsi="Times New Roman" w:eastAsia="宋体" w:cs="Times New Roman"/>
    </w:rPr>
  </w:style>
  <w:style w:type="table" w:default="1" w:styleId="32">
    <w:name w:val="Normal Table"/>
    <w:semiHidden/>
    <w:unhideWhenUsed/>
    <w:qFormat/>
    <w:uiPriority w:val="99"/>
    <w:rPr>
      <w:rFonts w:ascii="Times New Roman" w:hAnsi="Times New Roman" w:eastAsia="宋体" w:cs="Times New Roman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Times New Roman" w:hAnsi="Times New Roman" w:eastAsia="宋体" w:cs="Times New Roman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  <w:rPr>
      <w:rFonts w:ascii="Times New Roman" w:hAnsi="Times New Roman" w:eastAsia="宋体" w:cs="Times New Roman"/>
    </w:r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  <w:rPr>
      <w:rFonts w:ascii="Times New Roman" w:hAnsi="Times New Roman" w:eastAsia="宋体" w:cs="Times New Roman"/>
    </w:rPr>
  </w:style>
  <w:style w:type="paragraph" w:styleId="14">
    <w:name w:val="List Number"/>
    <w:basedOn w:val="1"/>
    <w:unhideWhenUsed/>
    <w:qFormat/>
    <w:uiPriority w:val="99"/>
    <w:pPr>
      <w:widowControl/>
      <w:numPr>
        <w:ilvl w:val="0"/>
        <w:numId w:val="2"/>
      </w:numPr>
      <w:spacing w:after="160" w:line="280" w:lineRule="auto"/>
      <w:ind w:left="720" w:hanging="360"/>
      <w:contextualSpacing/>
    </w:pPr>
    <w:rPr>
      <w:rFonts w:ascii="Times New Roman" w:hAnsi="Times New Roman" w:eastAsia="宋体" w:cs="Times New Roman"/>
      <w:sz w:val="22"/>
    </w:rPr>
  </w:style>
  <w:style w:type="paragraph" w:styleId="15">
    <w:name w:val="caption"/>
    <w:basedOn w:val="1"/>
    <w:next w:val="1"/>
    <w:semiHidden/>
    <w:unhideWhenUsed/>
    <w:qFormat/>
    <w:uiPriority w:val="35"/>
    <w:pPr>
      <w:spacing w:before="80" w:after="80" w:line="240" w:lineRule="auto"/>
    </w:pPr>
    <w:rPr>
      <w:rFonts w:ascii="Times New Roman" w:hAnsi="Times New Roman" w:eastAsia="宋体" w:cs="Times New Roman"/>
      <w:b/>
      <w:bCs/>
      <w:color w:val="666666"/>
      <w:sz w:val="18"/>
      <w:szCs w:val="18"/>
    </w:rPr>
  </w:style>
  <w:style w:type="paragraph" w:styleId="16">
    <w:name w:val="List Bullet"/>
    <w:basedOn w:val="1"/>
    <w:unhideWhenUsed/>
    <w:qFormat/>
    <w:uiPriority w:val="99"/>
    <w:pPr>
      <w:widowControl/>
      <w:numPr>
        <w:ilvl w:val="0"/>
        <w:numId w:val="3"/>
      </w:numPr>
      <w:spacing w:after="160" w:line="280" w:lineRule="auto"/>
      <w:ind w:left="720" w:hanging="360"/>
      <w:contextualSpacing/>
    </w:pPr>
    <w:rPr>
      <w:rFonts w:ascii="Times New Roman" w:hAnsi="Times New Roman" w:eastAsia="宋体" w:cs="Times New Roman"/>
      <w:sz w:val="22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rFonts w:ascii="Times New Roman" w:hAnsi="Times New Roman" w:eastAsia="宋体" w:cs="Times New Roman"/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  <w:rPr>
      <w:rFonts w:ascii="Times New Roman" w:hAnsi="Times New Roman" w:eastAsia="宋体" w:cs="Times New Roman"/>
    </w:r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  <w:rPr>
      <w:rFonts w:ascii="Times New Roman" w:hAnsi="Times New Roman" w:eastAsia="宋体" w:cs="Times New Roman"/>
      <w:sz w:val="22"/>
    </w:r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  <w:rPr>
      <w:rFonts w:ascii="Times New Roman" w:hAnsi="Times New Roman" w:eastAsia="宋体" w:cs="Times New Roman"/>
    </w:rPr>
  </w:style>
  <w:style w:type="paragraph" w:styleId="21">
    <w:name w:val="List 2"/>
    <w:basedOn w:val="1"/>
    <w:unhideWhenUsed/>
    <w:uiPriority w:val="99"/>
    <w:pPr>
      <w:ind w:left="720" w:hanging="360"/>
      <w:contextualSpacing/>
    </w:pPr>
    <w:rPr>
      <w:rFonts w:ascii="Times New Roman" w:hAnsi="Times New Roman" w:eastAsia="宋体" w:cs="Times New Roman"/>
    </w:r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  <w:rPr>
      <w:rFonts w:ascii="Times New Roman" w:hAnsi="Times New Roman" w:eastAsia="宋体" w:cs="Times New Roman"/>
    </w:r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  <w:rPr>
      <w:rFonts w:ascii="Times New Roman" w:hAnsi="Times New Roman" w:eastAsia="宋体" w:cs="Times New Roman"/>
    </w:r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  <w:rPr>
      <w:rFonts w:ascii="Times New Roman" w:hAnsi="Times New Roman" w:eastAsia="宋体" w:cs="Times New Roman"/>
    </w:r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  <w:rPr>
      <w:rFonts w:ascii="Times New Roman" w:hAnsi="Times New Roman" w:eastAsia="宋体" w:cs="Times New Roman"/>
    </w:r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  <w:rPr>
      <w:rFonts w:ascii="Times New Roman" w:hAnsi="Times New Roman" w:eastAsia="宋体" w:cs="Times New Roman"/>
    </w:r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  <w:rPr>
      <w:rFonts w:ascii="Times New Roman" w:hAnsi="Times New Roman" w:eastAsia="宋体" w:cs="Times New Roman"/>
    </w:r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rFonts w:ascii="Times New Roman" w:hAnsi="Times New Roman" w:eastAsia="宋体" w:cs="Times New Roman"/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rFonts w:ascii="Times New Roman" w:hAnsi="Times New Roman" w:eastAsia="宋体" w:cs="Times New Roman"/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rFonts w:ascii="Times New Roman" w:hAnsi="Times New Roman" w:eastAsia="宋体" w:cs="Times New Roman"/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rFonts w:ascii="Times New Roman" w:hAnsi="Times New Roman" w:eastAsia="宋体" w:cs="Times New Roman"/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rFonts w:ascii="Times New Roman" w:hAnsi="Times New Roman" w:eastAsia="宋体" w:cs="Times New Roman"/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rFonts w:ascii="Times New Roman" w:hAnsi="Times New Roman" w:eastAsia="宋体" w:cs="Times New Roman"/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rFonts w:ascii="Times New Roman" w:hAnsi="Times New Roman" w:eastAsia="宋体" w:cs="Times New Roman"/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rPr>
      <w:rFonts w:ascii="Times New Roman" w:hAnsi="Times New Roman" w:eastAsia="宋体" w:cs="Times New Roman"/>
    </w:r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rFonts w:ascii="Times New Roman" w:hAnsi="Times New Roman" w:eastAsia="宋体" w:cs="Times New Roman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rFonts w:ascii="Times New Roman" w:hAnsi="Times New Roman" w:eastAsia="宋体" w:cs="Times New Roman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rFonts w:ascii="Times New Roman" w:hAnsi="Times New Roman" w:eastAsia="宋体" w:cs="Times New Roman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rFonts w:ascii="Times New Roman" w:hAnsi="Times New Roman" w:eastAsia="宋体" w:cs="Times New Roman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rFonts w:ascii="Times New Roman" w:hAnsi="Times New Roman" w:eastAsia="宋体" w:cs="Times New Roman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rFonts w:ascii="Times New Roman" w:hAnsi="Times New Roman" w:eastAsia="宋体" w:cs="Times New Roman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rFonts w:ascii="Times New Roman" w:hAnsi="Times New Roman" w:eastAsia="宋体" w:cs="Times New Roman"/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rFonts w:ascii="Times New Roman" w:hAnsi="Times New Roman" w:eastAsia="宋体" w:cs="Times New Roman"/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rFonts w:ascii="Times New Roman" w:hAnsi="Times New Roman" w:eastAsia="宋体" w:cs="Times New Roman"/>
      <w:b/>
      <w:bCs/>
    </w:rPr>
  </w:style>
  <w:style w:type="character" w:styleId="134">
    <w:name w:val="Emphasis"/>
    <w:basedOn w:val="132"/>
    <w:qFormat/>
    <w:uiPriority w:val="20"/>
    <w:rPr>
      <w:rFonts w:ascii="Times New Roman" w:hAnsi="Times New Roman" w:eastAsia="宋体" w:cs="Times New Roman"/>
      <w:i/>
      <w:iCs/>
    </w:rPr>
  </w:style>
  <w:style w:type="character" w:customStyle="1" w:styleId="135">
    <w:name w:val="Header Char"/>
    <w:basedOn w:val="132"/>
    <w:link w:val="25"/>
    <w:qFormat/>
    <w:uiPriority w:val="99"/>
    <w:rPr>
      <w:rFonts w:ascii="Times New Roman" w:hAnsi="Times New Roman" w:eastAsia="宋体" w:cs="Times New Roman"/>
    </w:rPr>
  </w:style>
  <w:style w:type="character" w:customStyle="1" w:styleId="136">
    <w:name w:val="Footer Char"/>
    <w:basedOn w:val="132"/>
    <w:link w:val="24"/>
    <w:qFormat/>
    <w:uiPriority w:val="99"/>
    <w:rPr>
      <w:rFonts w:ascii="Times New Roman" w:hAnsi="Times New Roman" w:eastAsia="宋体" w:cs="Times New Roman"/>
    </w:rPr>
  </w:style>
  <w:style w:type="paragraph" w:styleId="137">
    <w:name w:val="No Spacing"/>
    <w:qFormat/>
    <w:uiPriority w:val="1"/>
    <w:pPr>
      <w:spacing w:after="0" w:line="240" w:lineRule="auto"/>
    </w:pPr>
    <w:rPr>
      <w:rFonts w:ascii="Times New Roman" w:hAnsi="Times New Roman" w:eastAsia="宋体" w:cs="Times New Roman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  <w:rPr>
      <w:rFonts w:ascii="Times New Roman" w:hAnsi="Times New Roman" w:eastAsia="宋体" w:cs="Times New Roman"/>
    </w:rPr>
  </w:style>
  <w:style w:type="character" w:customStyle="1" w:styleId="144">
    <w:name w:val="Body Text Char"/>
    <w:basedOn w:val="132"/>
    <w:link w:val="19"/>
    <w:uiPriority w:val="99"/>
    <w:rPr>
      <w:rFonts w:ascii="Times New Roman" w:hAnsi="Times New Roman" w:eastAsia="宋体" w:cs="Times New Roman"/>
    </w:rPr>
  </w:style>
  <w:style w:type="character" w:customStyle="1" w:styleId="145">
    <w:name w:val="Body Text 2 Char"/>
    <w:basedOn w:val="132"/>
    <w:link w:val="28"/>
    <w:qFormat/>
    <w:uiPriority w:val="99"/>
    <w:rPr>
      <w:rFonts w:ascii="Times New Roman" w:hAnsi="Times New Roman" w:eastAsia="宋体" w:cs="Times New Roman"/>
    </w:rPr>
  </w:style>
  <w:style w:type="character" w:customStyle="1" w:styleId="146">
    <w:name w:val="Body Text 3 Char"/>
    <w:basedOn w:val="132"/>
    <w:link w:val="17"/>
    <w:qFormat/>
    <w:uiPriority w:val="99"/>
    <w:rPr>
      <w:rFonts w:ascii="Times New Roman" w:hAnsi="Times New Roman" w:eastAsia="宋体" w:cs="Times New Roman"/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Times New Roman" w:hAnsi="Times New Roman" w:eastAsia="宋体" w:cs="Times New Roman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rFonts w:ascii="Times New Roman" w:hAnsi="Times New Roman" w:eastAsia="宋体" w:cs="Times New Roman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rFonts w:ascii="Times New Roman" w:hAnsi="Times New Roman" w:eastAsia="宋体" w:cs="Times New Roman"/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rFonts w:ascii="Times New Roman" w:hAnsi="Times New Roman" w:eastAsia="宋体" w:cs="Times New Roman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rFonts w:ascii="Times New Roman" w:hAnsi="Times New Roman" w:eastAsia="宋体" w:cs="Times New Roman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rFonts w:ascii="Times New Roman" w:hAnsi="Times New Roman" w:eastAsia="宋体" w:cs="Times New Roman"/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rFonts w:ascii="Times New Roman" w:hAnsi="Times New Roman" w:eastAsia="宋体" w:cs="Times New Roman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rFonts w:ascii="Times New Roman" w:hAnsi="Times New Roman" w:eastAsia="宋体" w:cs="Times New Roman"/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rFonts w:ascii="Times New Roman" w:hAnsi="Times New Roman" w:eastAsia="宋体" w:cs="Times New Roman"/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rFonts w:ascii="Times New Roman" w:hAnsi="Times New Roman" w:eastAsia="宋体" w:cs="Times New Roman"/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  <w:rPr>
      <w:rFonts w:ascii="Times New Roman" w:hAnsi="Times New Roman" w:eastAsia="宋体" w:cs="Times New Roman"/>
    </w:rPr>
  </w:style>
  <w:style w:type="paragraph" w:customStyle="1" w:styleId="164">
    <w:name w:val="Equation"/>
    <w:uiPriority w:val="0"/>
    <w:pPr>
      <w:keepLines/>
      <w:spacing w:before="100" w:after="160" w:line="276" w:lineRule="auto"/>
      <w:jc w:val="center"/>
    </w:pPr>
    <w:rPr>
      <w:rFonts w:ascii="Times New Roman" w:hAnsi="Times New Roman" w:eastAsia="宋体" w:cs="Times New Roman"/>
      <w:color w:val="1F4D78"/>
      <w:sz w:val="21"/>
      <w:szCs w:val="22"/>
      <w:lang w:val="en-US" w:eastAsia="en-US" w:bidi="ar-SA"/>
    </w:rPr>
  </w:style>
  <w:style w:type="paragraph" w:customStyle="1" w:styleId="165">
    <w:name w:val="Source Code"/>
    <w:basedOn w:val="1"/>
    <w:uiPriority w:val="0"/>
    <w:pPr>
      <w:wordWrap w:val="0"/>
    </w:pPr>
    <w:rPr>
      <w:rFonts w:ascii="Times New Roman" w:hAnsi="Times New Roman" w:eastAsia="宋体" w:cs="Times New Roman"/>
    </w:rPr>
  </w:style>
  <w:style w:type="character" w:customStyle="1" w:styleId="166">
    <w:name w:val="KeywordTok"/>
    <w:uiPriority w:val="0"/>
    <w:rPr>
      <w:rFonts w:ascii="Times New Roman" w:hAnsi="Times New Roman" w:eastAsia="宋体" w:cs="Times New Roman"/>
      <w:b/>
      <w:color w:val="007020"/>
    </w:rPr>
  </w:style>
  <w:style w:type="character" w:customStyle="1" w:styleId="167">
    <w:name w:val="DataTypeTok"/>
    <w:uiPriority w:val="0"/>
    <w:rPr>
      <w:rFonts w:ascii="Times New Roman" w:hAnsi="Times New Roman" w:eastAsia="宋体" w:cs="Times New Roman"/>
      <w:color w:val="902000"/>
    </w:rPr>
  </w:style>
  <w:style w:type="character" w:customStyle="1" w:styleId="168">
    <w:name w:val="DecValTok"/>
    <w:uiPriority w:val="0"/>
    <w:rPr>
      <w:rFonts w:ascii="Times New Roman" w:hAnsi="Times New Roman" w:eastAsia="宋体" w:cs="Times New Roman"/>
      <w:color w:val="40A070"/>
    </w:rPr>
  </w:style>
  <w:style w:type="character" w:customStyle="1" w:styleId="169">
    <w:name w:val="BaseNTok"/>
    <w:uiPriority w:val="0"/>
    <w:rPr>
      <w:rFonts w:ascii="Times New Roman" w:hAnsi="Times New Roman" w:eastAsia="宋体" w:cs="Times New Roman"/>
      <w:color w:val="40A070"/>
    </w:rPr>
  </w:style>
  <w:style w:type="character" w:customStyle="1" w:styleId="170">
    <w:name w:val="FloatTok"/>
    <w:uiPriority w:val="0"/>
    <w:rPr>
      <w:rFonts w:ascii="Times New Roman" w:hAnsi="Times New Roman" w:eastAsia="宋体" w:cs="Times New Roman"/>
      <w:color w:val="40A070"/>
    </w:rPr>
  </w:style>
  <w:style w:type="character" w:customStyle="1" w:styleId="171">
    <w:name w:val="ConstantTok"/>
    <w:uiPriority w:val="0"/>
    <w:rPr>
      <w:rFonts w:ascii="Times New Roman" w:hAnsi="Times New Roman" w:eastAsia="宋体" w:cs="Times New Roman"/>
      <w:color w:val="880000"/>
    </w:rPr>
  </w:style>
  <w:style w:type="character" w:customStyle="1" w:styleId="172">
    <w:name w:val="CharTok"/>
    <w:uiPriority w:val="0"/>
    <w:rPr>
      <w:rFonts w:ascii="Times New Roman" w:hAnsi="Times New Roman" w:eastAsia="宋体" w:cs="Times New Roman"/>
      <w:color w:val="4070A0"/>
    </w:rPr>
  </w:style>
  <w:style w:type="character" w:customStyle="1" w:styleId="173">
    <w:name w:val="SpecialCharTok"/>
    <w:uiPriority w:val="0"/>
    <w:rPr>
      <w:rFonts w:ascii="Times New Roman" w:hAnsi="Times New Roman" w:eastAsia="宋体" w:cs="Times New Roman"/>
      <w:color w:val="4070A0"/>
    </w:rPr>
  </w:style>
  <w:style w:type="character" w:customStyle="1" w:styleId="174">
    <w:name w:val="StringTok"/>
    <w:uiPriority w:val="0"/>
    <w:rPr>
      <w:rFonts w:ascii="Times New Roman" w:hAnsi="Times New Roman" w:eastAsia="宋体" w:cs="Times New Roman"/>
      <w:color w:val="4070A0"/>
    </w:rPr>
  </w:style>
  <w:style w:type="character" w:customStyle="1" w:styleId="175">
    <w:name w:val="VerbatimStringTok"/>
    <w:uiPriority w:val="0"/>
    <w:rPr>
      <w:rFonts w:ascii="Times New Roman" w:hAnsi="Times New Roman" w:eastAsia="宋体" w:cs="Times New Roman"/>
      <w:color w:val="4070A0"/>
    </w:rPr>
  </w:style>
  <w:style w:type="character" w:customStyle="1" w:styleId="176">
    <w:name w:val="SpecialStringTok"/>
    <w:uiPriority w:val="0"/>
    <w:rPr>
      <w:rFonts w:ascii="Times New Roman" w:hAnsi="Times New Roman" w:eastAsia="宋体" w:cs="Times New Roman"/>
      <w:color w:val="BB6688"/>
    </w:rPr>
  </w:style>
  <w:style w:type="character" w:customStyle="1" w:styleId="177">
    <w:name w:val="ImportTok"/>
    <w:uiPriority w:val="0"/>
    <w:rPr>
      <w:rFonts w:ascii="Times New Roman" w:hAnsi="Times New Roman" w:eastAsia="宋体" w:cs="Times New Roman"/>
      <w:b/>
      <w:color w:val="008000"/>
    </w:rPr>
  </w:style>
  <w:style w:type="character" w:customStyle="1" w:styleId="178">
    <w:name w:val="CommentTok"/>
    <w:uiPriority w:val="0"/>
    <w:rPr>
      <w:rFonts w:ascii="Times New Roman" w:hAnsi="Times New Roman" w:eastAsia="宋体" w:cs="Times New Roman"/>
      <w:i/>
      <w:color w:val="60A0B0"/>
    </w:rPr>
  </w:style>
  <w:style w:type="character" w:customStyle="1" w:styleId="179">
    <w:name w:val="DocumentationTok"/>
    <w:uiPriority w:val="0"/>
    <w:rPr>
      <w:rFonts w:ascii="Times New Roman" w:hAnsi="Times New Roman" w:eastAsia="宋体" w:cs="Times New Roman"/>
      <w:i/>
      <w:color w:val="BA2121"/>
    </w:rPr>
  </w:style>
  <w:style w:type="character" w:customStyle="1" w:styleId="180">
    <w:name w:val="AnnotationTok"/>
    <w:qFormat/>
    <w:uiPriority w:val="0"/>
    <w:rPr>
      <w:rFonts w:ascii="Times New Roman" w:hAnsi="Times New Roman" w:eastAsia="宋体" w:cs="Times New Roman"/>
      <w:b/>
      <w:i/>
      <w:color w:val="60A0B0"/>
    </w:rPr>
  </w:style>
  <w:style w:type="character" w:customStyle="1" w:styleId="181">
    <w:name w:val="CommentVarTok"/>
    <w:qFormat/>
    <w:uiPriority w:val="0"/>
    <w:rPr>
      <w:rFonts w:ascii="Times New Roman" w:hAnsi="Times New Roman" w:eastAsia="宋体" w:cs="Times New Roman"/>
      <w:b/>
      <w:i/>
      <w:color w:val="60A0B0"/>
    </w:rPr>
  </w:style>
  <w:style w:type="character" w:customStyle="1" w:styleId="182">
    <w:name w:val="OtherTok"/>
    <w:qFormat/>
    <w:uiPriority w:val="0"/>
    <w:rPr>
      <w:rFonts w:ascii="Times New Roman" w:hAnsi="Times New Roman" w:eastAsia="宋体" w:cs="Times New Roman"/>
      <w:color w:val="007020"/>
    </w:rPr>
  </w:style>
  <w:style w:type="character" w:customStyle="1" w:styleId="183">
    <w:name w:val="FunctionTok"/>
    <w:qFormat/>
    <w:uiPriority w:val="0"/>
    <w:rPr>
      <w:rFonts w:ascii="Times New Roman" w:hAnsi="Times New Roman" w:eastAsia="宋体" w:cs="Times New Roman"/>
      <w:color w:val="06287E"/>
    </w:rPr>
  </w:style>
  <w:style w:type="character" w:customStyle="1" w:styleId="184">
    <w:name w:val="VariableTok"/>
    <w:qFormat/>
    <w:uiPriority w:val="0"/>
    <w:rPr>
      <w:rFonts w:ascii="Times New Roman" w:hAnsi="Times New Roman" w:eastAsia="宋体" w:cs="Times New Roman"/>
      <w:color w:val="19177C"/>
    </w:rPr>
  </w:style>
  <w:style w:type="character" w:customStyle="1" w:styleId="185">
    <w:name w:val="ControlFlowTok"/>
    <w:qFormat/>
    <w:uiPriority w:val="0"/>
    <w:rPr>
      <w:rFonts w:ascii="Times New Roman" w:hAnsi="Times New Roman" w:eastAsia="宋体" w:cs="Times New Roman"/>
      <w:b/>
      <w:color w:val="007020"/>
    </w:rPr>
  </w:style>
  <w:style w:type="character" w:customStyle="1" w:styleId="186">
    <w:name w:val="OperatorTok"/>
    <w:qFormat/>
    <w:uiPriority w:val="0"/>
    <w:rPr>
      <w:rFonts w:ascii="Times New Roman" w:hAnsi="Times New Roman" w:eastAsia="宋体" w:cs="Times New Roman"/>
      <w:color w:val="666666"/>
    </w:rPr>
  </w:style>
  <w:style w:type="character" w:customStyle="1" w:styleId="187">
    <w:name w:val="BuiltInTok"/>
    <w:qFormat/>
    <w:uiPriority w:val="0"/>
    <w:rPr>
      <w:rFonts w:ascii="Times New Roman" w:hAnsi="Times New Roman" w:eastAsia="宋体" w:cs="Times New Roman"/>
      <w:color w:val="008000"/>
    </w:rPr>
  </w:style>
  <w:style w:type="character" w:customStyle="1" w:styleId="188">
    <w:name w:val="ExtensionTok"/>
    <w:qFormat/>
    <w:uiPriority w:val="0"/>
    <w:rPr>
      <w:rFonts w:ascii="Times New Roman" w:hAnsi="Times New Roman" w:eastAsia="宋体" w:cs="Times New Roman"/>
    </w:rPr>
  </w:style>
  <w:style w:type="character" w:customStyle="1" w:styleId="189">
    <w:name w:val="PreprocessorTok"/>
    <w:qFormat/>
    <w:uiPriority w:val="0"/>
    <w:rPr>
      <w:rFonts w:ascii="Times New Roman" w:hAnsi="Times New Roman" w:eastAsia="宋体" w:cs="Times New Roman"/>
      <w:color w:val="BC7A00"/>
    </w:rPr>
  </w:style>
  <w:style w:type="character" w:customStyle="1" w:styleId="190">
    <w:name w:val="AttributeTok"/>
    <w:qFormat/>
    <w:uiPriority w:val="0"/>
    <w:rPr>
      <w:rFonts w:ascii="Times New Roman" w:hAnsi="Times New Roman" w:eastAsia="宋体" w:cs="Times New Roman"/>
      <w:color w:val="7D9029"/>
    </w:rPr>
  </w:style>
  <w:style w:type="character" w:customStyle="1" w:styleId="191">
    <w:name w:val="RegionMarkerTok"/>
    <w:qFormat/>
    <w:uiPriority w:val="0"/>
    <w:rPr>
      <w:rFonts w:ascii="Times New Roman" w:hAnsi="Times New Roman" w:eastAsia="宋体" w:cs="Times New Roman"/>
    </w:rPr>
  </w:style>
  <w:style w:type="character" w:customStyle="1" w:styleId="192">
    <w:name w:val="InformationTok"/>
    <w:qFormat/>
    <w:uiPriority w:val="0"/>
    <w:rPr>
      <w:rFonts w:ascii="Times New Roman" w:hAnsi="Times New Roman" w:eastAsia="宋体" w:cs="Times New Roman"/>
      <w:b/>
      <w:i/>
      <w:color w:val="60A0B0"/>
    </w:rPr>
  </w:style>
  <w:style w:type="character" w:customStyle="1" w:styleId="193">
    <w:name w:val="WarningTok"/>
    <w:qFormat/>
    <w:uiPriority w:val="0"/>
    <w:rPr>
      <w:rFonts w:ascii="Times New Roman" w:hAnsi="Times New Roman" w:eastAsia="宋体" w:cs="Times New Roman"/>
      <w:b/>
      <w:i/>
      <w:color w:val="60A0B0"/>
    </w:rPr>
  </w:style>
  <w:style w:type="character" w:customStyle="1" w:styleId="194">
    <w:name w:val="AlertTok"/>
    <w:qFormat/>
    <w:uiPriority w:val="0"/>
    <w:rPr>
      <w:rFonts w:ascii="Times New Roman" w:hAnsi="Times New Roman" w:eastAsia="宋体" w:cs="Times New Roman"/>
      <w:b/>
      <w:color w:val="FF0000"/>
    </w:rPr>
  </w:style>
  <w:style w:type="character" w:customStyle="1" w:styleId="195">
    <w:name w:val="ErrorTok"/>
    <w:qFormat/>
    <w:uiPriority w:val="0"/>
    <w:rPr>
      <w:rFonts w:ascii="Times New Roman" w:hAnsi="Times New Roman" w:eastAsia="宋体" w:cs="Times New Roman"/>
      <w:b/>
      <w:color w:val="FF0000"/>
    </w:rPr>
  </w:style>
  <w:style w:type="character" w:customStyle="1" w:styleId="196">
    <w:name w:val="NormalTok"/>
    <w:qFormat/>
    <w:uiPriority w:val="0"/>
    <w:rPr>
      <w:rFonts w:ascii="Times New Roman" w:hAnsi="Times New Roman" w:eastAsia="宋体" w:cs="Times New Roman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7924</Words>
  <Characters>14749</Characters>
  <Lines>0</Lines>
  <Paragraphs>0</Paragraphs>
  <TotalTime>5</TotalTime>
  <ScaleCrop>false</ScaleCrop>
  <LinksUpToDate>false</LinksUpToDate>
  <CharactersWithSpaces>15011</CharactersWithSpaces>
  <Application>WPS Office_12.1.0.24655_F1E327BC-269C-435d-A152-05C5408002CA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2026-07-30T14:28:00Z</dcterms:created>
  <dc:creator>李辉</dc:creator>
  <dc:description>符号统一；实验数值、17张表、153行记录和5条对比方法参考文献保持不变。</dc:description>
  <cp:lastModifiedBy>李辉</cp:lastModifiedBy>
  <dcterms:modified xsi:type="dcterms:W3CDTF">2026-07-31T01:26:00Z</dcterms:modified>
  <dc:subject>统一集合、域、状态、概率、prototype和损失记号</dc:subject>
  <dc:title>CVS-RFFI Phase2详细复现报告（符号统一版）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eyJoZGlkIjoiY2VkNGZhNDQ4M2E4NDkzZTUxZGVmZDE0NjVmZmUzMTkiLCJ1c2VySWQiOiIxNjU3Njg2OTA1In0=</vt:lpwstr>
  </property>
  <property fmtid="{D5CDD505-2E9C-101B-9397-08002B2CF9AE}" pid="3" name="KSOProductBuildVer">
    <vt:lpwstr>2052-12.1.0.24655</vt:lpwstr>
  </property>
  <property fmtid="{D5CDD505-2E9C-101B-9397-08002B2CF9AE}" pid="4" name="ICV">
    <vt:lpwstr>A967D93A6B5F4FDDBB02C945A65FE2EA_12</vt:lpwstr>
  </property>
</Properties>
</file>