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Orbit，即低地球轨道；TX是transmitter，即发射机；CVS-RFFI是本项目与模型流程的名称，其中CVS不在本文中充当数学变量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任务：类别轴描述训练、测试及增量阶段的类别关系；域轴描述接收机、信道或采集条件是否变化；时间轴描述任务是否顺序到达，以及更新后的模型状态是否持续保存。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src</m:t>
        </m:r>
        <m:r>
          <m:rPr>
            <m:sty m:val="p"/>
          </m:rPr>
          <m:t>,</m:t>
        </m:r>
        <m:r>
          <m:t>tgt</m:t>
        </m:r>
      </m:oMath>
      <w:r>
        <w:rPr>
          <w:rFonts w:ascii="Times New Roman" w:hAnsi="Times New Roman" w:eastAsia="宋体" w:cs="Times New Roman"/>
          <w:b w:val="0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src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</w:rPr>
        <w:t>分别表示交集、并集、空集和真子集</w:t>
      </w:r>
      <w:r>
        <w:rPr>
          <w:rFonts w:ascii="Times New Roman" w:hAnsi="Times New Roman" w:cs="Times New Roman" w:eastAsia="宋体"/>
        </w:rPr>
        <w:t>）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</w:rPr>
        <w:t>表示把各类样本合并为support集合</w:t>
      </w:r>
      <w:r>
        <w:rPr>
          <w:rFonts w:ascii="Times New Roman" w:hAnsi="Times New Roman" w:cs="Times New Roman" w:eastAsia="宋体"/>
        </w:rPr>
        <w:t>）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表示support与query不能共享同一物理样本</w:t>
      </w:r>
      <w:r>
        <w:rPr>
          <w:rFonts w:ascii="Times New Roman" w:hAnsi="Times New Roman" w:cs="Times New Roman" w:eastAsia="宋体"/>
        </w:rPr>
        <w:t>）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src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表示给定同一发射机身份时观测到某种IQ波形的条件分布。CVS中的物理含义是发射机身份不变，但目标接收机与LEO弱信道使波形分布改变</w:t>
      </w:r>
      <w:r>
        <w:rPr>
          <w:rFonts w:ascii="Times New Roman" w:hAnsi="Times New Roman" w:cs="Times New Roman" w:eastAsia="宋体"/>
        </w:rPr>
        <w:t>）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src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src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</m:rP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tgt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就是减少目标卫星接收机上旧发射机的平均识别错误</w:t>
      </w:r>
      <w:r>
        <w:rPr>
          <w:rFonts w:ascii="Times New Roman" w:hAnsi="Times New Roman" w:cs="Times New Roman" w:eastAsia="宋体"/>
        </w:rPr>
        <w:t>）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意味着旧类和已注册新类在同一候选空间竞争</w:t>
      </w:r>
      <w:r>
        <w:rPr>
          <w:rFonts w:ascii="Times New Roman" w:hAnsi="Times New Roman" w:cs="Times New Roman" w:eastAsia="宋体"/>
        </w:rPr>
        <w:t>）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Y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ADV3B02是本项目Phase1地面域泛化基座的实验版本标识，不是通用算法缩写；checkpoint是训练后冻结的模型参数快照，deployment bundle是与checkpoint共同封存、可供Phase2只读使用的部署状态。backbone指把接收IQ映射为身份特征的主干网络，adapter是附加的小型可训练适配模块，prototype是某一发射机类别的特征中心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DA0_REG0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DA1_REG0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分别表示Stage2-B域适应前后的预测，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DA0_REG0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DA0_REG0</m:t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DA1_REG0</m:t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</w:rPr>
        <w:t>表示相对正式LEO结果的变化量；pp是percentage points，即百分点；s是second，即秒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rPr>
                <m:scr m:val="script"/>
              </m:rP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中取最低单类准确率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四个完整状态记为DA0_REG0（域适应前/注册前）、DA1_REG0（域适应后/注册前）、DA0_REG1（域适应前/注册后）和DA1_REG1（域适应后/注册后）。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DA0_REG0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DA1_REG1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DA1_REG1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ProtoNet，即原型网络；CDA在本文中指Cross-Domain Adaptation，即跨域适配。该基线不更新backbone，只用目标接收机旧类support重新估计类别中心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的support集合，</w:t>
      </w:r>
      <m:oMath xmlns:a="http://schemas.openxmlformats.org/drawingml/2006/main" xmlns:pic="http://schemas.openxmlformats.org/drawingml/2006/picture">
        <m:r>
          <m:t>μ</m:t>
        </m:r>
      </m:oMath>
      <w:r>
        <w:rPr>
          <w:rFonts w:ascii="Times New Roman" w:hAnsi="Times New Roman" w:eastAsia="宋体" w:cs="Times New Roman"/>
          <w:b w:val="0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μ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表示选择距离最小的中心或类别</w:t>
      </w:r>
      <w:r>
        <w:rPr>
          <w:rFonts w:ascii="Times New Roman" w:hAnsi="Times New Roman" w:cs="Times New Roman" w:eastAsia="宋体"/>
        </w:rPr>
        <w:t>）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μ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μ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src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tgt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src</m:t>
        </m:r>
        <m:r>
          <m:rPr>
            <m:sty m:val="p"/>
          </m:rPr>
          <m:t>,</m:t>
        </m:r>
        <m:r>
          <m:t>tgt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是逆频率类别权重，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防止样本数为0时除零；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</w:rPr>
        <w:t>是自然对数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本文各方法的分类概率统一记为上述符号。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ε₀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ε₀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src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tgt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越大表示两个接收机域越可区分；训练采用内层最大化域差异估计、外层最小化分类与对齐目标。总损失中的0.5、0.5和0.005分别是source分类、target-support分类和域差异项的固定权重</w:t>
      </w:r>
      <w:r>
        <w:rPr>
          <w:rFonts w:ascii="Times New Roman" w:hAnsi="Times New Roman" w:cs="Times New Roman" w:eastAsia="宋体"/>
        </w:rPr>
        <w:t>）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src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src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tgt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tgt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tgt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比较两域整体特征分布，数值越小表示全局域差异越小</w:t>
      </w:r>
      <w:r>
        <w:rPr>
          <w:rFonts w:ascii="Times New Roman" w:hAnsi="Times New Roman" w:cs="Times New Roman" w:eastAsia="宋体"/>
        </w:rPr>
        <w:t>）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src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tgt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src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tgt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src,src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tgt,tgt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cs="Times New Roman" w:eastAsia="宋体"/>
        </w:rPr>
        <w:t>）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src,src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src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tgt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tgt,tgt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src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tgt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是各类LMMD项的求和；momentum是动量系数，weight decay是权重衰减</w:t>
      </w:r>
      <w:r>
        <w:rPr>
          <w:rFonts w:ascii="Times New Roman" w:hAnsi="Times New Roman" w:cs="Times New Roman" w:eastAsia="宋体"/>
        </w:rPr>
        <w:t>）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ε₀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DA0_REG0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DA1_REG0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quantized K-nearest neighbors，即量化K近邻；其中q表示quantized，KNN表示K-nearest neighbors；qKNN名称中的K不表示K-shot，本文只有单独出现的K才表示每类support物理样本数。本文按照项目命名约定，用qKNN统称Phase2轻量适配/注册路线。所列实验版本在量化近邻/原型记忆基础上加入support稳健状态和共享判别头，因此不能理解为最原始的裸KNN多数投票；S2B-old表示完成旧类target support域适配后、注册新类前的Stage2-B旧类准确率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CSIL是Channel Separation Enabled Incremental Learning，即通道隔离型增量学习；MoPC-HR是Momentum-based Prototype Correction and Hierarchical Regularization，即基于动量的原型校正与分层正则；HR表示Hierarchical Regularization；IoT是Internet of Things，即物联网。exemplar是保存供后续回放的历史原始样本；无exemplar表示不保存旧类原始IQ，但仍可保留旧模型、Fisher信息或类别prototype等聚合历史状态</w:t>
      </w:r>
      <w:r>
        <w:rPr>
          <w:rFonts w:ascii="Times New Roman" w:hAnsi="Times New Roman" w:cs="Times New Roman" w:eastAsia="宋体"/>
        </w:rPr>
        <w:t>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是新类CE、EWC和KD的加权和；SGDM是带动量的SGD；epoch是完整遍历训练集一次，batch size是一次参数更新读取的样本数</w:t>
      </w:r>
      <w:r>
        <w:rPr>
          <w:rFonts w:ascii="Times New Roman" w:hAnsi="Times New Roman" w:cs="Times New Roman" w:eastAsia="宋体"/>
        </w:rPr>
        <w:t>）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20、drop_last=True，手工SGDM学习率为（其中u表示optimizer step）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0.01u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ξ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是零均值各向同性高斯扰动向量，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是当前分类器，</w:t>
      </w:r>
      <m:oMath xmlns:a="http://schemas.openxmlformats.org/drawingml/2006/main" xmlns:pic="http://schemas.openxmlformats.org/drawingml/2006/picture">
        <m:r>
          <m:t>Tₜₑₘₚ</m:t>
        </m:r>
      </m:oMath>
      <w:r>
        <w:rPr>
          <w:rFonts w:ascii="Times New Roman" w:hAnsi="Times New Roman" w:eastAsia="宋体" w:cs="Times New Roman"/>
          <w:b w:val="0"/>
        </w:rPr>
        <w:t>是softmax温度；softmax把logit转换为类别概率。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b w:val="0"/>
        </w:rPr>
        <w:t>是参数组索引，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是更新前的新类prototype；0.97/0.03是保留旧prototype与吸收校正量的固定动量系数</w:t>
      </w:r>
      <w:r>
        <w:rPr>
          <w:rFonts w:ascii="Times New Roman" w:hAnsi="Times New Roman" w:cs="Times New Roman" w:eastAsia="宋体"/>
        </w:rPr>
        <w:t>）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ξ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Tₜₑₘₚ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Tₜₑₘₚ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j−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J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j=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j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4.5.1逐配置结果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 w14:paraId="45D7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28CC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DAFD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 w14:paraId="2FF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2711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5C2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85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0BD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664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78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6A2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DED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  <w:tr w14:paraId="7026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155D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186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2D26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01D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2C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7EC2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D89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83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  <w:tr w14:paraId="14F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339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97B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  <w:tr w14:paraId="0EB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3D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B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  <w:tr w14:paraId="1C19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9550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54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48A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27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B0F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1BA2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10B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049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  <w:tr w14:paraId="7B19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266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5AB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3F2B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E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6B8B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  <w:tr w14:paraId="212A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7F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F0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  <w:tr w14:paraId="038D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8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48FC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  <w:tr w14:paraId="605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0C54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6B2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  <w:tr w14:paraId="4DC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B1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907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0B5F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5AB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ECB2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 w14:paraId="0BAB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40B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14A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  <w:tr w14:paraId="4D16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8D4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71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  <w:tr w14:paraId="70ED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55F4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9E4D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  <w:tr w14:paraId="764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6E3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470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  <w:tr w14:paraId="3563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4E9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627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  <w:tr w14:paraId="489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E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FB06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qKNN完成125/125个任务和375/375个LEO场景，失败数为0。下表在K1/new20、K5/new20、K10/new5、K10/new10和K10/new20五个共同切片上，对照qKNN与CSIL、MoPC-HR官方流程的三场景平均结果。CSIL和MoPC-HR使用seed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  <w:r>
        <w:rPr>
          <w:rFonts w:ascii="Times New Roman" w:hAnsi="Times New Roman" w:eastAsia="宋体" w:cs="Times New Roman"/>
        </w:rPr>
        <w:t xml:space="preserve"> 状态路径明确为：qKNN采用DA1_REG0→DA1_REG1；CSIL与MoPC-HR官方流程采用DA0_REG0→DA0_REG1。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2152"/>
        <w:gridCol w:w="1216"/>
        <w:gridCol w:w="1216"/>
        <w:gridCol w:w="1123"/>
        <w:gridCol w:w="1123"/>
        <w:gridCol w:w="1220"/>
      </w:tblGrid>
      <w:tr>
        <w:trPr>
          <w:tblHeader w:val="true"/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切片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4.6.1逐配置结果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 w14:paraId="6AC6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8200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649D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 w14:paraId="32EE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D2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27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060F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DE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45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  <w:tr w14:paraId="7BC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7AB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3BC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  <w:tr w14:paraId="0D1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E9F3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B99E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  <w:tr w14:paraId="341F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0D2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2016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  <w:tr w14:paraId="792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0D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E30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  <w:tr w14:paraId="703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56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C3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3478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D88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0CAA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  <w:tr w14:paraId="422F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24E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0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576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3F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318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  <w:tr w14:paraId="64CA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DEC0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829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  <w:tr w14:paraId="3CBB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391D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BCF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  <w:tr w14:paraId="773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2B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F80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 w14:paraId="4D2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F9A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976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4D4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03C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C6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  <w:tr w14:paraId="0E5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2EE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56D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  <w:tr w14:paraId="0DA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B7A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C627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  <w:tr w14:paraId="3CA2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8F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1D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表示向下取整后的完整batch数量。当其为0且DataLoader设置drop_last=True时，不足一个batch的样本被丢弃，optimizer step为0，模型没有发生任何梯度更新</w:t>
      </w:r>
      <w:r>
        <w:rPr>
          <w:rFonts w:ascii="Times New Roman" w:hAnsi="Times New Roman" w:cs="Times New Roman" w:eastAsia="宋体"/>
        </w:rPr>
        <w:t>）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IEEE是Institute of Electrical and Electronics Engineers，即电气电子工程师学会；DOI是Digital Object Identifier，即数字对象唯一标识符；参考文献类型标识[J]表示期刊论文，[C]表示会议论文</w:t>
      </w:r>
      <w:r>
        <w:rPr>
          <w:rFonts w:ascii="Times New Roman" w:hAnsi="Times New Roman" w:cs="Times New Roman" w:eastAsia="宋体"/>
        </w:rPr>
        <w:t>）</w:t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2026-07-31T01:26:00Z</dcterms:modified>
  <dc:subject>统一集合、域、状态、概率、prototype和损失记号</dc:subject>
  <dc:title>CVS-RFFI Phase2详细复现报告（符号统一版）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