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23"/>
        </w:rPr>
        <w:t>项目名称：星地跨域少样本持续射频指纹识别（Ground-to-Satellite Cross-Domain Few-Shot Continual Radio-Frequency Fingerprint Identification, CVS-RFFI）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19"/>
        </w:rPr>
        <w:t>Phase1方法：地面跨接收机域泛化射频指纹表征方法（Ground-Based Cross-Receiver Domain-Generalized Radio-Frequency Fingerprint Representation Learning）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19"/>
        </w:rPr>
        <w:t>Phase2方法：星载少样本域适应与新类增量注册方法（Spaceborne Few-Shot Domain Adaptation and New-Class Incremental Registration for RFFI）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19"/>
        </w:rPr>
        <w:t>Phase2对比方法：高效稳健任务均衡增量判别注册方法（Efficient Robust Task-Balanced Incremental Discriminant Registration, ERTB-IDR；对应D92 E0，而非原始D92）</w:t>
      </w:r>
    </w:p>
    <w:p>
      <w:pPr>
        <w:keepNext w:val="0"/>
        <w:keepLines/>
        <w:spacing w:before="0" w:after="120"/>
      </w:pPr>
      <w:r>
        <w:rPr>
          <w:rFonts w:ascii="Times New Roman" w:hAnsi="Times New Roman" w:eastAsia="宋体"/>
          <w:b/>
          <w:color w:val="C00000"/>
          <w:sz w:val="21"/>
        </w:rPr>
        <w:t>核心任务：Phase1学习跨接收机稳定表征；Phase2在LEO弱信道下使用少量target support，同时完成旧类域适应与新类增量注册。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Orbit，即低地球轨道；TX是transmitter，即发射机；CVS-RFFI是本项目与模型流程的名称，其中CVS不在本文中充当数学变量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任务：类别轴描述训练、测试及增量阶段的类别关系；域轴描述接收机、信道或采集条件是否变化；时间轴描述任务是否顺序到达，以及更新后的模型状态是否持续保存。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src</m:t>
        </m:r>
        <m:r>
          <m:rPr>
            <m:sty m:val="p"/>
          </m:rPr>
          <m:t>,</m:t>
        </m:r>
        <m:r>
          <m:t>tgt</m:t>
        </m:r>
      </m:oMath>
      <w:r>
        <w:rPr>
          <w:rFonts w:ascii="Times New Roman" w:hAnsi="Times New Roman" w:eastAsia="宋体" w:cs="Times New Roman"/>
          <w:b w:val="0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src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</w:rPr>
        <w:t>分别表示交集、并集、空集和真子集</w:t>
      </w:r>
      <w:r>
        <w:rPr>
          <w:rFonts w:ascii="Times New Roman" w:hAnsi="Times New Roman" w:cs="Times New Roman" w:eastAsia="宋体"/>
        </w:rPr>
        <w:t>）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</w:rPr>
        <w:t>表示把各类样本合并为support集合</w:t>
      </w:r>
      <w:r>
        <w:rPr>
          <w:rFonts w:ascii="Times New Roman" w:hAnsi="Times New Roman" w:cs="Times New Roman" w:eastAsia="宋体"/>
        </w:rPr>
        <w:t>）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表示support与query不能共享同一物理样本</w:t>
      </w:r>
      <w:r>
        <w:rPr>
          <w:rFonts w:ascii="Times New Roman" w:hAnsi="Times New Roman" w:cs="Times New Roman" w:eastAsia="宋体"/>
        </w:rPr>
        <w:t>）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src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表示给定同一发射机身份时观测到某种IQ波形的条件分布。CVS中的物理含义是发射机身份不变，但目标接收机与LEO弱信道使波形分布改变</w:t>
      </w:r>
      <w:r>
        <w:rPr>
          <w:rFonts w:ascii="Times New Roman" w:hAnsi="Times New Roman" w:cs="Times New Roman" w:eastAsia="宋体"/>
        </w:rPr>
        <w:t>）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src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src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</m:rP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tgt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就是减少目标卫星接收机上旧发射机的平均识别错误</w:t>
      </w:r>
      <w:r>
        <w:rPr>
          <w:rFonts w:ascii="Times New Roman" w:hAnsi="Times New Roman" w:cs="Times New Roman" w:eastAsia="宋体"/>
        </w:rPr>
        <w:t>）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意味着旧类和已注册新类在同一候选空间竞争</w:t>
      </w:r>
      <w:r>
        <w:rPr>
          <w:rFonts w:ascii="Times New Roman" w:hAnsi="Times New Roman" w:cs="Times New Roman" w:eastAsia="宋体"/>
        </w:rPr>
        <w:t>）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Y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/>
          <w:b w:val="0"/>
          <w:sz w:val="21"/>
        </w:rPr>
        <w:t>两轮实验统一使用Phase1方法——地面跨接收机域泛化射频指纹表征方法（以下简称Phase1域泛化基座）形成的冻结checkpoint（训练后冻结的模型参数快照）。deployment bundle是与checkpoint共同封存、可供Phase2只读使用的部署状态；backbone指把接收IQ映射为身份特征的主干网络，adapter是附加的小型可训练适配模块，prototype是某一发射机类别的特征中心。统一基座可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Phase1域泛化基座＋target-old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DA0_REG0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DA1_REG0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Phase1域泛化基座接口＋Phase2前base状态＋target-new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分别表示Stage2-B域适应前后的预测，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DA0_REG0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DA0_REG0</m:t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DA1_REG0</m:t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</w:rPr>
        <w:t>表示相对正式LEO结果的变化量；pp是percentage points，即百分点；s是second，即秒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rPr>
                <m:scr m:val="script"/>
              </m:rP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中取最低单类准确率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四个完整状态记为DA0_REG0（域适应前/注册前）、DA1_REG0（域适应后/注册前）、DA0_REG1（域适应前/注册后）和DA1_REG1（域适应后/注册后）。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DA0_REG0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DA1_REG1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DA1_REG1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/>
          <w:b/>
          <w:color w:val="C00000"/>
          <w:sz w:val="21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同一Phase1域泛化基座checkpoint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ProtoNet，即原型网络；CDA在本文中指Cross-Domain Adaptation，即跨域适配。该基线不更新backbone，只用目标接收机旧类support重新估计类别中心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加载Phase1域泛化基座的160维身份特征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的support集合，</w:t>
      </w:r>
      <m:oMath xmlns:a="http://schemas.openxmlformats.org/drawingml/2006/main" xmlns:pic="http://schemas.openxmlformats.org/drawingml/2006/picture">
        <m:r>
          <m:t>μ</m:t>
        </m:r>
      </m:oMath>
      <w:r>
        <w:rPr>
          <w:rFonts w:ascii="Times New Roman" w:hAnsi="Times New Roman" w:eastAsia="宋体" w:cs="Times New Roman"/>
          <w:b w:val="0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μ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表示选择距离最小的中心或类别</w:t>
      </w:r>
      <w:r>
        <w:rPr>
          <w:rFonts w:ascii="Times New Roman" w:hAnsi="Times New Roman" w:cs="Times New Roman" w:eastAsia="宋体"/>
        </w:rPr>
        <w:t>）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μ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μ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原本属于单源无监督域适应[2]。CVS版本用真实target-old support标签替代伪标签，形成监督式域适应。其特点是用可学习的DV-KL估计网络对齐source与target，同时更新完整Phase1域泛化基座身份backbone。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src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tgt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src</m:t>
        </m:r>
        <m:r>
          <m:rPr>
            <m:sty m:val="p"/>
          </m:rPr>
          <m:t>,</m:t>
        </m:r>
        <m:r>
          <m:t>tgt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是逆频率类别权重，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防止样本数为0时除零；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</w:rPr>
        <w:t>是自然对数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本文各方法的分类概率统一记为上述符号。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ε₀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ε₀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src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tgt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越大表示两个接收机域越可区分；训练采用内层最大化域差异估计、外层最小化分类与对齐目标。总损失中的0.5、0.5和0.005分别是source分类、target-support分类和域差异项的固定权重</w:t>
      </w:r>
      <w:r>
        <w:rPr>
          <w:rFonts w:ascii="Times New Roman" w:hAnsi="Times New Roman" w:cs="Times New Roman" w:eastAsia="宋体"/>
        </w:rPr>
        <w:t>）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src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src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tgt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tgt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tgt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Phase1域泛化基座的外层优化目标为：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比较两域整体特征分布，数值越小表示全局域差异越小</w:t>
      </w:r>
      <w:r>
        <w:rPr>
          <w:rFonts w:ascii="Times New Roman" w:hAnsi="Times New Roman" w:cs="Times New Roman" w:eastAsia="宋体"/>
        </w:rPr>
        <w:t>）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src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tgt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src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tgt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src,src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tgt,tgt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cs="Times New Roman" w:eastAsia="宋体"/>
        </w:rPr>
        <w:t>）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src,src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src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tgt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tgt,tgt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src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tgt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是各类LMMD项的求和；momentum是动量系数，weight decay是权重衰减</w:t>
      </w:r>
      <w:r>
        <w:rPr>
          <w:rFonts w:ascii="Times New Roman" w:hAnsi="Times New Roman" w:cs="Times New Roman" w:eastAsia="宋体"/>
        </w:rPr>
        <w:t>）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ε₀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数据与MRIOR-SDA相同；更新完整Phase1域泛化基座身份backbone和旧类分类输出。SGD初始学习率为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DA0_REG0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DA1_REG0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直接Phase1域泛化基座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CDA也随K增加而改善，但K=20时仍低于直接Phase1域泛化基座。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直接Phase1域泛化基座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3.6.4ERTB-IDR Stage2-B域适应实验结果</w:t>
      </w:r>
    </w:p>
    <w:p>
      <w:pPr>
        <w:pStyle w:val="19"/>
        <w:keepNext w:val="0"/>
      </w:pPr>
      <w:r>
        <w:rPr>
          <w:rFonts w:ascii="Times New Roman" w:hAnsi="Times New Roman" w:eastAsia="宋体"/>
          <w:b w:val="0"/>
          <w:sz w:val="21"/>
        </w:rPr>
        <w:t>ERTB-IDR（Efficient Robust Task-Balanced Incremental Discriminant Registration，高效稳健任务均衡增量判别注册方法；对应D92 E0_FULL_ONLY，而非原始D92）是本报告实际采用的项目对比方法。它读取Phase1域泛化基座和当前row的target support：首先从固定LEO接收IQ提取288维联合特征，再使用ground-spectrum Cauchy稳健中心减弱接收机/信道扰动；随后分别估计旧类任务与新类任务的自动收缩协方差，并以固定等权形成任务均衡的共享判别几何；最后仅执行一次full主几何LDA闭式拟合，编译面对全部已注册类的统一仿射分类头。ERTB-IDR关闭原D92的Fisher/Pareto安全门和K折full/block双几何融合，不进行梯度训练，也不保存原始exemplar。Stage2-B的S2B-old表示仅使用旧类target support构造的DA1_REG0状态；Stage2-C再加入新类support形成DA1_REG1状态。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ERTB-IDR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3.6.5ERTB-IDR与域适应方法的共同LEO场景对照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下表将ERTB-IDR的S2B-old与相同三类LEO弱信道场景下的域适应对比方法并列。域适应矩阵使用5个receiver、seed 713101–713105，ERTB-IDR使用5个receiver和seed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直接Phase1域泛化基座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ERTB-IDR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ERTB-IDR的Stage2-B旧类准确率在K=5和K=10时分别为81.267%和86.111%，高于同表中的三个论文适配头；K=1时MRIOR-SDA为69.88%，高于ERTB-IDR的68.144%。这里比较的是完成旧类support域适应后的S2B-old，而不是Phase1模型直接推理结果。此时尚未加入新类，ERTB-IDR的旧/新任务均衡协方差也尚未启用；数值反映ERTB-IDR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ERTB-IDR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/>
          <w:b/>
          <w:color w:val="C00000"/>
          <w:sz w:val="21"/>
        </w:rPr>
        <w:t>Stage2-C在同一target receiver中注册新类，并要求旧类与新类在同一输出空间统一竞争，因此它是跨域FSCIL。</w:t>
      </w:r>
      <w:r>
        <w:rPr>
          <w:rFonts w:ascii="Times New Roman" w:hAnsi="Times New Roman" w:eastAsia="宋体"/>
          <w:b w:val="0"/>
          <w:sz w:val="21"/>
        </w:rPr>
        <w:t>本轮每个cell只执行一次新类集合注册，编码器接口接入Phase1域泛化基座输出的160维，其余训练器、损失和更新范围按官方实现保留。（CSIL是Channel Separation Enabled Incremental Learning，即通道隔离型增量学习；MoPC-HR是Momentum-based Prototype Correction and Hierarchical Regularization，即基于动量的原型校正与分层正则；HR表示Hierarchical Regularization；IoT是Internet of Things，即物联网。exemplar是保存供后续回放的历史原始样本；无exemplar表示不保存旧类原始IQ，但仍可保留旧模型、Fisher信息或类别prototype等聚合历史状态）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Liu等人提出的CSIL属于无exemplar、结构扩展型类增量方法[4]。其特点是冻结Phase1域泛化基座backbone，以通道扩展和mask限制新类更新，再用EWC与KD保护旧类响应。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进入Phase2前，5879条source样本训练zero-bias Fingerprints基座，2521条互斥source样本估计Fisher。Phase2只用target-new support训练；Phase1域泛化基座冻结，fc只更新新增行和bias，fingerprint只允许old-old与new-new块更新，两个交叉块保持为0。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是新类CE、EWC和KD的加权和；SGDM是带动量的SGD；epoch是完整遍历训练集一次，batch size是一次参数更新读取的样本数</w:t>
      </w:r>
      <w:r>
        <w:rPr>
          <w:rFonts w:ascii="Times New Roman" w:hAnsi="Times New Roman" w:cs="Times New Roman" w:eastAsia="宋体"/>
        </w:rPr>
        <w:t>）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20、drop_last=True，手工SGDM学习率为（其中u表示optimizer step）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0.01u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Li等人提出的MoPC-HR属于无exemplar、prototype校正型类增量方法[5]。其特点是允许完整Phase1域泛化基座随新类support更新，同时用旧prototype伪特征和分层参数正则限制遗忘。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ξ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。Phase1域泛化基座backbone和Linear classifier均更新。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是零均值各向同性高斯扰动向量，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是当前分类器，</w:t>
      </w:r>
      <m:oMath xmlns:a="http://schemas.openxmlformats.org/drawingml/2006/main" xmlns:pic="http://schemas.openxmlformats.org/drawingml/2006/picture">
        <m:r>
          <m:t>Tₜₑₘₚ</m:t>
        </m:r>
      </m:oMath>
      <w:r>
        <w:rPr>
          <w:rFonts w:ascii="Times New Roman" w:hAnsi="Times New Roman" w:eastAsia="宋体" w:cs="Times New Roman"/>
          <w:b w:val="0"/>
        </w:rPr>
        <w:t>是softmax温度；softmax把logit转换为类别概率。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b w:val="0"/>
        </w:rPr>
        <w:t>是参数组索引，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是更新前的新类prototype；0.97/0.03是保留旧prototype与吸收校正量的固定动量系数</w:t>
      </w:r>
      <w:r>
        <w:rPr>
          <w:rFonts w:ascii="Times New Roman" w:hAnsi="Times New Roman" w:cs="Times New Roman" w:eastAsia="宋体"/>
        </w:rPr>
        <w:t>）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ξ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Tₜₑₘₚ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Tₜₑₘₚ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j−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J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j=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j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Phase1基座更新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4.5.1按K-shot与新类规模拆分的正式结果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以下配置表直接采用《学习进展情况+7.24》中的正式LEO结果，按K-shot与新类数拆分，并在每个配置内按方法展开。旧类与新类query只用于冻结后评价；表内数值保持周报原口径，不再汇总为跨条件总均值，也不跨行拼接“最佳指标”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</w:tbl>
    <w:p>
      <w:pPr>
        <w:keepNext/>
        <w:keepLines/>
        <w:pageBreakBefore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4.5.3ERTB-IDR与类增量方法的共同LEO切片对照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ERTB-IDR完成125/125个任务和375/375个LEO场景，失败数为0。以下五张配置表在K1/new20、K5/new20、K10/new5、K10/new10和K10/new20五个共同切片上，对照ERTB-IDR与CSIL、MoPC-HR官方流程的三场景平均结果。CSIL和MoPC-HR使用seed 713101–713105，ERTB-IDR使用713102–713106；三者的base训练、状态构造和训练权限也不同，因此该表是同LEO场景的描述性对照，不是严格paired显著性比较。</w:t>
      </w:r>
      <w:r>
        <w:rPr>
          <w:rFonts w:ascii="Times New Roman" w:hAnsi="Times New Roman" w:eastAsia="宋体" w:cs="Times New Roman"/>
        </w:rPr>
        <w:t xml:space="preserve"> 状态路径明确为：ERTB-IDR采用DA1_REG0→DA1_REG1；CSIL与MoPC-HR官方流程采用DA0_REG0→DA0_REG1。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ERTB-IDR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ERTB-IDR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ERTB-IDR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ERTB-IDR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ERTB-IDR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eastAsia="宋体"/>
          <w:b w:val="0"/>
          <w:sz w:val="21"/>
        </w:rPr>
        <w:t>ERTB-IDR在五个共同切片上的旧新调和均值均高于两种论文流程，但不能把差距全部归因于ERTB-IDR算法：ERTB-IDR的Stage2-B旧类状态明显更强，方法生命周期和允许使用的历史状态也不同。ERTB-IDR在K10/new20得到注册后旧类71.333%、新类68.150%、调和均值69.555%，遗忘14.778个百分点；相对其matched D81控制，它改善旧类和遗忘，但新类下降且全部绝对性能门仍失败。</w:t>
      </w:r>
      <w:r>
        <w:rPr>
          <w:rFonts w:ascii="Times New Roman" w:hAnsi="Times New Roman" w:eastAsia="宋体"/>
          <w:b/>
          <w:color w:val="C00000"/>
          <w:sz w:val="21"/>
        </w:rPr>
        <w:t>正式结论保持“诊断完成但结果为负，不具备晋级条件”，不能表述为ERTB-IDR已完成晋级。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4.6.1按K-shot与新类规模拆分的诊断结果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该诊断保持方法、物理样本ID、support/query划分、K-shot和旧类评测条件一致，只把新类support/query替换为未叠加LEO的同一物理记录。结果永久标记为“无LEO新类诊断（非正式结果）”。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表示向下取整后的完整batch数量。当其为0且DataLoader设置drop_last=True时，不足一个batch的样本被丢弃，optimizer step为0，模型没有发生任何梯度更新</w:t>
      </w:r>
      <w:r>
        <w:rPr>
          <w:rFonts w:ascii="Times New Roman" w:hAnsi="Times New Roman" w:cs="Times New Roman" w:eastAsia="宋体"/>
        </w:rPr>
        <w:t>）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IEEE是Institute of Electrical and Electronics Engineers，即电气电子工程师学会；DOI是Digital Object Identifier，即数字对象唯一标识符；参考文献类型标识[J]表示期刊论文，[C]表示会议论文</w:t>
      </w:r>
      <w:r>
        <w:rPr>
          <w:rFonts w:ascii="Times New Roman" w:hAnsi="Times New Roman" w:cs="Times New Roman" w:eastAsia="宋体"/>
        </w:rPr>
        <w:t>）</w:t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2026-07-31T01:26:00Z</dcterms:modified>
  <dc:subject>统一集合、域、状态、概率、prototype和损失记号</dc:subject>
  <dc:title>CVS-RFFI Phase2详细复现报告（符号统一版）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