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表1从三个相互独立的轴定位RFFI任务：类别轴描述训练、测试及增量阶段的类别关系；域轴描述接收机、信道或采集条件是否变化；时间轴描述任务是否顺序到达，以及更新后的模型状态是否持续保存。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分别表示适应/注册前后的预测，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pre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p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p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ϵ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ϵ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ss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适应后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3.6.4D92注册前共同LEO场景对照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本表补充D92正式retry2在注册新类之前的旧类状态，并与D92技术报告中保留的共同LEO弱信道场景矩阵并列。它不是在3.6.2周报表上直接追加一列：域适应矩阵使用5个receiver、seed 713101–713105，D92使用相同三类LEO场景、5个receiver和seed 713102–713106，数据矩阵及seed集合并非严格一一配对，因此只作描述性比较。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D92注册前旧类准确率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D92注册前旧类准确率在K=5和K=10时分别为81.267%和86.111%，高于同表中的三个论文适配头；K=1时MRIOR-SDA为69.88%，高于D92的68.144%。注册前尚未加入新类，D92的旧/新任务均衡协方差尚未启用，因此这里反映的是D92旧类support稳健状态构造，而不是Stage2-C任务均衡模块的增益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3.6.5结果边界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D92补充表只报告注册前旧类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q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0.01t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ϵ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τ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τ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ℓ−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L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4.5.1逐配置结果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 w14:paraId="45D7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28CC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DAFD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 w14:paraId="2FF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2711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5C2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85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0BD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664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78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6A2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DED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  <w:tr w14:paraId="7026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155D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186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2D26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01D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2C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7EC2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D89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83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  <w:tr w14:paraId="14F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339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97B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  <w:tr w14:paraId="0EB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3D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B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  <w:tr w14:paraId="1C19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9550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54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48A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27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B0F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1BA2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10B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049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  <w:tr w14:paraId="7B19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266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5AB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3F2B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E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6B8B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  <w:tr w14:paraId="212A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7F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F0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  <w:tr w14:paraId="038D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8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48FC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  <w:tr w14:paraId="605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0C54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6B2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  <w:tr w14:paraId="4DC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B1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907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0B5F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5AB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ECB2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 w14:paraId="0BAB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40B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14A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  <w:tr w14:paraId="4D16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8D4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71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  <w:tr w14:paraId="70ED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55F4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9E4D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  <w:tr w14:paraId="764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6E3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470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  <w:tr w14:paraId="3563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4E9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627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  <w:tr w14:paraId="489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E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FB06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4.5.3D92与类增量方法的共同LEO切片对照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D92正式retry2完成125/125个任务和375/375个LEO场景，失败数为0。下表在K1/new20、K5/new20、K10/new5、K10/new10和K10/new20五个共同切片上，对照D92与CSIL、MoPC-HR官方流程的三场景平均结果。CSIL和MoPC-HR使用seed 713101–713105，D92使用713102–713106；三者的base训练、状态构造和训练权限也不同，因此该表是同LEO场景的描述性对照，不是严格paired显著性比较。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2152"/>
        <w:gridCol w:w="1216"/>
        <w:gridCol w:w="1216"/>
        <w:gridCol w:w="1123"/>
        <w:gridCol w:w="1123"/>
        <w:gridCol w:w="1220"/>
      </w:tblGrid>
      <w:tr>
        <w:trPr>
          <w:tblHeader w:val="true"/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切片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D92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D92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D92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D92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D92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D92在五个共同切片上的旧新调和均值均高于两种论文流程，但不能把差距全部归因于D92算法：D92的注册前旧类状态明显更强，方法生命周期和允许使用的历史状态也不同。D92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D81控制，它改善旧类和遗忘，但新类下降且全部绝对性能门仍失败。正式结论保持COMPLETED_DIAGNOSTIC_NEGATIVE_NOT_PROMOTABLE，不能表述为D92已完成晋级。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4.6.1逐配置结果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 w14:paraId="6AC6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8200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649D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 w14:paraId="32EE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D2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27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060F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DE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45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  <w:tr w14:paraId="7BC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7AB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3BC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  <w:tr w14:paraId="0D1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E9F3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B99E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  <w:tr w14:paraId="341F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0D2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2016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  <w:tr w14:paraId="792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0D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E30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  <w:tr w14:paraId="703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56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C3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3478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D88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0CAA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  <w:tr w14:paraId="422F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24E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0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576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3F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318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  <w:tr w14:paraId="64CA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DEC0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829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  <w:tr w14:paraId="3CBB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391D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BCF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  <w:tr w14:paraId="773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2B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F80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 w14:paraId="4D2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F9A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976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4D4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03C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C6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  <w:tr w14:paraId="0E5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2EE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56D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  <w:tr w14:paraId="0DA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B7A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C627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  <w:tr w14:paraId="3CA2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8F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1D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在Stage2-B与Stage2-C对应结果章节补充D92正式retry2共同LEO场景描述性对照。</dc:description>
  <cp:lastModifiedBy>李辉</cp:lastModifiedBy>
  <dcterms:modified xsi:type="dcterms:W3CDTF">2026-07-31T01:26:00Z</dcterms:modified>
  <dc:subject>Phase2对比方法、D92共同LEO场景结果与证据边界</dc:subject>
  <dc:title>CVS-RFFI Phase2详细复现报告（D92同场景结果补充版）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