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EEA31">
      <w:pPr>
        <w:pStyle w:val="3"/>
        <w:keepNext/>
        <w:pageBreakBefore w:val="0"/>
      </w:pPr>
      <w:r>
        <w:rPr>
          <w:rFonts w:ascii="Times New Roman" w:hAnsi="Times New Roman" w:eastAsia="宋体" w:cs="Times New Roman"/>
          <w:color w:val="1F4E79"/>
        </w:rPr>
        <w:t>1.核心概念与Phase2阶段定位</w:t>
      </w:r>
    </w:p>
    <w:p w14:paraId="67C76557">
      <w:pPr>
        <w:pStyle w:val="4"/>
        <w:keepNext/>
      </w:pPr>
      <w:r>
        <w:rPr>
          <w:rFonts w:ascii="Times New Roman" w:hAnsi="Times New Roman" w:eastAsia="宋体" w:cs="Times New Roman"/>
        </w:rPr>
        <w:t>1.1RFFI任务的三轴谱系</w:t>
      </w:r>
    </w:p>
    <w:p w14:paraId="3736C261">
      <w:r>
        <w:rPr>
          <w:rFonts w:ascii="Times New Roman" w:hAnsi="Times New Roman" w:eastAsia="宋体" w:cs="Times New Roman"/>
          <w:sz w:val="22"/>
        </w:rPr>
        <w:t>表1从三个相互独立的轴定位RFFI任务：类别轴描述训练、测试及增量阶段的类别关系；域轴描述接收机、信道或采集条件是否变化；时间轴描述任务是否顺序到达，以及更新后的模型状态是否持续保存。</w:t>
      </w:r>
    </w:p>
    <w:p w14:paraId="2A41BFCD">
      <w:pPr>
        <w:pStyle w:val="19"/>
        <w:keepNext/>
        <w:jc w:val="center"/>
      </w:pPr>
      <w:r>
        <w:rPr>
          <w:rFonts w:ascii="Times New Roman" w:hAnsi="Times New Roman" w:eastAsia="宋体" w:cs="Times New Roman"/>
          <w:b/>
          <w:bCs/>
          <w:sz w:val="22"/>
        </w:rPr>
        <w:t>表1 RFFI任务在类别轴、域轴和时间轴上的定位</w:t>
      </w:r>
    </w:p>
    <w:tbl>
      <w:tblPr>
        <w:tblStyle w:val="32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44D4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7BF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任务类型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B40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类别轴</w:t>
            </w:r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30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域轴</w:t>
            </w:r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8FA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时间轴</w:t>
            </w:r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DEC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监督预算</w:t>
            </w:r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5D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6"/>
              </w:rPr>
              <w:t>冻结后推理类别空间</w:t>
            </w:r>
          </w:p>
        </w:tc>
      </w:tr>
      <w:tr w14:paraId="7D7F0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F5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标准RFFI-FSL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D2CB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7521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6954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episodic；episode间不累积</w:t>
            </w:r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74A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D08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当前episode的novel类</w:t>
            </w:r>
          </w:p>
        </w:tc>
      </w:tr>
      <w:tr w14:paraId="52450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C9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74DF9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15788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9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B5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target标签可为0、少量或充分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12A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2E60A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BE4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RFFI少样本域适应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DDA6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17F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C0A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C82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每个已知类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204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与source相同的发射机集合</w:t>
            </w:r>
          </w:p>
        </w:tc>
      </w:tr>
      <w:tr w14:paraId="0EEAC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15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跨域RFFI-FSL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93C1E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∩</m:t>
                </m:r>
                <m:sSub>
                  <m:sSub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B967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7D2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episodic；通常不持久化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48B5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 novel类每类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CADC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标准FSL为novel类；</w:t>
            </w:r>
          </w:p>
        </w:tc>
      </w:tr>
      <w:tr w14:paraId="4E582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DDE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738C8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94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40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0F15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3F4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40283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54E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ABF17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F4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通常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199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FD8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每个增量新类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3B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全部累计已注册类</w:t>
            </w:r>
          </w:p>
        </w:tc>
      </w:tr>
      <w:tr w14:paraId="1975A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871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6"/>
              </w:rPr>
              <w:t>跨域RFFI-FSCIL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A68EB">
            <w:pPr>
              <w:spacing w:before="0" w:after="0" w:line="240" w:lineRule="auto"/>
              <w:jc w:val="center"/>
            </w:pPr>
            <m:oMathPara>
              <m:oMath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⊂</m:t>
                </m:r>
                <m:sSup>
                  <m:sSupPr/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p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≤</m:t>
                        </m:r>
                        <m:r>
                          <m:rPr/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E76E0">
            <w:pPr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</m:sub>
                </m:sSub>
                <m:r>
                  <m:rPr>
                    <m:sty m:val="p"/>
                  </m:rPr>
                  <m:t>≠</m:t>
                </m:r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92BA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session顺序到达；状态持续保存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6D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target新类每类</w:t>
            </w:r>
            <m:oMath>
              <m:r>
                <m:rPr/>
                <m:t>K</m:t>
              </m:r>
            </m:oMath>
            <w:r>
              <w:rPr>
                <w:rFonts w:ascii="Times New Roman" w:hAnsi="Times New Roman" w:eastAsia="宋体" w:cs="Times New Roman"/>
                <w:sz w:val="16"/>
              </w:rPr>
              <w:t>个support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CA2A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全部累计已注册旧类与新类</w:t>
            </w:r>
          </w:p>
        </w:tc>
      </w:tr>
      <w:tr w14:paraId="3317F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B49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开放世界跨域RFFI-FSCIL（扩展）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1ED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类别增长且存在</w:t>
            </w:r>
            <m:oMath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FCD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16"/>
              </w:rPr>
              <w:t>域随部署阶段变化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8C5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111E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已注册新类为K-shot；unknown无标签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B8A0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6"/>
              </w:rPr>
              <w:t>已注册旧类与新类，并拒识未注册unknown</w:t>
            </w:r>
          </w:p>
        </w:tc>
      </w:tr>
    </w:tbl>
    <w:p w14:paraId="02E6E1FA">
      <w:pPr>
        <w:pStyle w:val="19"/>
        <w:rPr>
          <w:rFonts w:hint="eastAsia" w:eastAsia="宋体"/>
          <w:lang w:eastAsia="zh-CN"/>
        </w:rPr>
      </w:pPr>
      <w:r>
        <w:rPr>
          <w:rFonts w:ascii="Times New Roman" w:hAnsi="Times New Roman" w:eastAsia="宋体" w:cs="Times New Roman"/>
          <w:b/>
          <w:bCs/>
          <w:color w:val="C00000"/>
          <w:sz w:val="22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 w:cs="Times New Roman" w:ascii="Times New Roman" w:hAnsi="Times New Roman" w:eastAsia="宋体"/>
          <w:b/>
          <w:bCs/>
          <w:color w:val="C00000"/>
          <w:sz w:val="22"/>
          <w:lang w:eastAsia="zh-CN"/>
        </w:rPr>
        <w:t>。</w:t>
      </w:r>
    </w:p>
    <w:p w14:paraId="38068436">
      <w:pPr>
        <w:pStyle w:val="4"/>
        <w:keepNext/>
      </w:pPr>
      <w:r>
        <w:rPr>
          <w:rFonts w:ascii="Times New Roman" w:hAnsi="Times New Roman" w:eastAsia="宋体" w:cs="Times New Roman"/>
        </w:rPr>
        <w:t>1.2少样本学习的定义</w:t>
      </w:r>
    </w:p>
    <w:p w14:paraId="62551DB0">
      <w:r>
        <w:rPr>
          <w:rFonts w:ascii="Times New Roman" w:hAnsi="Times New Roman" w:eastAsia="宋体" w:cs="Times New Roman"/>
          <w:sz w:val="22"/>
        </w:rPr>
        <w:t>少样本学习是指模型已经从base数据或预训练状态中获得先验，在目标任务每类只有少量带标签样本时，仍能泛化到未参与适配的query。</w:t>
      </w:r>
    </w:p>
    <w:p w14:paraId="190E7357">
      <w:pPr>
        <w:pStyle w:val="19"/>
      </w:pPr>
      <w:r>
        <w:rPr>
          <w:rFonts w:ascii="Times New Roman" w:hAnsi="Times New Roman" w:eastAsia="宋体" w:cs="Times New Roman"/>
          <w:sz w:val="22"/>
        </w:rPr>
        <w:t>一次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 xml:space="preserve">-way 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-shot任务记为</w:t>
      </w:r>
      <m:oMath>
        <m:r>
          <m:rPr/>
          <m:t>τ</m:t>
        </m:r>
        <m:r>
          <m:rPr>
            <m:sty m:val="p"/>
          </m:rPr>
          <m:t>=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τ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τ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2"/>
        </w:rPr>
        <w:t>。support包含</w:t>
      </w:r>
      <m:oMath>
        <m:r>
          <m:rPr/>
          <m:t>N</m:t>
        </m:r>
      </m:oMath>
      <w:r>
        <w:rPr>
          <w:rFonts w:ascii="Times New Roman" w:hAnsi="Times New Roman" w:eastAsia="宋体" w:cs="Times New Roman"/>
          <w:sz w:val="22"/>
        </w:rPr>
        <w:t>个类别，每类</w:t>
      </w:r>
      <m:oMath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个独立带标签样本：</w:t>
      </w:r>
    </w:p>
    <w:p w14:paraId="286AC45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⋃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Sup>
            <m:sSubSupPr/>
            <m:e>
              <m:d>
                <m:dPr>
                  <m:begChr m:val="{"/>
                  <m:sepChr m:val=""/>
                  <m:endChr m:val="}"/>
                </m:dPr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c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c</m:t>
                      </m:r>
                    </m:e>
                  </m:d>
                </m:e>
              </m:d>
            </m:e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NK</m:t>
          </m:r>
          <m:r>
            <m:rPr>
              <m:sty m:val="p"/>
            </m:rPr>
            <m:t>.</m:t>
          </m:r>
        </m:oMath>
      </m:oMathPara>
    </w:p>
    <w:p w14:paraId="763007A7">
      <w:r>
        <w:rPr>
          <w:rFonts w:ascii="Times New Roman" w:hAnsi="Times New Roman" w:eastAsia="宋体" w:cs="Times New Roman"/>
          <w:sz w:val="22"/>
        </w:rPr>
        <w:t>学习算法读取先验状态</w:t>
      </w:r>
      <m:oMath>
        <m:sSub>
          <m:sSubPr/>
          <m:e>
            <m:r>
              <m:rPr/>
              <m:t>Ω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和support，生成当前任务预测器：</w:t>
      </w:r>
    </w:p>
    <w:p w14:paraId="6F55F8C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A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τ</m:t>
                  </m:r>
                </m:sub>
              </m:sSub>
              <m:r>
                <m:rPr>
                  <m:sty m:val="p"/>
                </m:rPr>
                <m:t>;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/>
                    <m:t>τ</m:t>
                  </m:r>
                </m:sub>
              </m:sSub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τ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q</m:t>
                      </m:r>
                    </m:sub>
                  </m:sSub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q</m:t>
                  </m:r>
                </m:sub>
              </m:sSub>
            </m:e>
          </m:d>
          <m:r>
            <m:rPr>
              <m:sty m:val="p"/>
            </m:rPr>
            <m:t>∈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.</m:t>
          </m:r>
        </m:oMath>
      </m:oMathPara>
    </w:p>
    <w:p w14:paraId="60C3696E">
      <w:r>
        <w:rPr>
          <w:rFonts w:ascii="Times New Roman" w:hAnsi="Times New Roman" w:eastAsia="宋体" w:cs="Times New Roman"/>
          <w:sz w:val="22"/>
        </w:rPr>
        <w:t>support与query必须样本级互斥：</w:t>
      </w:r>
    </w:p>
    <w:p w14:paraId="205618F9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∩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τ</m:t>
              </m:r>
            </m:sub>
          </m:sSub>
          <m:r>
            <m:rPr>
              <m:sty m:val="p"/>
            </m:rPr>
            <m:t>=⌀.</m:t>
          </m:r>
        </m:oMath>
      </m:oMathPara>
    </w:p>
    <w:p w14:paraId="1FCA6847">
      <w:r>
        <w:rPr>
          <w:rFonts w:ascii="Times New Roman" w:hAnsi="Times New Roman" w:eastAsia="宋体" w:cs="Times New Roman"/>
          <w:sz w:val="22"/>
        </w:rPr>
        <w:t>标准novel-class FSL还要求base类与novel类互斥，query通常只在当前novel类中竞争。若训练与测试类别相同，只是每类样本较少，更准确的名称是low-shot closed-set classification。ProtoNet[1]属于度量型FSL方法，但把prototype估计器用于旧类target support，并不会自动把任务变成标准novel-class FSL。</w:t>
      </w:r>
    </w:p>
    <w:p w14:paraId="29FBB891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05CFD8F0">
      <w:pPr>
        <w:pStyle w:val="4"/>
        <w:keepNext/>
      </w:pPr>
      <w:r>
        <w:rPr>
          <w:rFonts w:ascii="Times New Roman" w:hAnsi="Times New Roman" w:eastAsia="宋体" w:cs="Times New Roman"/>
        </w:rPr>
        <w:t>1.3域适应及Stage2-B定位</w:t>
      </w:r>
    </w:p>
    <w:p w14:paraId="3B3DEC9C">
      <w:r>
        <w:rPr>
          <w:rFonts w:ascii="Times New Roman" w:hAnsi="Times New Roman" w:eastAsia="宋体" w:cs="Times New Roman"/>
          <w:sz w:val="22"/>
        </w:rPr>
        <w:t>source域与target域可写为</w:t>
      </w:r>
    </w:p>
    <w:p w14:paraId="7D9B4AF3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5E88F9D4">
      <w:r>
        <w:rPr>
          <w:rFonts w:ascii="Times New Roman" w:hAnsi="Times New Roman" w:eastAsia="宋体" w:cs="Times New Roman"/>
          <w:sz w:val="22"/>
        </w:rPr>
        <w:t>跨接收机RFFI保持旧类标签空间不变，但类别条件分布发生变化：</w:t>
      </w:r>
    </w:p>
    <w:p w14:paraId="486207B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old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s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≠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.</m:t>
          </m:r>
        </m:oMath>
      </m:oMathPara>
    </w:p>
    <w:p w14:paraId="1ADC9CFF">
      <w:r>
        <w:rPr>
          <w:rFonts w:ascii="Times New Roman" w:hAnsi="Times New Roman" w:eastAsia="宋体" w:cs="Times New Roman"/>
          <w:sz w:val="22"/>
        </w:rPr>
        <w:t>域适应的目标是利用source知识和允许读取的target数据，降低</w:t>
      </w:r>
    </w:p>
    <w:p w14:paraId="7F184A1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</m:t>
              </m:r>
            </m:sub>
          </m:sSub>
          <m:d>
            <m:dPr>
              <m:sepChr m:val=""/>
            </m:dPr>
            <m:e>
              <m:r>
                <m:rPr/>
                <m:t>h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∼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t</m:t>
                  </m:r>
                </m:sub>
              </m:sSub>
            </m:sub>
          </m:sSub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ℓ</m:t>
              </m:r>
              <m:d>
                <m:dPr>
                  <m:sepChr m:val=""/>
                </m:dPr>
                <m:e>
                  <m:r>
                    <m:rPr/>
                    <m:t>h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 w14:paraId="0B711868">
      <w:r>
        <w:rPr>
          <w:rFonts w:ascii="Times New Roman" w:hAnsi="Times New Roman" w:eastAsia="宋体" w:cs="Times New Roman"/>
          <w:sz w:val="22"/>
        </w:rPr>
        <w:t>Stage2-B每个旧类仅提供K个target-old support，因此属于</w:t>
      </w:r>
      <w:r>
        <w:rPr>
          <w:rFonts w:ascii="Times New Roman" w:hAnsi="Times New Roman" w:eastAsia="宋体" w:cs="Times New Roman"/>
          <w:b/>
          <w:bCs/>
          <w:sz w:val="22"/>
        </w:rPr>
        <w:t>少样本监督域适应</w:t>
      </w:r>
      <w:r>
        <w:rPr>
          <w:rFonts w:ascii="Times New Roman" w:hAnsi="Times New Roman" w:eastAsia="宋体" w:cs="Times New Roman"/>
          <w:sz w:val="22"/>
        </w:rPr>
        <w:t xml:space="preserve"> ：少样本描述target标签预算，域适应才是任务本质。Phase1域泛化训练不能读取未来target receiver；Phase2域适应发生在部署以后，可以读取协议允许的target support。是否接触target数据，是DG与DA的关键边界。</w:t>
      </w:r>
    </w:p>
    <w:p w14:paraId="5CB6D9C4">
      <w:pPr>
        <w:pStyle w:val="4"/>
        <w:keepNext/>
      </w:pPr>
      <w:r>
        <w:rPr>
          <w:rFonts w:ascii="Times New Roman" w:hAnsi="Times New Roman" w:eastAsia="宋体" w:cs="Times New Roman"/>
        </w:rPr>
        <w:t>1.4类增量、FSCIL与新类注册</w:t>
      </w:r>
    </w:p>
    <w:p w14:paraId="6FF3AD3F">
      <w:r>
        <w:rPr>
          <w:rFonts w:ascii="Times New Roman" w:hAnsi="Times New Roman" w:eastAsia="宋体" w:cs="Times New Roman"/>
          <w:sz w:val="22"/>
        </w:rPr>
        <w:t>类增量学习要求新类按阶段到达，并把更新后的状态持续保存：</w:t>
      </w:r>
    </w:p>
    <w:p w14:paraId="251A770F">
      <w:pPr>
        <w:pStyle w:val="19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</m:e>
              </m:d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≤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∪</m:t>
          </m:r>
          <m:sSubSup>
            <m:sSubSupPr/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/>
                <m:t>t</m:t>
              </m:r>
            </m:sub>
            <m:sup>
              <m:r>
                <m:rPr>
                  <m:sty m:val="p"/>
                </m:rPr>
                <m:t>new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p>
                <m:sSupPr/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p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≤</m:t>
                      </m:r>
                      <m:r>
                        <m:rPr/>
                        <m:t>t</m:t>
                      </m:r>
                    </m:e>
                  </m:d>
                </m:sup>
              </m:sSup>
            </m:lim>
          </m:limLow>
          <m:sSub>
            <m:sSubPr/>
            <m:e>
              <m:r>
                <m:rPr/>
                <m:t>h</m:t>
              </m:r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2A5D1612">
      <w:r>
        <w:rPr>
          <w:rFonts w:ascii="Times New Roman" w:hAnsi="Times New Roman" w:eastAsia="宋体" w:cs="Times New Roman"/>
          <w:sz w:val="22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6038CE23">
      <w:pPr>
        <w:pStyle w:val="19"/>
      </w:pPr>
      <w:r>
        <w:rPr>
          <w:rFonts w:ascii="Times New Roman" w:hAnsi="Times New Roman" w:eastAsia="宋体" w:cs="Times New Roman"/>
          <w:sz w:val="22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2C107466">
      <w:pPr>
        <w:pStyle w:val="19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unknown rejection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new-class registration</m:t>
          </m:r>
          <m:r>
            <m:rPr>
              <m:sty m:val="p"/>
            </m:rPr>
            <m:t>.</m:t>
          </m:r>
        </m:oMath>
      </m:oMathPara>
    </w:p>
    <w:p w14:paraId="365ED83F">
      <w:r>
        <w:rPr>
          <w:rFonts w:ascii="Times New Roman" w:hAnsi="Times New Roman" w:eastAsia="宋体" w:cs="Times New Roman"/>
          <w:sz w:val="22"/>
        </w:rPr>
        <w:t>unknown尚未获得可信标签，不能直接进入注册集合；只有获得合法标签和support后，才能成为已注册新类。</w:t>
      </w:r>
    </w:p>
    <w:p w14:paraId="1A9932D9">
      <w:pPr>
        <w:pStyle w:val="4"/>
        <w:keepNext/>
      </w:pPr>
      <w:r>
        <w:rPr>
          <w:rFonts w:ascii="Times New Roman" w:hAnsi="Times New Roman" w:eastAsia="宋体" w:cs="Times New Roman"/>
        </w:rPr>
        <w:t>1.5与CVS-RFFI Phase2阶段的对应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720"/>
        <w:gridCol w:w="810"/>
        <w:gridCol w:w="1860"/>
        <w:gridCol w:w="3810"/>
        <w:gridCol w:w="1526"/>
      </w:tblGrid>
      <w:tr w14:paraId="29A24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A91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29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域是否变化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A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类别是否增加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3C3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可用target标签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7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准确任务定位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3F4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冻结后query范围</w:t>
            </w:r>
          </w:p>
        </w:tc>
      </w:tr>
      <w:tr w14:paraId="6FAF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616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C5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B794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41B3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CEB2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zero-label transfer/reference；仅在实际使用无标签target更新时才属于UDA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468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1540F2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ED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Stage2-B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02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24B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B8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330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B83A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旧类target query</w:t>
            </w:r>
          </w:p>
        </w:tc>
      </w:tr>
      <w:tr w14:paraId="6E4BA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2F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C00000"/>
                <w:sz w:val="18"/>
              </w:rPr>
              <w:t>Stage2-C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D5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C3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64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旧类与新类均为K-shot target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BBC5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跨域单步FSCIL/新类注册；连续多session时为完整FSCIL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13A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旧类＋已注册新类统一query</w:t>
            </w:r>
          </w:p>
        </w:tc>
      </w:tr>
    </w:tbl>
    <w:p w14:paraId="2D7736A1">
      <w:pPr>
        <w:pStyle w:val="4"/>
        <w:keepNext/>
      </w:pPr>
      <w:r>
        <w:rPr>
          <w:rFonts w:ascii="Times New Roman" w:hAnsi="Times New Roman" w:eastAsia="宋体" w:cs="Times New Roman"/>
        </w:rPr>
        <w:t>1.6样本角色与成功条件</w:t>
      </w:r>
    </w:p>
    <w:p w14:paraId="7347AAD2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旧类</w:t>
      </w:r>
      <m:oMath>
        <m:sSub>
          <m:sSubPr/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old</m:t>
            </m:r>
          </m:sub>
        </m:sSub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Phase1已经见过的发射机；更换receiver不改变其身份。</w:t>
      </w:r>
    </w:p>
    <w:p w14:paraId="428553DC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新类</w:t>
      </w:r>
      <m:oMath>
        <m:sSubSup>
          <m:sSubSupPr/>
          <m:e>
            <m:r>
              <m:rPr>
                <m:sty m:val="p"/>
                <m:scr m:val="script"/>
              </m:rPr>
              <m:t>C</m:t>
            </m:r>
          </m:e>
          <m:sub>
            <m:r>
              <m:rPr/>
              <m:t>t</m:t>
            </m:r>
          </m:sub>
          <m:sup>
            <m:r>
              <m:rPr>
                <m:sty m:val="p"/>
              </m:rPr>
              <m:t>new</m:t>
            </m:r>
          </m:sup>
        </m:sSubSup>
      </m:oMath>
      <w:r>
        <w:rPr>
          <w:rFonts w:ascii="Times New Roman" w:hAnsi="Times New Roman" w:eastAsia="宋体" w:cs="Times New Roman"/>
          <w:b/>
          <w:bCs/>
          <w:sz w:val="22"/>
        </w:rPr>
        <w:t>：</w:t>
      </w:r>
      <w:r>
        <w:rPr>
          <w:rFonts w:ascii="Times New Roman" w:hAnsi="Times New Roman" w:eastAsia="宋体" w:cs="Times New Roman"/>
          <w:sz w:val="22"/>
        </w:rPr>
        <w:t xml:space="preserve"> Phase1未见、在Stage2-C通过合法support注册的发射机。</w:t>
      </w:r>
    </w:p>
    <w:p w14:paraId="2F81B49B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未注册unknown：</w:t>
      </w:r>
      <w:r>
        <w:rPr>
          <w:rFonts w:ascii="Times New Roman" w:hAnsi="Times New Roman" w:eastAsia="宋体" w:cs="Times New Roman"/>
          <w:sz w:val="22"/>
        </w:rPr>
        <w:t xml:space="preserve"> 尚未获得可信标签或尚未加入已注册类别集合的发射机。</w:t>
      </w:r>
    </w:p>
    <w:p w14:paraId="4C7D04B6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support：</w:t>
      </w:r>
      <w:r>
        <w:rPr>
          <w:rFonts w:ascii="Times New Roman" w:hAnsi="Times New Roman" w:eastAsia="宋体" w:cs="Times New Roman"/>
          <w:sz w:val="22"/>
        </w:rPr>
        <w:t xml:space="preserve"> 唯一允许参与适应、注册和状态更新的带标签样本。</w:t>
      </w:r>
    </w:p>
    <w:p w14:paraId="11DA6263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query：</w:t>
      </w:r>
      <w:r>
        <w:rPr>
          <w:rFonts w:ascii="Times New Roman" w:hAnsi="Times New Roman" w:eastAsia="宋体" w:cs="Times New Roman"/>
          <w:sz w:val="22"/>
        </w:rPr>
        <w:t xml:space="preserve"> 模型冻结后用于评价的独立样本，不得影响predictor。</w:t>
      </w:r>
    </w:p>
    <w:p w14:paraId="56663E75">
      <w:pPr>
        <w:numPr>
          <w:ilvl w:val="0"/>
          <w:numId w:val="7"/>
        </w:numPr>
      </w:pPr>
      <w:r>
        <w:rPr>
          <w:rFonts w:ascii="Times New Roman" w:hAnsi="Times New Roman" w:eastAsia="宋体" w:cs="Times New Roman"/>
          <w:b/>
          <w:bCs/>
          <w:sz w:val="22"/>
        </w:rPr>
        <w:t>K-shot：</w:t>
      </w:r>
      <w:r>
        <w:rPr>
          <w:rFonts w:ascii="Times New Roman" w:hAnsi="Times New Roman" w:eastAsia="宋体" w:cs="Times New Roman"/>
          <w:sz w:val="22"/>
        </w:rPr>
        <w:t xml:space="preserve"> 每类K个互不重复的物理接收观测。</w:t>
      </w:r>
    </w:p>
    <w:p w14:paraId="7735C441">
      <w:pPr>
        <w:pStyle w:val="3"/>
        <w:keepNext/>
        <w:pageBreakBefore w:val="0"/>
      </w:pPr>
      <w:bookmarkStart w:id="0" w:name="Xa4b16eab3645cd06e297e8c59920ba7f89a3828"/>
      <w:r>
        <w:rPr>
          <w:rFonts w:ascii="Times New Roman" w:hAnsi="Times New Roman" w:eastAsia="宋体" w:cs="Times New Roman"/>
          <w:sz w:val="32"/>
        </w:rPr>
        <w:t>2.数据、权限与评价框架</w:t>
      </w:r>
    </w:p>
    <w:p w14:paraId="4972DEE3">
      <w:pPr>
        <w:pStyle w:val="4"/>
        <w:keepNext/>
      </w:pPr>
      <w:bookmarkStart w:id="1" w:name="X8fa98ef5c1a5d93584cb015cb15574040e70ae8"/>
      <w:r>
        <w:rPr>
          <w:rFonts w:ascii="Times New Roman" w:hAnsi="Times New Roman" w:eastAsia="宋体" w:cs="Times New Roman"/>
          <w:sz w:val="26"/>
        </w:rPr>
        <w:t>2.1从Phase1训练到Phase2部署</w:t>
      </w:r>
    </w:p>
    <w:p w14:paraId="15429BFD">
      <w:r>
        <w:rPr>
          <w:rFonts w:ascii="Times New Roman" w:hAnsi="Times New Roman" w:eastAsia="宋体" w:cs="Times New Roman"/>
          <w:sz w:val="22"/>
        </w:rPr>
        <w:t>两轮实验统一使用ADV3B02地面域泛化checkpoint，避免backbone差异干扰方法比较。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3232"/>
        <w:gridCol w:w="3290"/>
        <w:gridCol w:w="1784"/>
      </w:tblGrid>
      <w:tr w14:paraId="29FDF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78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A95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可用数据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D4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8CA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02D61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AF8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Phase1地面训练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B75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source数据及物理启发的LEO增强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F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身份backbone与训练状态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7FD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不可变deployment bundle</w:t>
            </w:r>
          </w:p>
        </w:tc>
      </w:tr>
      <w:tr w14:paraId="3FF08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6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Phase2适应/注册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5F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bundle、固定LEO target IQ、当前row的support标签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AB3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由方法声明的prototype、分类头、adapter或backbone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BED2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冻结后的目标域预测器</w:t>
            </w:r>
          </w:p>
        </w:tc>
      </w:tr>
      <w:tr w14:paraId="5123D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2EA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16A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prediction artifact与query真值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6E4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BC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同一row评价指标</w:t>
            </w:r>
          </w:p>
        </w:tc>
      </w:tr>
      <w:bookmarkEnd w:id="1"/>
    </w:tbl>
    <w:p w14:paraId="560F91F1">
      <w:pPr>
        <w:pStyle w:val="4"/>
        <w:keepNext/>
      </w:pPr>
      <w:r>
        <w:rPr>
          <w:rFonts w:ascii="Times New Roman" w:hAnsi="Times New Roman" w:eastAsia="宋体" w:cs="Times New Roman"/>
        </w:rPr>
        <w:t>2.2实验矩阵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3014"/>
        <w:gridCol w:w="2503"/>
        <w:gridCol w:w="1671"/>
        <w:gridCol w:w="1729"/>
      </w:tblGrid>
      <w:tr w14:paraId="24E6F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623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工作包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3DA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基座与数据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089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target设置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83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实验规模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A96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31D5A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647A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9A8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ADV3B02＋target-old support/query；MRIOR/DADDA另读source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56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5个target receiver；</w:t>
            </w:r>
            <m:oMath>
              <m:r>
                <m:rPr/>
                <m:t>K</m:t>
              </m:r>
              <m:r>
                <m:rPr>
                  <m:sty m:val="p"/>
                </m:rPr>
                <m:t>∈{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5</m:t>
              </m:r>
              <m:r>
                <m:rPr>
                  <m:sty m:val="p"/>
                </m:rPr>
                <m:t>,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；5个seed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0AA9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5×5×5×3=375个方法任务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BEBFD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、正/负迁移、时延</w:t>
            </w:r>
          </w:p>
        </w:tc>
      </w:tr>
      <w:tr w14:paraId="5AADF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24D0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F96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ADV3B02接口＋Phase2前base状态＋target-new support；old/new query只评分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82401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080F2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24个正式LEO逐配置结果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02DA8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pre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  <w:tr w14:paraId="6546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709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信道归因诊断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DA87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保持方法、物理ID、split、K、seed和旧类条件一致，仅替换新类IQ为无LEO版本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A03BE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K∈{5,10,20}；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C95D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18个matched无LEO逐配置结果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27D4F">
            <w:pPr>
              <w:spacing w:before="0" w:after="0" w:line="240" w:lineRule="auto"/>
              <w:jc w:val="left"/>
            </w:pP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ΔH</m:t>
              </m:r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r>
                <m:rPr/>
                <m:t>Δ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min,</m:t>
                  </m:r>
                  <m:r>
                    <m:rPr/>
                    <m:t>old</m:t>
                  </m:r>
                </m:sub>
              </m:sSub>
            </m:oMath>
          </w:p>
        </w:tc>
      </w:tr>
    </w:tbl>
    <w:p w14:paraId="3340DDFA">
      <w:pPr>
        <w:pStyle w:val="4"/>
        <w:keepNext/>
      </w:pPr>
      <w:r>
        <w:rPr>
          <w:rFonts w:ascii="Times New Roman" w:hAnsi="Times New Roman" w:eastAsia="宋体" w:cs="Times New Roman"/>
        </w:rPr>
        <w:t>2.3评价指标</w:t>
      </w:r>
    </w:p>
    <w:p w14:paraId="69A70F37"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Q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Q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分别为旧类、新类query集合，</w:t>
      </w:r>
      <m:oMath>
        <m:sSub>
          <m:sSubPr/>
          <m:e>
            <m:r>
              <m:rPr/>
              <m:t>Q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为旧类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的query集合；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是真值，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0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和</w:t>
      </w:r>
      <m:oMath>
        <m:sSubSup>
          <m:sSubSup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  <m:sup>
            <m:d>
              <m:dPr>
                <m:sepChr m:val=""/>
              </m:dPr>
              <m:e>
                <m:r>
                  <m:rPr/>
                  <m:t>1</m:t>
                </m:r>
              </m:e>
            </m:d>
          </m:sup>
        </m:sSubSup>
      </m:oMath>
      <w:r>
        <w:rPr>
          <w:rFonts w:ascii="Times New Roman" w:hAnsi="Times New Roman" w:eastAsia="宋体" w:cs="Times New Roman"/>
          <w:sz w:val="22"/>
        </w:rPr>
        <w:t>分别表示适应/注册前后的预测，</w:t>
      </w:r>
      <m:oMath>
        <m:r>
          <m:rPr>
            <m:sty m:val="p"/>
            <m:scr m:val="double-struck"/>
          </m:rPr>
          <m:t>I</m:t>
        </m:r>
        <m:r>
          <m:rPr>
            <m:sty m:val="p"/>
          </m:rPr>
          <m:t>[⋅]</m:t>
        </m:r>
      </m:oMath>
      <w:r>
        <w:rPr>
          <w:rFonts w:ascii="Times New Roman" w:hAnsi="Times New Roman" w:eastAsia="宋体" w:cs="Times New Roman"/>
          <w:sz w:val="22"/>
        </w:rPr>
        <w:t>为指示函数。为同时保证数学表达和实验字段可追溯，本文采用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pre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H</m:t>
            </m:r>
          </m:e>
          <m:sub>
            <m:r>
              <m:rPr/>
              <m:t>old</m:t>
            </m:r>
            <m:r>
              <m:rPr>
                <m:sty m:val="p"/>
              </m:rPr>
              <m:t>,</m:t>
            </m:r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、</w:t>
      </w:r>
      <m:oMath>
        <m:sSub>
          <m:sSubPr/>
          <m:e>
            <m:r>
              <m:rPr/>
              <m:t>F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，分别对应结果字段old_acc_before、old_acc_after、seen_new_acc、H_old_new、forgetting和min_old。</w:t>
      </w:r>
    </w:p>
    <w:p w14:paraId="0C7737E3">
      <w:pPr>
        <w:pStyle w:val="5"/>
        <w:keepNext/>
      </w:pPr>
      <w:r>
        <w:rPr>
          <w:rFonts w:ascii="Times New Roman" w:hAnsi="Times New Roman" w:eastAsia="宋体" w:cs="Times New Roman"/>
        </w:rPr>
        <w:t>2.3.1旧类适应</w:t>
      </w:r>
    </w:p>
    <w:p w14:paraId="11805FA0">
      <w:r>
        <w:rPr>
          <w:rFonts w:ascii="Times New Roman" w:hAnsi="Times New Roman" w:eastAsia="宋体" w:cs="Times New Roman"/>
          <w:b/>
          <w:bCs/>
          <w:sz w:val="22"/>
        </w:rPr>
        <w:t>适应前旧类准确率：</w:t>
      </w:r>
    </w:p>
    <w:p w14:paraId="1D0ED348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0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4CB3C88">
      <w:r>
        <w:rPr>
          <w:rFonts w:ascii="Times New Roman" w:hAnsi="Times New Roman" w:eastAsia="宋体" w:cs="Times New Roman"/>
          <w:b/>
          <w:bCs/>
          <w:sz w:val="22"/>
        </w:rPr>
        <w:t>适应后旧类准确率：</w:t>
      </w:r>
    </w:p>
    <w:p w14:paraId="594E889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old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10FF1DD">
      <w:r>
        <w:rPr>
          <w:rFonts w:ascii="Times New Roman" w:hAnsi="Times New Roman" w:eastAsia="宋体" w:cs="Times New Roman"/>
          <w:b/>
          <w:bCs/>
          <w:sz w:val="22"/>
        </w:rPr>
        <w:t>适应收益：</w:t>
      </w:r>
    </w:p>
    <w:p w14:paraId="1C85C32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</m:oMath>
      </m:oMathPara>
    </w:p>
    <w:p w14:paraId="18F3AE68">
      <m:oMath>
        <m:sSub>
          <m:sSubPr/>
          <m:e>
            <m:r>
              <m:rPr/>
              <m:t>G</m:t>
            </m:r>
          </m:e>
          <m:sub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为正表示正迁移，为负表示适应损伤了原有能力。</w:t>
      </w:r>
    </w:p>
    <w:p w14:paraId="2B192C9A">
      <w:pPr>
        <w:pStyle w:val="5"/>
        <w:keepNext/>
      </w:pPr>
      <w:r>
        <w:rPr>
          <w:rFonts w:ascii="Times New Roman" w:hAnsi="Times New Roman" w:eastAsia="宋体" w:cs="Times New Roman"/>
        </w:rPr>
        <w:t>2.3.2新类注册</w:t>
      </w:r>
    </w:p>
    <w:p w14:paraId="5DAC5347">
      <w:r>
        <w:rPr>
          <w:rFonts w:ascii="Times New Roman" w:hAnsi="Times New Roman" w:eastAsia="宋体" w:cs="Times New Roman"/>
          <w:b/>
          <w:bCs/>
          <w:sz w:val="22"/>
        </w:rPr>
        <w:t>已注册新类准确率：</w:t>
      </w:r>
    </w:p>
    <w:p w14:paraId="1C3D1CE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344D592">
      <w:r>
        <w:rPr>
          <w:rFonts w:ascii="Times New Roman" w:hAnsi="Times New Roman" w:eastAsia="宋体" w:cs="Times New Roman"/>
          <w:sz w:val="22"/>
        </w:rPr>
        <w:t>该指标为0意味着新类support没有形成可用的分类身份，或者增量训练根本没有产生有效更新。</w:t>
      </w:r>
    </w:p>
    <w:p w14:paraId="6D693737">
      <w:pPr>
        <w:pStyle w:val="5"/>
        <w:keepNext/>
      </w:pPr>
      <w:r>
        <w:rPr>
          <w:rFonts w:ascii="Times New Roman" w:hAnsi="Times New Roman" w:eastAsia="宋体" w:cs="Times New Roman"/>
        </w:rPr>
        <w:t>2.3.3旧新联合评价</w:t>
      </w:r>
    </w:p>
    <w:p w14:paraId="48E132C2">
      <w:r>
        <w:rPr>
          <w:rFonts w:ascii="Times New Roman" w:hAnsi="Times New Roman" w:eastAsia="宋体" w:cs="Times New Roman"/>
          <w:b/>
          <w:bCs/>
          <w:sz w:val="22"/>
        </w:rPr>
        <w:t>旧新调和均值：</w:t>
      </w:r>
    </w:p>
    <w:p w14:paraId="3319559B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old,new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num>
            <m:den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den>
          </m:f>
        </m:oMath>
      </m:oMathPara>
    </w:p>
    <w:p w14:paraId="43DF5DF6">
      <w:r>
        <w:rPr>
          <w:rFonts w:ascii="Times New Roman" w:hAnsi="Times New Roman" w:eastAsia="宋体" w:cs="Times New Roman"/>
          <w:sz w:val="22"/>
        </w:rPr>
        <w:t>调和均值会惩罚“只保旧类、不学新类”和“只学新类、忘掉旧类”。任意一侧接近0，</w:t>
      </w:r>
      <m:oMath>
        <m:sSub>
          <m:sSubPr/>
          <m:e>
            <m:r>
              <m:rPr/>
              <m:t>H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old,new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都会接近0。</w:t>
      </w:r>
    </w:p>
    <w:p w14:paraId="4FECECB5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遗忘：</w:t>
      </w:r>
    </w:p>
    <w:p w14:paraId="6E8A2F1F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pre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old</m:t>
              </m:r>
            </m:sub>
            <m:sup>
              <m:r>
                <m:rPr/>
                <m:t>post</m:t>
              </m:r>
            </m:sup>
          </m:sSubSup>
        </m:oMath>
      </m:oMathPara>
    </w:p>
    <w:p w14:paraId="5EA943B9">
      <w:r>
        <w:rPr>
          <w:rFonts w:ascii="Times New Roman" w:hAnsi="Times New Roman" w:eastAsia="宋体" w:cs="Times New Roman"/>
          <w:sz w:val="22"/>
        </w:rPr>
        <w:t>遗忘越大，说明增量学习对旧知识破坏越严重。</w:t>
      </w:r>
    </w:p>
    <w:p w14:paraId="4B53DCA6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最低旧类准确率：</w:t>
      </w:r>
    </w:p>
    <w:p w14:paraId="4A0063AD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I</m:t>
              </m:r>
            </m:e>
          </m:nary>
          <m:d>
            <m:dPr>
              <m:begChr m:val="["/>
              <m:sepChr m:val=""/>
              <m:endChr m:val="]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5D5CC5CB"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min,</m:t>
              </m:r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</m:oMath>
      </m:oMathPara>
    </w:p>
    <w:p w14:paraId="17BD0803"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min,</m:t>
            </m:r>
            <m:r>
              <m:rPr/>
              <m:t>old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直接检查最差旧发射机是否接近失效，避免平均</w:t>
      </w:r>
      <m:oMath>
        <m:sSubSup>
          <m:sSubSupPr/>
          <m:e>
            <m:r>
              <m:rPr/>
              <m:t>A</m:t>
            </m:r>
          </m:e>
          <m:sub>
            <m:r>
              <m:rPr/>
              <m:t>old</m:t>
            </m:r>
          </m:sub>
          <m:sup>
            <m:r>
              <m:rPr/>
              <m:t>post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掩盖局部崩塌。</w:t>
      </w:r>
    </w:p>
    <w:p w14:paraId="22804EA8">
      <w:pPr>
        <w:pStyle w:val="4"/>
        <w:keepNext/>
      </w:pPr>
      <w:r>
        <w:rPr>
          <w:rFonts w:ascii="Times New Roman" w:hAnsi="Times New Roman" w:eastAsia="宋体" w:cs="Times New Roman"/>
        </w:rPr>
        <w:t>2.4统一输入、状态更新与输出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3068"/>
        <w:gridCol w:w="2928"/>
        <w:gridCol w:w="2482"/>
      </w:tblGrid>
      <w:tr w14:paraId="16925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C2D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阶段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9DC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E02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允许更新的状态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2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输出</w:t>
            </w:r>
          </w:p>
        </w:tc>
      </w:tr>
      <w:tr w14:paraId="234A9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27B0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直接基线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A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 query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80B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无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C464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旧类预测</w:t>
            </w:r>
          </w:p>
        </w:tc>
      </w:tr>
      <w:tr w14:paraId="214D4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26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Stage2-B适应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7F9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Phase1 bundle＋target-old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4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prototype、adapter或backbone，取决于方法权限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FCD7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冻结后的旧类预测器</w:t>
            </w:r>
          </w:p>
        </w:tc>
      </w:tr>
      <w:tr w14:paraId="30667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8270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Stage2-C注册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6DA9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冻结/Stage2-B适应后状态＋target-new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6E05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旧类统计、新类prototype、分类头或受控参数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4EE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面向旧类∪已注册新类的统一预测器</w:t>
            </w:r>
          </w:p>
        </w:tc>
      </w:tr>
      <w:tr w14:paraId="17B63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49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独立评分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37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不可变prediction artifact＋query真值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33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不得回流到predictor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7D81">
            <w:pPr>
              <w:spacing w:before="0" w:after="0" w:line="240" w:lineRule="auto"/>
              <w:jc w:val="left"/>
            </w:pPr>
            <m:oMath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  <m:sup>
                  <m:r>
                    <m:rPr/>
                    <m:t>post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old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new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、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old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18"/>
              </w:rPr>
              <w:t>等指标</w:t>
            </w:r>
          </w:p>
        </w:tc>
      </w:tr>
      <w:bookmarkEnd w:id="0"/>
    </w:tbl>
    <w:p w14:paraId="1268748D">
      <w:pPr>
        <w:pStyle w:val="3"/>
        <w:keepNext/>
        <w:pageBreakBefore w:val="0"/>
      </w:pPr>
      <w:bookmarkStart w:id="2" w:name="Xacb617a5819318ce172e1d7a810126ba83372bc"/>
      <w:r>
        <w:rPr>
          <w:rFonts w:ascii="Times New Roman" w:hAnsi="Times New Roman" w:eastAsia="宋体" w:cs="Times New Roman"/>
          <w:sz w:val="32"/>
        </w:rPr>
        <w:t>3.Stage2-B：跨接收机旧类域适应仿真实验</w:t>
      </w:r>
    </w:p>
    <w:p w14:paraId="5C4ACA78">
      <w:pPr>
        <w:pStyle w:val="4"/>
        <w:keepNext/>
      </w:pPr>
      <w:bookmarkStart w:id="3" w:name="X60a1c4ac91aed9a1a4fc1cbc6b86ab576c3e5cf"/>
      <w:r>
        <w:rPr>
          <w:rFonts w:ascii="Times New Roman" w:hAnsi="Times New Roman" w:eastAsia="宋体" w:cs="Times New Roman"/>
          <w:sz w:val="26"/>
        </w:rPr>
        <w:t>3.1仿真问题与统一实验设置</w:t>
      </w:r>
    </w:p>
    <w:p w14:paraId="5DB5260D">
      <w:r>
        <w:rPr>
          <w:rFonts w:ascii="Times New Roman" w:hAnsi="Times New Roman" w:eastAsia="宋体" w:cs="Times New Roman"/>
          <w:sz w:val="22"/>
        </w:rPr>
        <w:t>Stage2-B要回答的问题是：Phase1已经识别过的发射机换到未见target receiver后，少量target-old support能否恢复旧类识别能力？</w:t>
      </w:r>
    </w:p>
    <w:p w14:paraId="4B0E4BE6">
      <w:pPr>
        <w:pStyle w:val="19"/>
      </w:pPr>
      <w:r>
        <w:rPr>
          <w:rFonts w:ascii="Times New Roman" w:hAnsi="Times New Roman" w:eastAsia="宋体" w:cs="Times New Roman"/>
          <w:sz w:val="22"/>
        </w:rPr>
        <w:t>统一实验设置如下：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3713"/>
      </w:tblGrid>
      <w:tr w14:paraId="1EEDF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A8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F4A7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设置</w:t>
            </w:r>
          </w:p>
        </w:tc>
      </w:tr>
      <w:tr w14:paraId="3EBB9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5BAA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基座模型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D3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同一ADV3B02地面域泛化checkpoint</w:t>
            </w:r>
          </w:p>
        </w:tc>
      </w:tr>
      <w:tr w14:paraId="3BD28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13A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 receiver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359B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20-1、3-19、7-14、7-7、8-8</w:t>
            </w:r>
          </w:p>
        </w:tc>
      </w:tr>
      <w:tr w14:paraId="638A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3E12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K-shot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E89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1、2、5、10、20</w:t>
            </w:r>
          </w:p>
        </w:tc>
      </w:tr>
      <w:tr w14:paraId="075B9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A7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随机性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D7E4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5个独立seed</w:t>
            </w:r>
          </w:p>
        </w:tc>
      </w:tr>
      <w:tr w14:paraId="3FD7A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12EB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target观测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D45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support和query均为固定LEO弱信道接收IQ</w:t>
            </w:r>
          </w:p>
        </w:tc>
      </w:tr>
      <w:tr w14:paraId="5F123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4E7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query权限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0B45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只测试，不训练、不调参、不回滚</w:t>
            </w:r>
          </w:p>
        </w:tc>
      </w:tr>
      <w:tr w14:paraId="4F315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579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方法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B3A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CDA、MRIOR-SDA、DADDA-SDA</w:t>
            </w:r>
          </w:p>
        </w:tc>
      </w:tr>
      <w:bookmarkEnd w:id="3"/>
    </w:tbl>
    <w:p w14:paraId="46104BF3">
      <w:pPr>
        <w:pStyle w:val="4"/>
        <w:keepNext/>
      </w:pPr>
      <w:r>
        <w:rPr>
          <w:rFonts w:ascii="Times New Roman" w:hAnsi="Times New Roman" w:eastAsia="宋体" w:cs="Times New Roman"/>
        </w:rPr>
        <w:t>3.2ProtoNet CDA：原型式K-shot目标域校准基线</w:t>
      </w:r>
    </w:p>
    <w:p w14:paraId="6E9F7A6E">
      <w:r>
        <w:rPr>
          <w:rFonts w:ascii="Times New Roman" w:hAnsi="Times New Roman" w:eastAsia="宋体" w:cs="Times New Roman"/>
          <w:sz w:val="22"/>
        </w:rPr>
        <w:t>Snell等人提出的Prototypical Networks原本面向训练阶段未见的新类别少样本分类[1]。本轮实验的support与query均属于Phase1已见旧类，类别不增加，只是receiver域发生变化。其特点是固定特征空间，只用target-old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3ACD12D0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加载ADV3B02的160维身份特征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f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，每个场景只读取6个旧类的K-shot target-old support。对类别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的support集合</w:t>
      </w:r>
      <m:oMath>
        <m:sSub>
          <m:sSubPr/>
          <m:e>
            <m:r>
              <m:rPr/>
              <m:t>S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，prototype是类内平方距离最小化问题的闭式解：</w:t>
      </w:r>
    </w:p>
    <w:p w14:paraId="225BD3FE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p</m:t>
              </m:r>
            </m:lim>
          </m:limLow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sSubPr/>
            <m:e>
              <m:r>
                <m:rPr/>
                <m:t>z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r>
            <m:rPr/>
            <m:t>p</m:t>
          </m:r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4D19077D">
      <w:r>
        <w:rPr>
          <w:rFonts w:ascii="Times New Roman" w:hAnsi="Times New Roman" w:eastAsia="宋体" w:cs="Times New Roman"/>
          <w:sz w:val="22"/>
        </w:rPr>
        <w:t>模型锁定后，query按欧氏距离最近的prototype分类：</w:t>
      </w:r>
    </w:p>
    <w:p w14:paraId="409C531B">
      <w:pPr>
        <w:pStyle w:val="19"/>
      </w:pPr>
      <m:oMathPara>
        <m:oMathParaPr>
          <m:jc m:val="center"/>
        </m:oMathParaPr>
        <m:oMath>
          <m:acc>
            <m:accPr/>
            <m:e>
              <m:r>
                <m:rPr/>
                <m:t>y</m:t>
              </m:r>
            </m:e>
          </m:acc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=arg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c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old</m:t>
                  </m:r>
                </m:sub>
              </m:sSub>
            </m:lim>
          </m:limLow>
          <m:r>
            <m:rPr>
              <m:sty m:val="p"/>
            </m:rPr>
            <m:t>∥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A6B2F2E">
      <w:pPr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22"/>
        </w:rPr>
        <w:t>核心局限：</w:t>
      </w:r>
      <w:r>
        <w:rPr>
          <w:rFonts w:ascii="Times New Roman" w:hAnsi="Times New Roman" w:eastAsia="宋体" w:cs="Times New Roman"/>
          <w:sz w:val="22"/>
        </w:rPr>
        <w:t xml:space="preserve"> 它只能移动类别参考点，不能修正接收机造成的特征旋转、拉伸或类内多峰，因此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>效果较差。</w:t>
      </w:r>
    </w:p>
    <w:p w14:paraId="161AE093">
      <w:pPr>
        <w:pStyle w:val="4"/>
        <w:keepNext/>
      </w:pPr>
      <w:bookmarkStart w:id="4" w:name="X079109effcc8a347f48bb306a110cf73124dc5d"/>
      <w:r>
        <w:rPr>
          <w:rFonts w:ascii="Times New Roman" w:hAnsi="Times New Roman" w:eastAsia="宋体" w:cs="Times New Roman"/>
          <w:sz w:val="26"/>
        </w:rPr>
        <w:t>3.3MRIOR-SDA：域对齐与target监督</w:t>
      </w:r>
    </w:p>
    <w:p w14:paraId="0B112AF1">
      <w:r>
        <w:rPr>
          <w:rFonts w:ascii="Times New Roman" w:hAnsi="Times New Roman" w:eastAsia="宋体" w:cs="Times New Roman"/>
          <w:sz w:val="22"/>
        </w:rPr>
        <w:t>Yang等人的MRIOR原本属于单源无监督域适应[2]。CVS版本用真实target-old support标签替代伪标签，形成监督式域适应。其特点是用可学习的DV-KL估计网络对齐source与target，同时更新完整ADV3B02身份backbone。</w:t>
      </w:r>
    </w:p>
    <w:p w14:paraId="168C5EDA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为source和target-support batch，</w:t>
      </w:r>
      <m:oMath>
        <m:sSub>
          <m:sSubPr/>
          <m:e>
            <m:r>
              <m:rPr/>
              <m:t>p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为旧类预测概率，</w:t>
      </w:r>
      <m:oMath>
        <m:sSub>
          <m:sSubPr/>
          <m:e>
            <m:r>
              <m:rPr/>
              <m:t>w</m:t>
            </m:r>
          </m:e>
          <m:sub>
            <m:r>
              <m:rPr/>
              <m:t>c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为根据target-support类别频数得到并归一化到均值1的类别权重：</w:t>
      </w:r>
    </w:p>
    <w:p w14:paraId="014D8A5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ϵ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C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ϵ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5F36193D">
      <w:r>
        <w:rPr>
          <w:rFonts w:ascii="Times New Roman" w:hAnsi="Times New Roman" w:eastAsia="宋体" w:cs="Times New Roman"/>
          <w:sz w:val="22"/>
        </w:rPr>
        <w:t>source和target的加权交叉熵为：</w:t>
      </w:r>
    </w:p>
    <w:p w14:paraId="32FB5309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wCE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m:t>log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26EDADE8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r>
              <m:rPr/>
              <m:t>T</m:t>
            </m:r>
          </m:e>
          <m:sub>
            <m:r>
              <m:rPr/>
              <m:t>ϕ</m:t>
            </m:r>
          </m:sub>
        </m:sSub>
        <m:d>
          <m:dPr>
            <m:sepChr m:val=""/>
          </m:dPr>
          <m:e>
            <m:r>
              <m:rPr/>
              <m:t>z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为DV估计网络，域差异项为：</w:t>
      </w:r>
    </w:p>
    <w:p w14:paraId="455511E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DV</m:t>
              </m:r>
              <m:r>
                <m:rPr>
                  <m:sty m:val="p"/>
                </m:rPr>
                <m:t>−</m:t>
              </m:r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s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s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−log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ϕ</m:t>
                  </m:r>
                </m:sub>
              </m:sSub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z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/>
                        <m:t>t</m:t>
                      </m:r>
                    </m:sup>
                  </m:sSubSup>
                </m:e>
              </m:d>
            </m:e>
          </m:d>
        </m:oMath>
      </m:oMathPara>
    </w:p>
    <w:p w14:paraId="4C36DD99">
      <w:r>
        <w:rPr>
          <w:rFonts w:ascii="Times New Roman" w:hAnsi="Times New Roman" w:eastAsia="宋体" w:cs="Times New Roman"/>
          <w:sz w:val="22"/>
        </w:rPr>
        <w:t>ADV3B02的外层优化目标为：</w:t>
      </w:r>
    </w:p>
    <w:p w14:paraId="388EA6B0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MRIOR-SDA</m:t>
              </m:r>
            </m:sub>
          </m:sSub>
          <m:r>
            <m:rPr>
              <m:sty m:val="p"/>
            </m:rPr>
            <m:t>=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r>
            <m:rPr/>
            <m:t>0.5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wCE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r>
            <m:rPr/>
            <m:t>0.005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DV-KL</m:t>
              </m:r>
            </m:sub>
          </m:sSub>
        </m:oMath>
      </m:oMathPara>
    </w:p>
    <w:p w14:paraId="3A3B3582">
      <w:r>
        <w:rPr>
          <w:rFonts w:ascii="Times New Roman" w:hAnsi="Times New Roman" w:eastAsia="宋体" w:cs="Times New Roman"/>
          <w:sz w:val="22"/>
        </w:rPr>
        <w:t>每个场景使用封存source LEO弱信道标签缓存和6类K-shot target-old LEO support。先用7个内层step最大化DV估计，再更新backbone；两个Adam学习率均为</w:t>
      </w:r>
      <m:oMath>
        <m:r>
          <m:rPr/>
          <m:t>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7D54DB0A">
      <w:pPr>
        <w:pStyle w:val="4"/>
        <w:keepNext/>
      </w:pPr>
      <w:bookmarkStart w:id="5" w:name="X717cebba3d9acef3bce53d9629af69d7e648448"/>
      <w:r>
        <w:rPr>
          <w:rFonts w:ascii="Times New Roman" w:hAnsi="Times New Roman" w:eastAsia="宋体" w:cs="Times New Roman"/>
          <w:sz w:val="26"/>
        </w:rPr>
        <w:t>3.4DADDA-SDA：全局与类条件动态分布对齐</w:t>
      </w:r>
    </w:p>
    <w:p w14:paraId="4F4AD56F">
      <w:r>
        <w:rPr>
          <w:rFonts w:ascii="Times New Roman" w:hAnsi="Times New Roman" w:eastAsia="宋体" w:cs="Times New Roman"/>
          <w:sz w:val="22"/>
        </w:rPr>
        <w:t>Feng等人的DADDA属于基于统计距离的跨接收机域适应[3]。其特点是同时计算全局MMD和类条件LMMD，再用数据驱动的动态分配二者权重。</w:t>
      </w:r>
    </w:p>
    <w:p w14:paraId="04163993">
      <w:pPr>
        <w:pStyle w:val="19"/>
      </w:pPr>
      <w:r>
        <w:rPr>
          <w:rFonts w:ascii="Times New Roman" w:hAnsi="Times New Roman" w:eastAsia="宋体" w:cs="Times New Roman"/>
          <w:sz w:val="22"/>
        </w:rPr>
        <w:t>source与target-support的监督分类项均采用标准交叉熵：</w:t>
      </w:r>
    </w:p>
    <w:p w14:paraId="4A40557A">
      <w:pPr>
        <w:pStyle w:val="19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</m:sub>
            <m:sup>
              <m:r>
                <m:rPr/>
                <m:t>D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D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p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  D</m:t>
          </m:r>
          <m:r>
            <m:rPr>
              <m:sty m:val="p"/>
            </m:rPr>
            <m:t>∈{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}</m:t>
          </m:r>
        </m:oMath>
      </m:oMathPara>
    </w:p>
    <w:p w14:paraId="5D41278B">
      <w:r>
        <w:rPr>
          <w:rFonts w:ascii="Times New Roman" w:hAnsi="Times New Roman" w:eastAsia="宋体" w:cs="Times New Roman"/>
          <w:sz w:val="22"/>
        </w:rPr>
        <w:t>采用RBF核：</w:t>
      </w:r>
    </w:p>
    <w:p w14:paraId="52ACFEBC">
      <w:pPr>
        <w:pStyle w:val="19"/>
      </w:pPr>
      <m:oMathPara>
        <m:oMathParaPr>
          <m:jc m:val="center"/>
        </m:oMathParaPr>
        <m:oMath>
          <m:r>
            <m:rPr/>
            <m:t>k</m:t>
          </m:r>
          <m:d>
            <m:dPr>
              <m:sepChr m:val=""/>
            </m:dPr>
            <m:e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</m:e>
          </m:d>
          <m:r>
            <m:rPr>
              <m:sty m:val="p"/>
            </m:rPr>
            <m:t>=exp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∥</m:t>
                  </m:r>
                  <m:r>
                    <m:rPr/>
                    <m:t>u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v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197877B">
      <w:r>
        <w:rPr>
          <w:rFonts w:ascii="Times New Roman" w:hAnsi="Times New Roman" w:eastAsia="宋体" w:cs="Times New Roman"/>
          <w:sz w:val="22"/>
        </w:rPr>
        <w:t>全局MMD为：</w:t>
      </w:r>
    </w:p>
    <w:p w14:paraId="26CA8938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MMD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s</m:t>
                  </m:r>
                </m:sup>
              </m:sSubSup>
            </m:e>
          </m:d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  <m:r>
                <m:rPr>
                  <m:sty m:val="p"/>
                </m:rPr>
                <m:t>′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′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s</m:t>
                  </m:r>
                </m:sub>
              </m:sSub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r>
                <m:rPr/>
                <m:t>k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s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sSubSupPr/>
                <m:e>
                  <m:r>
                    <m:rPr/>
                    <m:t>z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t</m:t>
                  </m:r>
                </m:sup>
              </m:sSubSup>
            </m:e>
          </m:d>
        </m:oMath>
      </m:oMathPara>
    </w:p>
    <w:p w14:paraId="4A36A440">
      <w:r>
        <w:rPr>
          <w:rFonts w:ascii="Times New Roman" w:hAnsi="Times New Roman" w:eastAsia="宋体" w:cs="Times New Roman"/>
          <w:sz w:val="22"/>
        </w:rPr>
        <w:t>对类别</w:t>
      </w:r>
      <m:oMath>
        <m:r>
          <m:rPr/>
          <m:t>c</m:t>
        </m:r>
      </m:oMath>
      <w:r>
        <w:rPr>
          <w:rFonts w:ascii="Times New Roman" w:hAnsi="Times New Roman" w:eastAsia="宋体" w:cs="Times New Roman"/>
          <w:sz w:val="22"/>
        </w:rPr>
        <w:t>，令</w:t>
      </w:r>
      <m:oMath>
        <m:sSubSup>
          <m:sSubSupPr/>
          <m:e>
            <m:r>
              <m:rPr/>
              <m:t>w</m:t>
            </m:r>
          </m:e>
          <m:sub>
            <m:r>
              <m:rPr/>
              <m:t>s</m:t>
            </m:r>
          </m:sub>
          <m:sup>
            <m:r>
              <m:rPr/>
              <m:t>c</m:t>
            </m:r>
          </m:sup>
        </m:sSubSup>
        <m:r>
          <m:rPr>
            <m:sty m:val="p"/>
          </m:rPr>
          <m:t>,</m:t>
        </m:r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为按该类样本数归一化的source/target-support权重，类条件LMMD为：</w:t>
      </w:r>
    </w:p>
    <w:p w14:paraId="3859D01E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LMMD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c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C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ss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t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tt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Sup>
                            <m:sSubSupPr/>
                            <m:e>
                              <m:r>
                                <m:rPr/>
                                <m:t>w</m:t>
                              </m:r>
                            </m:e>
                            <m:sub>
                              <m:r>
                                <m:rPr/>
                                <m:t>s</m:t>
                              </m:r>
                            </m:sub>
                            <m:sup>
                              <m:r>
                                <m:rPr/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st</m:t>
                      </m:r>
                    </m:sub>
                  </m:sSub>
                  <m:sSubSup>
                    <m:sSubSup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0C119764">
      <w:r>
        <w:rPr>
          <w:rFonts w:ascii="Times New Roman" w:hAnsi="Times New Roman" w:eastAsia="宋体" w:cs="Times New Roman"/>
          <w:sz w:val="22"/>
        </w:rPr>
        <w:t>动态系数和总损失分别为：</w:t>
      </w:r>
    </w:p>
    <w:p w14:paraId="461D712C">
      <w:pPr>
        <w:pStyle w:val="19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MMD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LMMD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ϵ</m:t>
              </m:r>
            </m:den>
          </m:f>
        </m:oMath>
      </m:oMathPara>
    </w:p>
    <w:p w14:paraId="6DA171BE"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DADDA-SDA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source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</m:sub>
            <m:sup>
              <m:r>
                <m:rPr>
                  <m:nor/>
                  <m:sty m:val="p"/>
                </m:rPr>
                <w:rPr>
                  <w:b w:val="0"/>
                  <w:i w:val="0"/>
                </w:rPr>
                <m:t>target-support</m:t>
              </m:r>
            </m:sup>
          </m:sSub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α</m:t>
              </m:r>
            </m:e>
          </m:d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MMD</m:t>
              </m:r>
            </m:sub>
          </m:sSub>
          <m:r>
            <m:rPr>
              <m:sty m:val="p"/>
            </m:rPr>
            <m:t>+</m:t>
          </m:r>
          <m:r>
            <m:rPr/>
            <m:t>α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LMMD-sum</m:t>
              </m:r>
            </m:sub>
          </m:sSub>
        </m:oMath>
      </m:oMathPara>
    </w:p>
    <w:p w14:paraId="3A9A0AA3">
      <w:r>
        <w:rPr>
          <w:rFonts w:ascii="Times New Roman" w:hAnsi="Times New Roman" w:eastAsia="宋体" w:cs="Times New Roman"/>
          <w:b/>
          <w:bCs/>
          <w:sz w:val="22"/>
        </w:rPr>
        <w:t>CVS执行：</w:t>
      </w:r>
      <w:r>
        <w:rPr>
          <w:rFonts w:ascii="Times New Roman" w:hAnsi="Times New Roman" w:eastAsia="宋体" w:cs="Times New Roman"/>
          <w:sz w:val="22"/>
        </w:rPr>
        <w:t xml:space="preserve"> 数据与MRIOR-SDA相同；更新完整ADV3B02身份backbone和旧类分类输出。SGD初始学习率为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、momentum为0.9、weight decay为</w:t>
      </w:r>
      <m:oMath>
        <m:r>
          <m:rPr/>
          <m:t>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，每场景200步。query不参与CE、MMD、LMMD或</w:t>
      </w:r>
      <m:oMath>
        <m:r>
          <m:rPr/>
          <m:t>α</m:t>
        </m:r>
      </m:oMath>
      <w:r>
        <w:rPr>
          <w:rFonts w:ascii="Times New Roman" w:hAnsi="Times New Roman" w:eastAsia="宋体" w:cs="Times New Roman"/>
          <w:sz w:val="22"/>
        </w:rPr>
        <w:t>估计。DADDA比MRIOR更直接地约束类条件分布，但K很小时</w:t>
      </w:r>
      <m:oMath>
        <m:sSubSup>
          <m:sSubSupPr/>
          <m:e>
            <m:r>
              <m:rPr/>
              <m:t>w</m:t>
            </m:r>
          </m:e>
          <m:sub>
            <m:r>
              <m:rPr/>
              <m:t>t</m:t>
            </m:r>
          </m:sub>
          <m:sup>
            <m:r>
              <m:rPr/>
              <m:t>c</m:t>
            </m:r>
          </m:sup>
        </m:sSubSup>
      </m:oMath>
      <w:r>
        <w:rPr>
          <w:rFonts w:ascii="Times New Roman" w:hAnsi="Times New Roman" w:eastAsia="宋体" w:cs="Times New Roman"/>
          <w:sz w:val="22"/>
        </w:rPr>
        <w:t>估计噪声较大，可能产生负迁移。</w:t>
      </w:r>
    </w:p>
    <w:bookmarkEnd w:id="5"/>
    <w:p w14:paraId="7513F33E">
      <w:pPr>
        <w:pStyle w:val="4"/>
        <w:keepNext/>
      </w:pPr>
      <w:r>
        <w:rPr>
          <w:rFonts w:ascii="Times New Roman" w:hAnsi="Times New Roman" w:eastAsia="宋体" w:cs="Times New Roman"/>
        </w:rPr>
        <w:t>3.5对比方法机制与权限对比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1167"/>
        <w:gridCol w:w="1751"/>
        <w:gridCol w:w="1937"/>
        <w:gridCol w:w="869"/>
        <w:gridCol w:w="1702"/>
        <w:gridCol w:w="1052"/>
      </w:tblGrid>
      <w:tr w14:paraId="75AA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EA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40F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方法分类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FB1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部署输入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06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更新对象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5BF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source访问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8D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计算特点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BB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本轮能否注册新类</w:t>
            </w:r>
          </w:p>
        </w:tc>
      </w:tr>
      <w:tr w14:paraId="15EAE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34E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ProtoNet CDA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7530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少样本监督DA基线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85F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49EE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9627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D60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0次backbone更新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D35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未评估</w:t>
            </w:r>
          </w:p>
        </w:tc>
      </w:tr>
      <w:tr w14:paraId="2DDA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694C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MRIOR-SDA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0D4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模型更新型监督域适应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753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7AF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完整身份backbone＋DV-KL估计网络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BD9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064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D15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tr w14:paraId="07DAB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D86B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DADDA-SDA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4A28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统计距离型监督域适应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048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source LEO缓存＋target-old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A8A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完整身份backbone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DA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是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3A20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200步/场景，3场景合计600步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D9B2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否，闭集旧类</w:t>
            </w:r>
          </w:p>
        </w:tc>
      </w:tr>
      <w:bookmarkEnd w:id="2"/>
    </w:tbl>
    <w:p w14:paraId="025EFCD4">
      <w:pPr>
        <w:pStyle w:val="4"/>
        <w:keepNext/>
      </w:pPr>
      <w:r>
        <w:rPr>
          <w:rFonts w:ascii="Times New Roman" w:hAnsi="Times New Roman" w:eastAsia="宋体" w:cs="Times New Roman"/>
        </w:rPr>
        <w:t>3.6对比方法复现实验结果</w:t>
      </w:r>
    </w:p>
    <w:p w14:paraId="07EB6167">
      <w:pPr>
        <w:pStyle w:val="19"/>
        <w:keepNext w:val="0"/>
      </w:pPr>
      <w:r>
        <w:rPr>
          <w:rFonts w:ascii="Times New Roman" w:hAnsi="Times New Roman" w:eastAsia="宋体" w:cs="Times New Roma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3978B4E3">
      <w:pPr>
        <w:pStyle w:val="5"/>
        <w:keepNext/>
      </w:pPr>
      <w:r>
        <w:rPr>
          <w:rFonts w:ascii="Times New Roman" w:hAnsi="Times New Roman" w:eastAsia="宋体" w:cs="Times New Roman"/>
        </w:rPr>
        <w:t>3.6.1总体性能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671A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CA1FAF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适应前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6F120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适应后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83F9E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平均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F8B7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正/负迁移任务</w:t>
            </w:r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6180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平均时延</w:t>
            </w:r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0BFEC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backbone更新</w:t>
            </w:r>
          </w:p>
        </w:tc>
      </w:tr>
      <w:tr w14:paraId="243DC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EBC2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80A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0E33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AA59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80E3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569D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8FF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47ED5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78E08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8EEA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B380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1EE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396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EB1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8FEE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600</w:t>
            </w:r>
          </w:p>
        </w:tc>
      </w:tr>
      <w:tr w14:paraId="05A3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B67A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000B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78157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8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1959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0633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FF9F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</w:tr>
    </w:tbl>
    <w:p w14:paraId="0CA1A6DF">
      <w:pPr>
        <w:pStyle w:val="19"/>
        <w:keepNext w:val="0"/>
      </w:pPr>
      <w:r>
        <w:rPr>
          <w:rFonts w:ascii="Times New Roman" w:hAnsi="Times New Roman" w:eastAsia="宋体" w:cs="Times New Roman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5FBB1334">
      <w:pPr>
        <w:pStyle w:val="5"/>
        <w:keepNext/>
      </w:pPr>
      <w:r>
        <w:rPr>
          <w:rFonts w:ascii="Times New Roman" w:hAnsi="Times New Roman" w:eastAsia="宋体" w:cs="Times New Roman"/>
        </w:rPr>
        <w:t>3.6.2不同K-shot下的结果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06"/>
        <w:gridCol w:w="2106"/>
        <w:gridCol w:w="2059"/>
        <w:gridCol w:w="2153"/>
      </w:tblGrid>
      <w:tr w14:paraId="243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EB15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7578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E0938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49BF7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78E39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7FB3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8BC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40B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464A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4BC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0F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58.67%</w:t>
            </w:r>
          </w:p>
        </w:tc>
      </w:tr>
      <w:tr w14:paraId="6525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C693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5A81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DED7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64F7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61BA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64.70%</w:t>
            </w:r>
          </w:p>
        </w:tc>
      </w:tr>
      <w:tr w14:paraId="7694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D42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8029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0ED0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E14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A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68.98%</w:t>
            </w:r>
          </w:p>
        </w:tc>
      </w:tr>
      <w:tr w14:paraId="3F69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DD6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EC52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3802E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ACA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14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70.42%</w:t>
            </w:r>
          </w:p>
        </w:tc>
      </w:tr>
      <w:tr w14:paraId="4CC91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229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823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9A6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4094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730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71.48%</w:t>
            </w:r>
          </w:p>
        </w:tc>
      </w:tr>
    </w:tbl>
    <w:p w14:paraId="7BCE328B">
      <w:pPr>
        <w:pStyle w:val="19"/>
        <w:keepNext w:val="0"/>
      </w:pPr>
      <w:r>
        <w:rPr>
          <w:rFonts w:ascii="Times New Roman" w:hAnsi="Times New Roman" w:eastAsia="宋体" w:cs="Times New Roman"/>
        </w:rPr>
        <w:t>K从1增加到20时，MRIOR-SDA与DADDA-SDA持续受益，说明更多target support提高了梯度估计和类条件分布估计的稳定性。ProtoNet CDA也随K增加而改善，但K=20时仍低于直接ADV3B02。</w:t>
      </w:r>
    </w:p>
    <w:p w14:paraId="7930FEE2">
      <w:pPr>
        <w:pStyle w:val="5"/>
        <w:keepNext/>
      </w:pPr>
      <w:r>
        <w:rPr>
          <w:rFonts w:ascii="Times New Roman" w:hAnsi="Times New Roman" w:eastAsia="宋体" w:cs="Times New Roman"/>
        </w:rPr>
        <w:t>3.6.3不同target receiver下的结果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918"/>
        <w:gridCol w:w="1918"/>
        <w:gridCol w:w="1918"/>
        <w:gridCol w:w="1922"/>
      </w:tblGrid>
      <w:tr w14:paraId="2E79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90B893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A849D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直接ADV3B02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6CEB71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43F77C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0095D5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7"/>
              </w:rPr>
              <w:t>ProtoNet CDA</w:t>
            </w:r>
          </w:p>
        </w:tc>
      </w:tr>
      <w:tr w14:paraId="2F4C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FA67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14E5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8ECB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9EA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B274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60.98%</w:t>
            </w:r>
          </w:p>
        </w:tc>
      </w:tr>
      <w:tr w14:paraId="594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96B1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C32C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109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7D1BF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187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48.50%</w:t>
            </w:r>
          </w:p>
        </w:tc>
      </w:tr>
      <w:tr w14:paraId="2E9D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9E122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B2349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7C5F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E03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D62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83.53%</w:t>
            </w:r>
          </w:p>
        </w:tc>
      </w:tr>
      <w:tr w14:paraId="3AEC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8C69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36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BE4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0E7B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CAA2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74.81%</w:t>
            </w:r>
          </w:p>
        </w:tc>
      </w:tr>
      <w:tr w14:paraId="08E0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24DB0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18EF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E572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C8D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DD9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66.42%</w:t>
            </w:r>
          </w:p>
        </w:tc>
      </w:tr>
    </w:tbl>
    <w:p w14:paraId="39BABBA1">
      <w:pPr>
        <w:pStyle w:val="19"/>
        <w:keepNext w:val="0"/>
      </w:pPr>
      <w:r>
        <w:rPr>
          <w:rFonts w:ascii="Times New Roman" w:hAnsi="Times New Roman" w:eastAsia="宋体" w:cs="Times New Roman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3.6.4qKNN Stage2-B域适应实验结果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qKNN的Stage2-B状态读取6个旧类的K-shot target support，在注册任何新类之前完成旧类目标域适配。原始artifact将该指标记为B-old；为避免把“注册前”误解成“尚未域适应”，本节统一记为S2B-old。下表按K、target receiver和LEO弱信道场景列出S2B-old，每个单元格为5个seed（713102–713106）的均值。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872"/>
        <w:gridCol w:w="1591"/>
        <w:gridCol w:w="1778"/>
        <w:gridCol w:w="1591"/>
        <w:gridCol w:w="1873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target receiver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clear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low-elev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rain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三场景均值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66.500%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43.333%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52.667%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49.611%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74.167%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75.611%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63.833%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67.167%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65.167%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66.889%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87.667%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77.667%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81.944%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90.333%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85.500%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82.444%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85.033%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80.400%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78.367%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20-1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93.000%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88.000%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89.167%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3-19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76.000%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71.500%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73.333%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7-14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91.333%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86.278%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7-7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96.833%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96.333%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94.167%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95.778%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8-8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91.167%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83.833%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83.000%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86.000%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87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5接收机总体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89.667%</w:t>
            </w:r>
          </w:p>
        </w:tc>
        <w:tc>
          <w:tcPr>
            <w:tcW w:type="dxa" w:w="177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84.733%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83.933%</w:t>
            </w:r>
          </w:p>
        </w:tc>
        <w:tc>
          <w:tcPr>
            <w:tcW w:type="dxa" w:w="18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的Stage2-B域适应准确率随support由K=1增加到K=5、K=10而提升：5个接收机三场景总体均值依次为68.144%、81.267%和86.111%。同一K下，clear场景总体最高，low-elev与rain场景更低；接收机3-19始终最弱，K=10时三场景均值仍仅73.333%，说明接收机域偏移和弱信道扰动尚未被完全消除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3.6.5qKNN与域适应方法的共同LEO场景对照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下表将qKNN的S2B-old与相同三类LEO弱信道场景下的域适应对比方法并列。域适应矩阵使用5个receiver、seed 713101–713105，qKNN使用5个receiver和seed 713102–713106；两套矩阵的seed集合及artifact没有严格一一配对，因此只作描述性比较，不计算paired显著性。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"/>
        <w:gridCol w:w="1591"/>
        <w:gridCol w:w="1591"/>
        <w:gridCol w:w="1591"/>
        <w:gridCol w:w="1591"/>
        <w:gridCol w:w="2341"/>
      </w:tblGrid>
      <w:tr>
        <w:trPr>
          <w:tblHeader w:val="true"/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K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直接ADV3B02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MRIOR-SDA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DADDA-SDA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ProtoNet CDA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6"/>
              </w:rPr>
              <w:t>qKNN Stage2-B旧类准确率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69.88%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72.58%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59.47%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68.144%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79.17%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76.74%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70.28%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81.267%</w:t>
            </w:r>
          </w:p>
        </w:tc>
      </w:tr>
      <w:tr>
        <w:trPr>
          <w:cantSplit/>
        </w:trPr>
        <w:tc>
          <w:tcPr>
            <w:tcW w:type="dxa" w:w="6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75.21%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84.50%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79.36%</w:t>
            </w:r>
          </w:p>
        </w:tc>
        <w:tc>
          <w:tcPr>
            <w:tcW w:type="dxa" w:w="159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70.86%</w:t>
            </w:r>
          </w:p>
        </w:tc>
        <w:tc>
          <w:tcPr>
            <w:tcW w:type="dxa" w:w="234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6"/>
              </w:rPr>
              <w:t>86.111%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在这一描述性口径下，qKNN的Stage2-B旧类准确率在K=5和K=10时分别为81.267%和86.111%，高于同表中的三个论文适配头；K=1时MRIOR-SDA为69.88%，高于qKNN的68.144%。这里比较的是完成旧类support域适应后的S2B-old，而不是Phase1模型直接推理结果。此时尚未加入新类，qKNN的旧/新任务均衡协方差也尚未启用；数值反映qKNN的旧类support稳健状态构造，不能归因于Stage2-C均衡模块。</w:t>
      </w:r>
    </w:p>
    <w:p w14:paraId="6E624E4E">
      <w:pPr>
        <w:pStyle w:val="5"/>
        <w:keepNext/>
      </w:pPr>
      <w:r>
        <w:rPr>
          <w:rFonts w:ascii="Times New Roman" w:hAnsi="Times New Roman" w:cs="Times New Roman" w:eastAsia="宋体"/>
        </w:rPr>
        <w:t>3.6.6结果边界</w:t>
      </w:r>
    </w:p>
    <w:p w14:paraId="591314C4">
      <w:pPr>
        <w:pStyle w:val="19"/>
        <w:keepNext w:val="0"/>
      </w:pPr>
      <w:r>
        <w:rPr>
          <w:rFonts w:ascii="Times New Roman" w:hAnsi="Times New Roman" w:cs="Times New Roman" w:eastAsia="宋体"/>
        </w:rPr>
        <w:t>ProtoNet CDA只读取target-old support并闭式更新prototype；MRIOR-SDA和DADDA-SDA还读取封存source LEO弱信道标签缓存并更新完整backbone。因此三者可以比较机制与适应趋势，但权限和计算代价并不完全相同；这些结果不能直接证明support-only的Phase2主方法已经解决旧类域适应。qKNN补充表只报告完成旧类域适配后的Stage2-B状态，不应被解释为新类注册结果。</w:t>
      </w:r>
    </w:p>
    <w:p w14:paraId="25988F7C">
      <w:pPr>
        <w:pStyle w:val="3"/>
        <w:keepNext/>
        <w:pageBreakBefore w:val="0"/>
      </w:pPr>
      <w:bookmarkStart w:id="6" w:name="X2464148e56484ad46d4959199fb3b49214b217b"/>
      <w:r>
        <w:rPr>
          <w:rFonts w:ascii="Times New Roman" w:hAnsi="Times New Roman" w:eastAsia="宋体" w:cs="Times New Roman"/>
          <w:sz w:val="32"/>
        </w:rPr>
        <w:t>4.Stage2-C：少样本类增量仿真实验</w:t>
      </w:r>
    </w:p>
    <w:p w14:paraId="5A8DC836">
      <w:pPr>
        <w:pStyle w:val="4"/>
        <w:keepNext/>
      </w:pPr>
      <w:bookmarkStart w:id="7" w:name="Xe41a15347bd3fd3b4101ce2aaa7c7c4b55233d0"/>
      <w:r>
        <w:rPr>
          <w:rFonts w:ascii="Times New Roman" w:hAnsi="Times New Roman" w:eastAsia="宋体" w:cs="Times New Roman"/>
          <w:sz w:val="26"/>
        </w:rPr>
        <w:t>4.1仿真问题、代码口径与数据</w:t>
      </w:r>
    </w:p>
    <w:p w14:paraId="0572DD72">
      <w:r>
        <w:rPr>
          <w:rFonts w:ascii="Times New Roman" w:hAnsi="Times New Roman" w:eastAsia="宋体" w:cs="Times New Roman"/>
          <w:sz w:val="22"/>
        </w:rPr>
        <w:t>Stage2-C在同一target receiver中注册新类，并要求旧类与新类在同一输出空间统一竞争，因此它是跨域FSCIL。本轮每个cell只执行一次新类集合注册，编码器接口替换为ADV3B02的160维，其余训练器、损失和更新范围按官方实现保留。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3788"/>
        <w:gridCol w:w="4282"/>
      </w:tblGrid>
      <w:tr w14:paraId="264D0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48C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环节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50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43C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68A85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5329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Phase2前基座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7135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5879条source base train＋2521条Fisher validation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397AF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8400条source base训练并保存6个旧类prototype</w:t>
            </w:r>
          </w:p>
        </w:tc>
      </w:tr>
      <w:tr w14:paraId="13341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5C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Phase2真实训练数据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AEEC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861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当前cell的target-new K-shot support</w:t>
            </w:r>
          </w:p>
        </w:tc>
      </w:tr>
      <w:tr w14:paraId="0263E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500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query作用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11E3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0E7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旧类测遗忘、新类测注册；均不参与训练</w:t>
            </w:r>
          </w:p>
        </w:tc>
      </w:tr>
      <w:tr w14:paraId="03229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1C40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冻结矩阵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BBDBF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K=5、10、20；新类规模1、3、20（周报列出9个正式配置）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D1A9">
            <w:pPr>
              <w:spacing w:before="0" w:after="0"/>
            </w:pPr>
            <w:r>
              <w:rPr>
                <w:rFonts w:ascii="Times New Roman" w:hAnsi="Times New Roman" w:eastAsia="宋体" w:cs="Times New Roman"/>
                <w:sz w:val="18"/>
              </w:rPr>
              <w:t>K=5、10、20；新类规模1、3、5、10、25（周报列出15个正式配置）</w:t>
            </w:r>
          </w:p>
        </w:tc>
      </w:tr>
    </w:tbl>
    <w:p w14:paraId="02838563">
      <w:pPr>
        <w:pStyle w:val="19"/>
      </w:pPr>
      <w:r>
        <w:rPr>
          <w:rFonts w:ascii="Times New Roman" w:hAnsi="Times New Roman" w:eastAsia="宋体" w:cs="Times New Roman"/>
          <w:sz w:val="22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query均只用于模型冻结后的统一评价，不能参与训练、调参、回滚或阈值选择。实验属于“官方方法语义＋CVS基座/数据接口适配”，不是原论文数据集数值复现。</w:t>
      </w:r>
    </w:p>
    <w:bookmarkEnd w:id="7"/>
    <w:p w14:paraId="2965CDD7">
      <w:pPr>
        <w:pStyle w:val="4"/>
        <w:keepNext/>
      </w:pPr>
      <w:bookmarkStart w:id="8" w:name="Xa5c3c5dc97a1f787a3a9294b6bba64696e83dab"/>
      <w:r>
        <w:rPr>
          <w:rFonts w:ascii="Times New Roman" w:hAnsi="Times New Roman" w:eastAsia="宋体" w:cs="Times New Roman"/>
          <w:sz w:val="26"/>
        </w:rPr>
        <w:t>4.2CSIL：通道隔离型无exemplar类增量学习</w:t>
      </w:r>
    </w:p>
    <w:p w14:paraId="174DC5CA">
      <w:r>
        <w:rPr>
          <w:rFonts w:ascii="Times New Roman" w:hAnsi="Times New Roman" w:eastAsia="宋体" w:cs="Times New Roman"/>
          <w:sz w:val="22"/>
        </w:rPr>
        <w:t>Liu等人提出的CSIL属于无exemplar、结构扩展型类增量方法[4]。其特点是冻结ADV3B02 backbone，以通道扩展和mask限制新类更新，再用EWC与KD保护旧类响应。</w:t>
      </w:r>
    </w:p>
    <w:p w14:paraId="6490F907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进入Phase2前，5879条source样本训练fc_bf_fp→zero-bias Fingerprints基座，2521条互斥source样本估计Fisher。Phase2只用target-new support训练；ADV3B02冻结，fc只更新新增行和bias，fingerprint只允许old-old与new-new块更新，两个交叉块保持为0。</w:t>
      </w:r>
    </w:p>
    <w:p w14:paraId="257B406D">
      <w:pPr>
        <w:pStyle w:val="19"/>
      </w:pPr>
      <w:r>
        <w:rPr>
          <w:rFonts w:ascii="Times New Roman" w:hAnsi="Times New Roman" w:eastAsia="宋体" w:cs="Times New Roman"/>
          <w:sz w:val="22"/>
        </w:rPr>
        <w:t>记</w:t>
      </w:r>
      <m:oMath>
        <m:sSub>
          <m:sSubPr/>
          <m:e>
            <m:r>
              <m:rPr/>
              <m:t>B</m:t>
            </m:r>
          </m:e>
          <m:sub>
            <m:r>
              <m:rPr/>
              <m:t>new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为新类support训练batch，</w:t>
      </w:r>
      <m:oMath>
        <m:sSub>
          <m:sSubPr/>
          <m:e>
            <m:r>
              <m:rPr/>
              <m:t>q</m:t>
            </m:r>
          </m:e>
          <m:sub>
            <m:r>
              <m:rPr/>
              <m:t>θ</m:t>
            </m:r>
          </m:sub>
        </m:sSub>
        <m:d>
          <m:dPr>
            <m:sepChr m:val=""/>
          </m:dPr>
          <m:e>
            <m:r>
              <m:rPr/>
              <m:t>c</m:t>
            </m:r>
            <m:r>
              <m:rPr>
                <m:sty m:val="p"/>
              </m:rPr>
              <m:t>|</m:t>
            </m:r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为全部注册类概率。新类交叉熵为：</w:t>
      </w:r>
    </w:p>
    <w:p w14:paraId="0CBDE716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16D3D3A7">
      <w:r>
        <w:rPr>
          <w:rFonts w:ascii="Times New Roman" w:hAnsi="Times New Roman" w:eastAsia="宋体" w:cs="Times New Roman"/>
          <w:sz w:val="22"/>
        </w:rPr>
        <w:t>EWC使用Phase2前参数</w:t>
      </w:r>
      <m:oMath>
        <m:sSup>
          <m:sSupPr/>
          <m:e>
            <m:r>
              <m:rPr/>
              <m:t>θ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Times New Roman" w:hAnsi="Times New Roman" w:eastAsia="宋体" w:cs="Times New Roman"/>
          <w:sz w:val="22"/>
        </w:rPr>
        <w:t>和Fisher重要性</w:t>
      </w:r>
      <m:oMath>
        <m:sSub>
          <m:sSubPr/>
          <m:e>
            <m:r>
              <m:rPr/>
              <m:t>F</m:t>
            </m:r>
          </m:e>
          <m:sub>
            <m:r>
              <m:rPr/>
              <m:t>j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：</w:t>
      </w:r>
    </w:p>
    <w:p w14:paraId="7A6C191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EWC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j</m:t>
                  </m:r>
                </m:sub>
              </m:sSub>
            </m:e>
          </m:nary>
          <m:sSup>
            <m:s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4BCEC476">
      <w:r>
        <w:rPr>
          <w:rFonts w:ascii="Times New Roman" w:hAnsi="Times New Roman" w:eastAsia="宋体" w:cs="Times New Roman"/>
          <w:sz w:val="22"/>
        </w:rPr>
        <w:t>令</w:t>
      </w:r>
      <m:oMath>
        <m:sSubSup>
          <m:sSubSupPr/>
          <m:e>
            <m:r>
              <m:rPr/>
              <m:t>r</m:t>
            </m:r>
          </m:e>
          <m:sub>
            <m:r>
              <m:rPr/>
              <m:t>old</m:t>
            </m:r>
          </m:sub>
          <m:sup>
            <m:r>
              <m:rPr>
                <m:sty m:val="p"/>
              </m:rPr>
              <m:t>∗</m:t>
            </m:r>
          </m:sup>
        </m:sSubSup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和</w:t>
      </w:r>
      <m:oMath>
        <m:sSub>
          <m:sSubPr/>
          <m:e>
            <m:r>
              <m:rPr/>
              <m:t>r</m:t>
            </m:r>
          </m:e>
          <m:sub>
            <m:r>
              <m:rPr/>
              <m:t>old</m:t>
            </m:r>
          </m:sub>
        </m:sSub>
        <m:d>
          <m:dPr>
            <m:sepChr m:val=""/>
          </m:dPr>
          <m:e>
            <m:r>
              <m:rPr/>
              <m:t>x</m:t>
            </m:r>
          </m:e>
        </m:d>
      </m:oMath>
      <w:r>
        <w:rPr>
          <w:rFonts w:ascii="Times New Roman" w:hAnsi="Times New Roman" w:eastAsia="宋体" w:cs="Times New Roman"/>
          <w:sz w:val="22"/>
        </w:rPr>
        <w:t>为旧模型与当前模型的旧类fingerprint响应，官方KD为：</w:t>
      </w:r>
    </w:p>
    <w:p w14:paraId="190F531C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KD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sSubSup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−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old</m:t>
              </m:r>
            </m:sub>
          </m:sSub>
          <m:d>
            <m:dPr>
              <m:sepChr m:val=""/>
            </m:dPr>
            <m:e>
              <m:r>
                <m:rPr/>
                <m:t>x</m:t>
              </m:r>
            </m:e>
          </m:d>
          <m:sSubSup>
            <m:sSubSup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60A18EC2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239F4AAA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CSIL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EWC</m:t>
              </m:r>
            </m:sub>
          </m:sSub>
          <m:r>
            <m:rPr>
              <m:sty m:val="p"/>
            </m:rPr>
            <m:t>+</m:t>
          </m:r>
          <m:r>
            <m:rPr/>
            <m:t>0.2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KD</m:t>
              </m:r>
            </m:sub>
          </m:sSub>
        </m:oMath>
      </m:oMathPara>
    </w:p>
    <w:p w14:paraId="03C8F3F9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3个epoch、batch size 20、drop_last=True，手工SGDM学习率为</w:t>
      </w:r>
      <m:oMath>
        <m:r>
          <m:rPr/>
          <m:t>0.01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r>
              <m:rPr/>
              <m:t>0.01t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。query用zero-bias全注册类argmax，训练步数为0。该方法旧类约束最强，但低K时可能没有完整batch，或者新类更新被旧类约束压制。</w:t>
      </w:r>
    </w:p>
    <w:bookmarkEnd w:id="8"/>
    <w:p w14:paraId="20EDCCBB">
      <w:pPr>
        <w:pStyle w:val="4"/>
        <w:keepNext/>
      </w:pPr>
      <w:bookmarkStart w:id="9" w:name="X71f2e484c158983947a2c66dcb2ce360d6afc56"/>
      <w:r>
        <w:rPr>
          <w:rFonts w:ascii="Times New Roman" w:hAnsi="Times New Roman" w:eastAsia="宋体" w:cs="Times New Roman"/>
          <w:sz w:val="26"/>
        </w:rPr>
        <w:t>4.3MoPC-HR：prototype校正与分层正则化</w:t>
      </w:r>
    </w:p>
    <w:p w14:paraId="31C19E8D">
      <w:r>
        <w:rPr>
          <w:rFonts w:ascii="Times New Roman" w:hAnsi="Times New Roman" w:eastAsia="宋体" w:cs="Times New Roman"/>
          <w:sz w:val="22"/>
        </w:rPr>
        <w:t>Li等人提出的MoPC-HR属于无exemplar、prototype校正型类增量方法[5]。其特点是允许完整ADV3B02随新类support更新，同时用旧prototype伪特征和分层参数正则限制遗忘。</w:t>
      </w:r>
    </w:p>
    <w:p w14:paraId="2725693E">
      <w:pPr>
        <w:pStyle w:val="19"/>
      </w:pPr>
      <w:r>
        <w:rPr>
          <w:rFonts w:ascii="Times New Roman" w:hAnsi="Times New Roman" w:eastAsia="宋体" w:cs="Times New Roman"/>
          <w:b/>
          <w:bCs/>
          <w:sz w:val="22"/>
        </w:rPr>
        <w:t>CVS数据与更新：</w:t>
      </w:r>
      <w:r>
        <w:rPr>
          <w:rFonts w:ascii="Times New Roman" w:hAnsi="Times New Roman" w:eastAsia="宋体" w:cs="Times New Roman"/>
          <w:sz w:val="22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m:t>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0.05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I</m:t>
            </m:r>
          </m:e>
        </m:d>
      </m:oMath>
      <w:r>
        <w:rPr>
          <w:rFonts w:ascii="Times New Roman" w:hAnsi="Times New Roman" w:eastAsia="宋体" w:cs="Times New Roman"/>
          <w:sz w:val="22"/>
        </w:rPr>
        <w:t>。ADV3B02 backbone和Linear classifier均更新。</w:t>
      </w:r>
    </w:p>
    <w:p w14:paraId="56141708">
      <w:pPr>
        <w:pStyle w:val="19"/>
      </w:pPr>
      <w:r>
        <w:rPr>
          <w:rFonts w:ascii="Times New Roman" w:hAnsi="Times New Roman" w:eastAsia="宋体" w:cs="Times New Roman"/>
          <w:sz w:val="22"/>
        </w:rPr>
        <w:t>新类真实样本交叉熵为：</w:t>
      </w:r>
    </w:p>
    <w:p w14:paraId="16F325B7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CE</m:t>
              </m:r>
              <m:r>
                <m:rPr>
                  <m:sty m:val="p"/>
                </m:rPr>
                <m:t>,</m:t>
              </m:r>
              <m:r>
                <m:rPr/>
                <m:t>new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</m:naryPr>
            <m: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new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sSubPr/>
            <m:e>
              <m:r>
                <m:rPr/>
                <m:t>q</m:t>
              </m:r>
            </m:e>
            <m:sub>
              <m:r>
                <m:rPr/>
                <m:t>θ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4AEE8C1B">
      <w:r>
        <w:rPr>
          <w:rFonts w:ascii="Times New Roman" w:hAnsi="Times New Roman" w:eastAsia="宋体" w:cs="Times New Roman"/>
          <w:sz w:val="22"/>
        </w:rPr>
        <w:t>令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z</m:t>
                </m:r>
              </m:e>
            </m:acc>
          </m:e>
          <m:sub>
            <m:r>
              <m:rPr/>
              <m:t>r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p</m:t>
            </m:r>
          </m:e>
          <m: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r</m:t>
                </m:r>
              </m:sub>
            </m:sSub>
          </m:sub>
        </m:sSub>
        <m:r>
          <m:rPr>
            <m:sty m:val="p"/>
          </m:rPr>
          <m:t>+</m:t>
        </m:r>
        <m:sSub>
          <m:sSubPr/>
          <m:e>
            <m:r>
              <m:rPr/>
              <m:t>ϵ</m:t>
            </m:r>
          </m:e>
          <m:sub>
            <m:r>
              <m:rPr/>
              <m:t>r</m:t>
            </m:r>
          </m:sub>
        </m:sSub>
      </m:oMath>
      <w:r>
        <w:rPr>
          <w:rFonts w:ascii="Times New Roman" w:hAnsi="Times New Roman" w:eastAsia="宋体" w:cs="Times New Roman"/>
          <w:sz w:val="22"/>
        </w:rPr>
        <w:t>为增强后的旧类prototype，温度</w:t>
      </w:r>
      <m:oMath>
        <m:r>
          <m:rPr/>
          <m:t>τ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ascii="Times New Roman" w:hAnsi="Times New Roman" w:eastAsia="宋体" w:cs="Times New Roman"/>
          <w:sz w:val="22"/>
        </w:rPr>
        <w:t>，prototype augmentation损失为：</w:t>
      </w:r>
    </w:p>
    <w:p w14:paraId="789521B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protoAug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r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p</m:t>
                  </m:r>
                </m:sub>
              </m:sSub>
            </m:sup>
            <m:e>
              <m:r>
                <m:rPr>
                  <m:sty m:val="p"/>
                </m:rPr>
                <m:t>log</m:t>
              </m:r>
            </m:e>
          </m:nary>
          <m:r>
            <m:rPr/>
            <m:t>softmax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θ</m:t>
                          </m:r>
                        </m:sub>
                      </m:sSub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rPr/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/>
                        <m:t>τ</m:t>
                      </m:r>
                    </m:den>
                  </m:f>
                </m:e>
              </m:d>
            </m:e>
            <m:sub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r</m:t>
                  </m:r>
                </m:sub>
              </m:sSub>
            </m:sub>
          </m:sSub>
        </m:oMath>
      </m:oMathPara>
    </w:p>
    <w:p w14:paraId="4E86CB15">
      <w:r>
        <w:rPr>
          <w:rFonts w:ascii="Times New Roman" w:hAnsi="Times New Roman" w:eastAsia="宋体" w:cs="Times New Roman"/>
          <w:sz w:val="22"/>
        </w:rPr>
        <w:t>公开trainer对第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宋体" w:cs="Times New Roman"/>
          <w:sz w:val="22"/>
        </w:rPr>
        <w:t>组参数使用递减系数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d>
          <m:dPr>
            <m:sepChr m:val=""/>
          </m:dPr>
          <m:e>
            <m:r>
              <m:rPr>
                <m:sty m:val="p"/>
              </m:rPr>
              <m:t>ℓ−</m:t>
            </m:r>
            <m:r>
              <m:rPr/>
              <m:t>1</m:t>
            </m:r>
          </m:e>
        </m:d>
        <m:r>
          <m:rPr>
            <m:sty m:val="p"/>
          </m:rPr>
          <m:t>/</m:t>
        </m:r>
        <m:r>
          <m:rPr/>
          <m:t>L</m:t>
        </m:r>
      </m:oMath>
      <w:r>
        <w:rPr>
          <w:rFonts w:ascii="Times New Roman" w:hAnsi="Times New Roman" w:eastAsia="宋体" w:cs="Times New Roman"/>
          <w:sz w:val="22"/>
        </w:rPr>
        <w:t>，分层正则为：</w:t>
      </w:r>
    </w:p>
    <w:p w14:paraId="54942E62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HR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>
                  <m:sty m:val="p"/>
                </m:rPr>
                <m:t>ℓ=</m:t>
              </m:r>
              <m:r>
                <m:rPr/>
                <m:t>1</m:t>
              </m:r>
            </m:sub>
            <m:sup>
              <m:r>
                <m:rPr/>
                <m:t>L</m:t>
              </m:r>
            </m:sup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−</m:t>
          </m:r>
          <m:sSubSup>
            <m:sSubSup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ℓ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∥</m:t>
              </m:r>
            </m:e>
            <m:sub>
              <m:r>
                <m:rPr/>
                <m:t>2</m:t>
              </m:r>
            </m:sub>
          </m:sSub>
        </m:oMath>
      </m:oMathPara>
    </w:p>
    <w:p w14:paraId="7CD82318">
      <w:r>
        <w:rPr>
          <w:rFonts w:ascii="Times New Roman" w:hAnsi="Times New Roman" w:eastAsia="宋体" w:cs="Times New Roman"/>
          <w:sz w:val="22"/>
        </w:rPr>
        <w:t>实际执行总损失为：</w:t>
      </w:r>
    </w:p>
    <w:p w14:paraId="0058A284">
      <w:pPr>
        <w:pStyle w:val="19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MoPC-HR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CE,new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protoAug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HR</m:t>
              </m:r>
            </m:sub>
          </m:sSub>
        </m:oMath>
      </m:oMathPara>
    </w:p>
    <w:p w14:paraId="3E698ECB">
      <w:r>
        <w:rPr>
          <w:rFonts w:ascii="Times New Roman" w:hAnsi="Times New Roman" w:eastAsia="宋体" w:cs="Times New Roman"/>
          <w:sz w:val="22"/>
        </w:rPr>
        <w:t>公开代码还计算KD用于日志，但KD不进入总loss。训练后prototype校正为：</w:t>
      </w:r>
    </w:p>
    <w:p w14:paraId="46DA55D6">
      <w:pPr>
        <w:pStyle w:val="19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=</m:t>
          </m:r>
          <m:r>
            <m:rPr/>
            <m:t>0.97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old</m:t>
              </m:r>
            </m:sub>
          </m:sSub>
          <m:r>
            <m:rPr>
              <m:sty m:val="p"/>
            </m:rPr>
            <m:t>+</m:t>
          </m:r>
          <m:r>
            <m:rPr/>
            <m:t>0.03softmax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old</m:t>
                  </m:r>
                </m:sub>
              </m:sSub>
              <m:sSup>
                <m:sSupPr/>
                <m:e>
                  <m:d>
                    <m:dPr>
                      <m:sepChr m:val=""/>
                    </m:dPr>
                    <m:e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∗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new</m:t>
                  </m:r>
                </m:sub>
                <m:sup>
                  <m:r>
                    <m:rPr>
                      <m:sty m:val="p"/>
                    </m:rPr>
                    <m:t>∗</m:t>
                  </m:r>
                </m:sup>
              </m:sSubSup>
            </m:e>
          </m:d>
        </m:oMath>
      </m:oMathPara>
    </w:p>
    <w:p w14:paraId="1BDC43F1">
      <w:r>
        <w:rPr>
          <w:rFonts w:ascii="Times New Roman" w:hAnsi="Times New Roman" w:eastAsia="宋体" w:cs="Times New Roman"/>
          <w:b/>
          <w:bCs/>
          <w:sz w:val="22"/>
        </w:rPr>
        <w:t>执行特点：</w:t>
      </w:r>
      <w:r>
        <w:rPr>
          <w:rFonts w:ascii="Times New Roman" w:hAnsi="Times New Roman" w:eastAsia="宋体" w:cs="Times New Roman"/>
          <w:sz w:val="22"/>
        </w:rPr>
        <w:t xml:space="preserve"> 20个epoch、batch size 16、SGD学习率0.01。正式CVS query仍使用当前模型的全注册类classifier logits，而不是校正prototype。该方法新类可塑性强于CSIL，但完整backbone更新会放大旧类遗忘。</w:t>
      </w:r>
    </w:p>
    <w:bookmarkEnd w:id="9"/>
    <w:p w14:paraId="48787FDB">
      <w:pPr>
        <w:pStyle w:val="4"/>
        <w:keepNext/>
      </w:pPr>
      <w:bookmarkStart w:id="10" w:name="X5001bd00c1e45a019c9ebc60a72c3cd7b05aeed"/>
      <w:r>
        <w:rPr>
          <w:rFonts w:ascii="Times New Roman" w:hAnsi="Times New Roman" w:eastAsia="宋体" w:cs="Times New Roman"/>
          <w:sz w:val="26"/>
        </w:rPr>
        <w:t>4.4CSIL与MoPC-HR机制对比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3597"/>
        <w:gridCol w:w="4200"/>
      </w:tblGrid>
      <w:tr w14:paraId="27DCF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BD7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比较维度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44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CSIL</w:t>
            </w:r>
          </w:p>
        </w:tc>
        <w:tc>
          <w:tcPr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083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</w:rPr>
              <w:t>MoPC-HR</w:t>
            </w:r>
          </w:p>
        </w:tc>
      </w:tr>
      <w:tr w14:paraId="30498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1168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主要方法类别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8B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结构扩展与通道隔离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711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prototype校正与分层正则</w:t>
            </w:r>
          </w:p>
        </w:tc>
      </w:tr>
      <w:tr w14:paraId="51D08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B51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历史原始样本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7DF3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B56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不保存</w:t>
            </w:r>
          </w:p>
        </w:tc>
      </w:tr>
      <w:tr w14:paraId="03AF9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7AE2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Phase2真实训练样本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00F2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AC7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target-new support＋旧prototype伪特征</w:t>
            </w:r>
          </w:p>
        </w:tc>
      </w:tr>
      <w:tr w14:paraId="76960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6D8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保留的历史状态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CFB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旧模型、fingerprint结构、Fisher重要参数统计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C9B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旧类prototype、旧模型参数</w:t>
            </w:r>
          </w:p>
        </w:tc>
      </w:tr>
      <w:tr w14:paraId="1CB4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4A1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ADV3B02增量更新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8431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冻结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7AF2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不冻结</w:t>
            </w:r>
          </w:p>
        </w:tc>
      </w:tr>
      <w:tr w14:paraId="61B1C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CE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实际损失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9A5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CE-new＋EWC＋0.2KD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34F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CE-new＋protoAug＋逐参数非平方L2 HR；KD仅记录</w:t>
            </w:r>
          </w:p>
        </w:tc>
      </w:tr>
      <w:tr w14:paraId="45DA1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D08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旧类保护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4C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mask、冻结、KD、EWC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ED9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prototype增强、HR、旧参数参考</w:t>
            </w:r>
          </w:p>
        </w:tc>
      </w:tr>
      <w:tr w14:paraId="6D284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19AB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最终query规则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79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zero-bias全注册类argmax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636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当前模型全注册类classifier logits argmax</w:t>
            </w:r>
          </w:p>
        </w:tc>
      </w:tr>
      <w:tr w14:paraId="0F2F2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8E9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主要风险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6D3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过度保护旧类，新类不注册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CDEA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新类学得快，但旧类遗忘</w:t>
            </w:r>
          </w:p>
        </w:tc>
      </w:tr>
      <w:tr w14:paraId="12482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A790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部署特征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2346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结构复杂、容量增长</w:t>
            </w:r>
          </w:p>
        </w:tc>
        <w:tc>
          <w:tcPr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0B0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sz w:val="18"/>
              </w:rPr>
              <w:t>状态较紧凑，但仍需多轮训练</w:t>
            </w:r>
          </w:p>
        </w:tc>
      </w:tr>
      <w:bookmarkEnd w:id="10"/>
    </w:tbl>
    <w:p w14:paraId="2FA595CC">
      <w:pPr>
        <w:pStyle w:val="4"/>
        <w:keepNext/>
      </w:pPr>
      <w:r>
        <w:rPr>
          <w:rFonts w:ascii="Times New Roman" w:hAnsi="Times New Roman" w:eastAsia="宋体" w:cs="Times New Roman"/>
        </w:rPr>
        <w:t>4.5正式LEO弱信道逐配置结果</w:t>
      </w:r>
    </w:p>
    <w:p w14:paraId="54C54BCE">
      <w:pPr>
        <w:pStyle w:val="5"/>
        <w:keepNext/>
      </w:pPr>
      <w:r>
        <w:rPr>
          <w:rFonts w:ascii="Times New Roman" w:hAnsi="Times New Roman" w:eastAsia="宋体" w:cs="Times New Roman"/>
        </w:rPr>
        <w:t>4.5.1逐配置结果</w:t>
      </w:r>
    </w:p>
    <w:p w14:paraId="785E7855">
      <w:pPr>
        <w:pStyle w:val="19"/>
        <w:keepNext w:val="0"/>
      </w:pPr>
      <w:r>
        <w:rPr>
          <w:rFonts w:ascii="Times New Roman" w:hAnsi="Times New Roman" w:eastAsia="宋体" w:cs="Times New Roman"/>
        </w:rPr>
        <w:t>下表直接采用《学习进展情况+7.24》中的正式LEO结果，按K-shot、方法和新类数逐项展开。旧类与新类query只用于冻结后评价；表内数值保持周报原口径，不再汇总为跨条件总均值，也不跨行拼接“最佳指标”。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591"/>
        <w:gridCol w:w="1591"/>
        <w:gridCol w:w="1591"/>
        <w:gridCol w:w="1499"/>
      </w:tblGrid>
      <w:tr w14:paraId="45D7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28CCA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254DE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8DAFD3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 w14:paraId="2FF7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32711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63170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5C25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E376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317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75F4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5CDF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857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0BD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0B81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7664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5993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361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17FF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9AE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5785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6A2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8B5A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DED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4273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0.78%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7E69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5.17%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2709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0.54%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0CE9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82.92%</w:t>
            </w:r>
          </w:p>
        </w:tc>
      </w:tr>
      <w:tr w14:paraId="70261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155D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C3DB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186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1CD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FEB9B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9BDF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2A3D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2D26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E01D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BD53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42C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71D8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1C094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776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CCFB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7EC2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D89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E209A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F83D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E69B0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77.44%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C630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25.65%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2B8C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37.97%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7B1B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10.02%</w:t>
            </w:r>
          </w:p>
        </w:tc>
      </w:tr>
      <w:tr w14:paraId="14F3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9339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A12E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97B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CF8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63.80%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9B07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418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32.30%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015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23.67%</w:t>
            </w:r>
          </w:p>
        </w:tc>
      </w:tr>
      <w:tr w14:paraId="0EBD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443D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C12D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8B1D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DC57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58.73%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F5AA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14.82%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629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23.43%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DE6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28.73%</w:t>
            </w:r>
          </w:p>
        </w:tc>
      </w:tr>
      <w:tr w14:paraId="1C19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D9550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AE1D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654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55353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104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B8F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C248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48AA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2709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B2D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6B0F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2FD8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B620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A67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5AE36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1BA2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10B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6C85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4049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562C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1611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5.49%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15D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3.17%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20D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75.37%</w:t>
            </w:r>
          </w:p>
        </w:tc>
      </w:tr>
      <w:tr w14:paraId="7B19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8266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3DAA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DC5AB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FF4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87.47%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F25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1186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F516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3F2B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8F3E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FC8D8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B6B8B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3CA5A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66.78%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B4A90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50.40%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9364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56.78%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FBE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20.69%</w:t>
            </w:r>
          </w:p>
        </w:tc>
      </w:tr>
      <w:tr w14:paraId="212A9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577F1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7DD47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DF0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7250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47.38%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57B7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50.52%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D2BC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48.05%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7A52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40.09%</w:t>
            </w:r>
          </w:p>
        </w:tc>
      </w:tr>
      <w:tr w14:paraId="038DC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78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C569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48FC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7FB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44.69%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193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33.15%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272D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37.57%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1182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42.78%</w:t>
            </w:r>
          </w:p>
        </w:tc>
      </w:tr>
      <w:tr w14:paraId="6052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0C54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B800E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86B2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D8C3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44.99%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6795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22.31%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73A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29.32%</w:t>
            </w:r>
          </w:p>
        </w:tc>
        <w:tc>
          <w:tcPr>
            <w:tcW w:w="149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21677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42.48%</w:t>
            </w:r>
          </w:p>
        </w:tc>
      </w:tr>
      <w:tr w14:paraId="4DCE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FB1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61F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907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FE177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83.70%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D6910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D247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C70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</w:tr>
      <w:tr w14:paraId="0B5F1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8D5AB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79EE9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ECB2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BD97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83ED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AB5A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0.14%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30A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83.62%</w:t>
            </w:r>
          </w:p>
        </w:tc>
      </w:tr>
      <w:tr w14:paraId="0BAB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A40B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4DE5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714A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789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59.84%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8CB8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5.64%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8DD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9.96%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EA5F4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23.86%</w:t>
            </w:r>
          </w:p>
        </w:tc>
      </w:tr>
      <w:tr w14:paraId="4D160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68D4F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A16F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971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F798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60.76%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DC5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96.53%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F728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72.69%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0927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26.71%</w:t>
            </w:r>
          </w:p>
        </w:tc>
      </w:tr>
      <w:tr w14:paraId="70ED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255F4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4C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9E4D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876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48.96%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9341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71.47%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EB7B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57.23%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81C65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38.51%</w:t>
            </w:r>
          </w:p>
        </w:tc>
      </w:tr>
      <w:tr w14:paraId="764F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E6E3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EB59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4701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038E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33.28%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CAD7C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61.31%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510E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41.09%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A314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54.19%</w:t>
            </w:r>
          </w:p>
        </w:tc>
      </w:tr>
      <w:tr w14:paraId="3563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4E9D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A16F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96273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0FD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34.07%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DEB5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41.36%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347E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35.48%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163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53.40%</w:t>
            </w:r>
          </w:p>
        </w:tc>
      </w:tr>
      <w:tr w14:paraId="489F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FE4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EE7B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8FB06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AF71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36.66%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37C6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27.86%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CB8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30.23%</w:t>
            </w:r>
          </w:p>
        </w:tc>
        <w:tc>
          <w:tcPr>
            <w:tcW w:w="1499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D25B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50.81%</w:t>
            </w:r>
          </w:p>
        </w:tc>
      </w:tr>
    </w:tbl>
    <w:p w14:paraId="6AD37733">
      <w:pPr>
        <w:pStyle w:val="5"/>
        <w:keepNext/>
      </w:pPr>
      <w:r>
        <w:rPr>
          <w:rFonts w:ascii="Times New Roman" w:hAnsi="Times New Roman" w:eastAsia="宋体" w:cs="Times New Roman"/>
        </w:rPr>
        <w:t>4.5.2主要现象</w:t>
      </w:r>
    </w:p>
    <w:p w14:paraId="2F2FB097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低K、少新类时存在零注册。</w:t>
      </w:r>
      <w:r>
        <w:rPr>
          <w:rFonts w:ascii="Times New Roman" w:hAnsi="Times New Roman" w:eastAsia="宋体" w:cs="Times New Roman"/>
          <w:b w:val="0"/>
        </w:rPr>
        <w:t>CSIL在K=5/10且新类数为1或3时seen_new_acc为0；MoPC-HR在K=5或10、新类数为1时也为0。</w:t>
      </w:r>
    </w:p>
    <w:p w14:paraId="6EAE2E34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MoPC-HR的可塑性更强，但会牺牲旧类。</w:t>
      </w:r>
      <w:r>
        <w:rPr>
          <w:rFonts w:ascii="Times New Roman" w:hAnsi="Times New Roman" w:eastAsia="宋体" w:cs="Times New Roman"/>
          <w:b w:val="0"/>
        </w:rPr>
        <w:t>K=20、新类数1时seen_new_acc为96.53%，H_old_new为72.69%；与此同时，old_acc_after降至60.76%，forgetting为26.71个百分点。</w:t>
      </w:r>
    </w:p>
    <w:p w14:paraId="708924D1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新类规模扩大后联合性能下降。</w:t>
      </w:r>
      <w:r>
        <w:rPr>
          <w:rFonts w:ascii="Times New Roman" w:hAnsi="Times New Roman" w:eastAsia="宋体" w:cs="Times New Roman"/>
          <w:b w:val="0"/>
        </w:rPr>
        <w:t>MoPC-HR在K=20时，新类数从1增加到25，seen_new_acc从96.53%降至27.86%，old_acc_after也从60.76%降至36.66%。</w:t>
      </w:r>
    </w:p>
    <w:p w14:paraId="0F426BDF">
      <w:pPr>
        <w:pStyle w:val="19"/>
        <w:keepNext w:val="0"/>
      </w:pPr>
      <w:r>
        <w:rPr>
          <w:rFonts w:ascii="Times New Roman" w:hAnsi="Times New Roman" w:eastAsia="宋体" w:cs="Times New Roman"/>
          <w:b/>
          <w:color w:val="C00000"/>
        </w:rPr>
        <w:t>CSIL呈现明显的稳定性—可塑性极端。</w:t>
      </w:r>
      <w:r>
        <w:rPr>
          <w:rFonts w:ascii="Times New Roman" w:hAnsi="Times New Roman" w:eastAsia="宋体" w:cs="Times New Roman"/>
          <w:b w:val="0"/>
        </w:rPr>
        <w:t>小规模时旧类几乎完全保留但新类不注册；部分较大规模或高K切片中，新类开始被学习，却伴随旧类显著下降。</w:t>
      </w:r>
    </w:p>
    <w:p>
      <w:pPr>
        <w:pStyle w:val="5"/>
        <w:keepNext/>
      </w:pPr>
      <w:r>
        <w:rPr>
          <w:rFonts w:ascii="Times New Roman" w:hAnsi="Times New Roman" w:cs="Times New Roman" w:eastAsia="宋体"/>
        </w:rPr>
        <w:t>4.5.3qKNN与类增量方法的共同LEO切片对照</w:t>
      </w:r>
    </w:p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qKNN完成125/125个任务和375/375个LEO场景，失败数为0。下表在K1/new20、K5/new20、K10/new5、K10/new10和K10/new20五个共同切片上，对照qKNN与CSIL、MoPC-HR官方流程的三场景平均结果。CSIL和MoPC-HR使用seed 713101–713105，qKNN使用713102–713106；三者的base训练、状态构造和训练权限也不同，因此该表是同LEO场景的描述性对照，不是严格paired显著性比较。</w:t>
      </w:r>
    </w:p>
    <w:tbl>
      <w:tblPr>
        <w:tblStyle w:val="33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10"/>
        <w:gridCol w:w="2152"/>
        <w:gridCol w:w="1216"/>
        <w:gridCol w:w="1216"/>
        <w:gridCol w:w="1123"/>
        <w:gridCol w:w="1123"/>
        <w:gridCol w:w="1220"/>
      </w:tblGrid>
      <w:tr>
        <w:trPr>
          <w:tblHeader w:val="true"/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切片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color w:val="1F4E79"/>
                <w:sz w:val="15"/>
              </w:rPr>
              <w:t>方法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5A916BB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5"/>
              </w:rPr>
              <w:t>适应前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5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old</m:t>
                  </m:r>
                </m:sub>
              </m:sSub>
            </m:oMath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E736F9">
            <w:pPr>
              <w:keepNext/>
              <w:spacing w:before="0" w:after="0" w:line="240" w:lineRule="auto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1A37AC3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784B0AB3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7E6E6"/>
          </w:tcPr>
          <w:p w14:paraId="4368CC4A">
            <w:pPr>
              <w:keepNext/>
              <w:spacing w:before="0" w:after="0" w:line="240" w:lineRule="auto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old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68.144%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44.033%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27.150%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33.410%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24.111pp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40.722%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1.363%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2.603%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81.267%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63.711%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58.883%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60.955%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17.556pp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0.200%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5.557%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0.316%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42.633pp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K5/new20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17.433%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14.309%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31.811pp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76.189%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74.133%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74.803%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9.922pp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0.689%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20.413%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1.264%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42.144pp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K10/new5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9.322%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49.547%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14.947%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36.000pp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72.533%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66.353%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69.106%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13.578pp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10.460%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0.000%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K10/new10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9.500%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32.900%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13.770%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35.822pp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qKNN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86.111%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71.333%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68.150%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69.555%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14.778pp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CSIL官方流程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42.833%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38.222%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1.660%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2.979%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4.611pp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K10/new20</w:t>
            </w:r>
          </w:p>
        </w:tc>
        <w:tc>
          <w:tcPr>
            <w:tcW w:type="dxa" w:w="215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MoPC-HR官方流程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45.322%</w:t>
            </w:r>
          </w:p>
        </w:tc>
        <w:tc>
          <w:tcPr>
            <w:tcW w:type="dxa" w:w="121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7.611%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25.187%</w:t>
            </w:r>
          </w:p>
        </w:tc>
        <w:tc>
          <w:tcPr>
            <w:tcW w:type="dxa" w:w="112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10.695%</w:t>
            </w:r>
          </w:p>
        </w:tc>
        <w:tc>
          <w:tcPr>
            <w:tcW w:type="dxa" w:w="12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4F8FC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37.711pp</w:t>
            </w:r>
          </w:p>
        </w:tc>
      </w:tr>
    </w:tbl>
    <w:p>
      <w:pPr>
        <w:pStyle w:val="19"/>
        <w:keepNext w:val="0"/>
      </w:pPr>
      <w:r>
        <w:rPr>
          <w:rFonts w:ascii="Times New Roman" w:hAnsi="Times New Roman" w:cs="Times New Roman" w:eastAsia="宋体"/>
        </w:rPr>
        <w:t>qKNN在五个共同切片上的旧新调和均值均高于两种论文流程，但不能把差距全部归因于qKNN算法：qKNN的Stage2-B旧类状态明显更强，方法生命周期和允许使用的历史状态也不同。qKNN在K10/new20得到注册后旧类71.333%、新类68.150%、调和均值69.555%，遗忘14.778个百分点；相对其matched D81控制，它改善旧类和遗忘，但新类下降且全部绝对性能门仍失败。正式结论保持COMPLETED_DIAGNOSTIC_NEGATIVE_NOT_PROMOTABLE，不能表述为qKNN已完成晋级。</w:t>
      </w:r>
    </w:p>
    <w:p w14:paraId="7042E6F0">
      <w:pPr>
        <w:pStyle w:val="4"/>
        <w:keepNext/>
      </w:pPr>
      <w:r>
        <w:rPr>
          <w:rFonts w:ascii="Times New Roman" w:hAnsi="Times New Roman" w:eastAsia="宋体" w:cs="Times New Roman"/>
        </w:rPr>
        <w:t>4.6matched无LEO新类归因诊断</w:t>
      </w:r>
    </w:p>
    <w:p w14:paraId="7254FD14">
      <w:pPr>
        <w:pStyle w:val="5"/>
        <w:keepNext/>
      </w:pPr>
      <w:r>
        <w:rPr>
          <w:rFonts w:ascii="Times New Roman" w:hAnsi="Times New Roman" w:eastAsia="宋体" w:cs="Times New Roman"/>
        </w:rPr>
        <w:t>4.6.1逐配置结果</w:t>
      </w:r>
    </w:p>
    <w:p w14:paraId="308E9191">
      <w:pPr>
        <w:pStyle w:val="19"/>
        <w:keepNext w:val="0"/>
      </w:pPr>
      <w:r>
        <w:rPr>
          <w:rFonts w:ascii="Times New Roman" w:hAnsi="Times New Roman" w:eastAsia="宋体" w:cs="Times New Roman"/>
        </w:rPr>
        <w:t>该诊断保持方法、物理样本ID、support/query划分、K-shot和旧类评测条件一致，只把新类support/query替换为未叠加LEO的同一物理记录。结果永久标记为DIAGNOSTIC_NEW_CLASS_NO_LEO_NON_FORMAL。</w:t>
      </w:r>
    </w:p>
    <w:tbl>
      <w:tblPr>
        <w:tblStyle w:val="3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1310"/>
        <w:gridCol w:w="936"/>
        <w:gridCol w:w="1872"/>
        <w:gridCol w:w="1497"/>
        <w:gridCol w:w="1497"/>
        <w:gridCol w:w="1406"/>
      </w:tblGrid>
      <w:tr w14:paraId="6AC6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4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82008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K-shot</w:t>
            </w:r>
          </w:p>
        </w:tc>
        <w:tc>
          <w:tcPr>
            <w:tcW w:w="1310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67386"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方法</w:t>
            </w:r>
          </w:p>
        </w:tc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649D2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>新类数</w:t>
            </w:r>
          </w:p>
        </w:tc>
        <w:tc>
          <w:tcPr>
            <w:tcW w:w="187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05204"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16"/>
              </w:rPr>
              <w:t>无LEO</w:t>
            </w:r>
            <w:r>
              <w:rPr>
                <w:rFonts w:ascii="Times New Roman" w:hAnsi="Times New Roman" w:eastAsia="宋体" w:cs="Times New Roman"/>
                <w:b/>
                <w:color w:val="1F4E79"/>
                <w:sz w:val="16"/>
              </w:rPr>
              <w:t xml:space="preserve">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new</m:t>
                  </m:r>
                </m:sub>
              </m:sSub>
            </m:oMath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2A8EDB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new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80868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Sup>
                  <m:sSubSupPr/>
                  <m:e>
                    <m:r>
                      <m:rPr/>
                      <m:t>A</m:t>
                    </m:r>
                  </m:e>
                  <m:sub>
                    <m:r>
                      <m:rPr/>
                      <m:t>old</m:t>
                    </m:r>
                  </m:sub>
                  <m:sup>
                    <m:r>
                      <m:rPr/>
                      <m:t>post</m:t>
                    </m:r>
                  </m:sup>
                </m:sSubSup>
              </m:oMath>
            </m:oMathPara>
          </w:p>
        </w:tc>
        <w:tc>
          <w:tcPr>
            <w:tcW w:w="14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6A40E">
            <w:pPr>
              <w:keepNext/>
              <w:spacing w:before="0" w:after="0" w:line="240" w:lineRule="auto"/>
              <w:jc w:val="center"/>
            </w:pPr>
            <m:oMathPara>
              <m:oMath>
                <m:r>
                  <m:rPr/>
                  <m:t>Δ</m:t>
                </m:r>
                <m:sSub>
                  <m:sSubPr/>
                  <m:e>
                    <m:r>
                      <m:rPr/>
                      <m:t>H</m:t>
                    </m:r>
                  </m:e>
                  <m:sub>
                    <m:r>
                      <m:rPr/>
                      <m:t>old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new</m:t>
                    </m:r>
                  </m:sub>
                </m:sSub>
              </m:oMath>
            </m:oMathPara>
          </w:p>
        </w:tc>
      </w:tr>
      <w:tr w14:paraId="32EE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BD2AC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211C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2729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CF75A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4B2D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CA9E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12E0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060F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08DE4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2C973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745F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0B9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8.05%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E3A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+2.88pp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0D58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DC2CE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-0.54pp</w:t>
            </w:r>
          </w:p>
        </w:tc>
      </w:tr>
      <w:tr w14:paraId="7BC4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7ABA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C8999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DC3BC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01A7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71C4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-0.02pp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4D26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3688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-0.04pp</w:t>
            </w:r>
          </w:p>
        </w:tc>
      </w:tr>
      <w:tr w14:paraId="0D10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E9F3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5F55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B99E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E6B9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54.33%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0750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+28.68pp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A846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-33.44pp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6BABB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+6.75pp</w:t>
            </w:r>
          </w:p>
        </w:tc>
      </w:tr>
      <w:tr w14:paraId="341F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0D2E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C5E3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42016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761E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63.29%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030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+41.21pp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F6B7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-38.09pp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02A9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+3.56pp</w:t>
            </w:r>
          </w:p>
        </w:tc>
      </w:tr>
      <w:tr w14:paraId="7920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2C0D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23F1BB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E306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F39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51.02%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F9C2A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+36.20pp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D1DE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-40.32pp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E0C60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+3.23pp</w:t>
            </w:r>
          </w:p>
        </w:tc>
      </w:tr>
      <w:tr w14:paraId="7035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1856D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AE616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70C3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0D59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0.00%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4F6E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D182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7088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+0.00pp</w:t>
            </w:r>
          </w:p>
        </w:tc>
      </w:tr>
      <w:tr w14:paraId="34782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AFD88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1D5DD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60CAA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98AD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4.98%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1EED1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-0.50pp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216A4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+48.69pp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2A9A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+3.10pp</w:t>
            </w:r>
          </w:p>
        </w:tc>
      </w:tr>
      <w:tr w14:paraId="422F0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D24EF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DDD8C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260DC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EE25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63.04%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55F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+12.64pp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648A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-12.68pp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EC9A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576B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63F7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3439F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318F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021C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90.91%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5E35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+40.39pp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184F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-19.80pp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AC70F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-6.12pp</w:t>
            </w:r>
          </w:p>
        </w:tc>
      </w:tr>
      <w:tr w14:paraId="64CAC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DEC0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09AB5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8291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3A978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75.63%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EF7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+42.48pp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9E00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-29.12pp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AE0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-12.28pp</w:t>
            </w:r>
          </w:p>
        </w:tc>
      </w:tr>
      <w:tr w14:paraId="3CBB5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4391D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31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B8BF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BBCFE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779AB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64.38%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DE4F9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+42.07pp</w:t>
            </w:r>
          </w:p>
        </w:tc>
        <w:tc>
          <w:tcPr>
            <w:tcW w:w="149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CA2A2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-35.71pp</w:t>
            </w:r>
          </w:p>
        </w:tc>
        <w:tc>
          <w:tcPr>
            <w:tcW w:w="14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A465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-13.64pp</w:t>
            </w:r>
          </w:p>
        </w:tc>
      </w:tr>
      <w:tr w14:paraId="7732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02B51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E8B8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EF805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97FD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45.09%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384DC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+11.04pp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3E43D1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-0.08pp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C5C8E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-0.14pp</w:t>
            </w:r>
          </w:p>
        </w:tc>
      </w:tr>
      <w:tr w14:paraId="4D2AF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6F9A93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197DD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CSIL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9767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17232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5.03%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91B7EC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-0.61pp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A8C2B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+2.00pp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98465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-0.98pp</w:t>
            </w:r>
          </w:p>
        </w:tc>
      </w:tr>
      <w:tr w14:paraId="4D49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003CC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FD46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C694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23BD1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95.64%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EC20B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+24.18pp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4065F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+5.46pp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00070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+10.85pp</w:t>
            </w:r>
          </w:p>
        </w:tc>
      </w:tr>
      <w:tr w14:paraId="0E5E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82EE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87254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056D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61697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94.85%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4F876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+33.55pp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AEC3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-10.28pp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AE0C8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-4.69pp</w:t>
            </w:r>
          </w:p>
        </w:tc>
      </w:tr>
      <w:tr w14:paraId="0DA2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B7AC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66EEA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C6279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A6BFA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81.81%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F2D3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+40.45pp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380C80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-20.38pp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C16CAD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-12.51pp</w:t>
            </w:r>
          </w:p>
        </w:tc>
      </w:tr>
      <w:tr w14:paraId="3CA2D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4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438F25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</w:t>
            </w:r>
          </w:p>
        </w:tc>
        <w:tc>
          <w:tcPr>
            <w:tcW w:w="1310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6FA01"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MoPC-HR</w:t>
            </w:r>
          </w:p>
        </w:tc>
        <w:tc>
          <w:tcPr>
            <w:tcW w:w="9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51D6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25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4A2A2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70.26%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D669E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+42.40pp</w:t>
            </w:r>
          </w:p>
        </w:tc>
        <w:tc>
          <w:tcPr>
            <w:tcW w:w="149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01357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-29.78pp</w:t>
            </w:r>
          </w:p>
        </w:tc>
        <w:tc>
          <w:tcPr>
            <w:tcW w:w="14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7BD94"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-18.16pp</w:t>
            </w:r>
          </w:p>
        </w:tc>
      </w:tr>
    </w:tbl>
    <w:p w14:paraId="34988A19">
      <w:pPr>
        <w:pStyle w:val="19"/>
        <w:keepNext w:val="0"/>
      </w:pPr>
      <w:r>
        <w:rPr>
          <w:rFonts w:ascii="Times New Roman" w:hAnsi="Times New Roman" w:eastAsia="宋体" w:cs="Times New Roman"/>
        </w:rPr>
        <w:t>Δ表示无LEO诊断相对正式LEO结果的变化。</w:t>
      </w:r>
    </w:p>
    <w:p w14:paraId="10058240">
      <w:pPr>
        <w:pStyle w:val="5"/>
        <w:keepNext/>
      </w:pPr>
      <w:r>
        <w:rPr>
          <w:rFonts w:ascii="Times New Roman" w:hAnsi="Times New Roman" w:eastAsia="宋体" w:cs="Times New Roman"/>
        </w:rPr>
        <w:t>4.6.2诊断解读</w:t>
      </w:r>
    </w:p>
    <w:p w14:paraId="144AAB78">
      <w:pPr>
        <w:pStyle w:val="19"/>
        <w:keepNext w:val="0"/>
      </w:pPr>
      <w:r>
        <w:rPr>
          <w:rFonts w:ascii="Times New Roman" w:hAnsi="Times New Roman" w:eastAsia="宋体" w:cs="Times New Roman"/>
        </w:rPr>
        <w:t>移除新类LEO扰动后，MoPC-HR的新类准确率在多数切片显著提高，说明信道失真确实破坏了新类特征与旧类prototype之间的几何关系。但新类学得更好不一定提高H_old_new：新类梯度更强时，旧类准确率可能进一步下降。</w:t>
      </w:r>
    </w:p>
    <w:p w14:paraId="159F0B70">
      <w:pPr>
        <w:pStyle w:val="19"/>
        <w:keepNext w:val="0"/>
      </w:pPr>
      <w:r>
        <w:rPr>
          <w:rFonts w:ascii="Times New Roman" w:hAnsi="Times New Roman" w:eastAsia="宋体" w:cs="Times New Roman"/>
        </w:rPr>
        <w:t>例如K=10、新类数10时，无LEO使seen_new_acc提高42.48个百分点，但old_acc_after下降29.12个百分点，H_old_new反而下降12.28个百分点。该诊断只能用于信道归因，不能替代正式卫星场景结果或用于方法晋级。</w:t>
      </w:r>
    </w:p>
    <w:p w14:paraId="27A644C9">
      <w:pPr>
        <w:pStyle w:val="4"/>
        <w:keepNext/>
      </w:pPr>
      <w:bookmarkStart w:id="11" w:name="X31943cb66b4f1a5bd38bc2ce323d836de6d2278"/>
      <w:r>
        <w:rPr>
          <w:rFonts w:ascii="Times New Roman" w:hAnsi="Times New Roman" w:eastAsia="宋体" w:cs="Times New Roman"/>
          <w:sz w:val="26"/>
        </w:rPr>
        <w:t>4.7低K条件下的零注册问题</w:t>
      </w:r>
    </w:p>
    <w:p w14:paraId="14D037E3">
      <w:r>
        <w:rPr>
          <w:rFonts w:ascii="Times New Roman" w:hAnsi="Times New Roman" w:eastAsia="宋体" w:cs="Times New Roman"/>
          <w:sz w:val="22"/>
        </w:rPr>
        <w:t>若增量阶段只有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new</m:t>
            </m:r>
          </m:sub>
        </m:sSub>
        <m:r>
          <m:rPr>
            <m:sty m:val="p"/>
          </m:rPr>
          <m:t>×</m:t>
        </m:r>
        <m:r>
          <m:rPr/>
          <m:t>K</m:t>
        </m:r>
      </m:oMath>
      <w:r>
        <w:rPr>
          <w:rFonts w:ascii="Times New Roman" w:hAnsi="Times New Roman" w:eastAsia="宋体" w:cs="Times New Roman"/>
          <w:sz w:val="22"/>
        </w:rPr>
        <w:t>个样本，batch size为</w:t>
      </w:r>
      <m:oMath>
        <m:r>
          <m:rPr/>
          <m:t>B</m:t>
        </m:r>
      </m:oMath>
      <w:r>
        <w:rPr>
          <w:rFonts w:ascii="Times New Roman" w:hAnsi="Times New Roman" w:eastAsia="宋体" w:cs="Times New Roman"/>
          <w:sz w:val="22"/>
        </w:rPr>
        <w:t>，并且DataLoader使用drop_last=True，则：</w:t>
      </w:r>
    </w:p>
    <w:p w14:paraId="38D1FA85">
      <w:pPr>
        <w:pStyle w:val="19"/>
      </w:pPr>
      <m:oMathPara>
        <m:oMathParaPr>
          <m:jc m:val="center"/>
        </m:oMathParaPr>
        <m:oMath>
          <m:r>
            <m:rPr/>
            <m:t>floor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/>
                    <m:t>K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6FD8364">
      <w:r>
        <w:rPr>
          <w:rFonts w:ascii="Times New Roman" w:hAnsi="Times New Roman" w:eastAsia="宋体" w:cs="Times New Roman"/>
          <w:sz w:val="22"/>
        </w:rPr>
        <w:t>当结果为0时，一个完整batch都不会产生，optimizer step也为0。新增分类权重没有学习，query自然继续被预测为旧类。</w:t>
      </w:r>
    </w:p>
    <w:p w14:paraId="40EC2048">
      <w:pPr>
        <w:pStyle w:val="19"/>
      </w:pPr>
      <w:r>
        <w:rPr>
          <w:rFonts w:ascii="Times New Roman" w:hAnsi="Times New Roman" w:eastAsia="宋体" w:cs="Times New Roman"/>
        </w:rPr>
        <w:t>结果表中，CSIL在K=5/10且新类数为1或3时seen_new_acc为0；MoPC-HR在K=5或10、新类数为1时也为0。官方流程审计表明，固定batch和drop_last=True会使样本不足一个完整batch的切片不产生optimizer step。因此这些零准确率首先反映训练是否真正发生，不能解释成“充分训练后方法仍然无效”。</w:t>
      </w:r>
    </w:p>
    <w:p w14:paraId="2480B3F5">
      <w:pPr>
        <w:pStyle w:val="19"/>
      </w:pPr>
      <w:r>
        <w:rPr>
          <w:rFonts w:ascii="Times New Roman" w:hAnsi="Times New Roman" w:eastAsia="宋体" w:cs="Times New Roman"/>
        </w:rPr>
        <w:t>即使能够产生更新，低新类数也不意味着边界更容易学习：新增权重缺少新类间对比，旧类logit已经充分训练，而新类logit接近初始化，统一单头竞争仍可能偏向旧类。LEO弱信道还会放大support估计误差。</w:t>
      </w:r>
    </w:p>
    <w:bookmarkEnd w:id="6"/>
    <w:bookmarkEnd w:id="11"/>
    <w:p w14:paraId="2B02D57B">
      <w:pPr>
        <w:pStyle w:val="3"/>
        <w:keepNext/>
        <w:pageBreakBefore w:val="0"/>
      </w:pPr>
      <w:r>
        <w:rPr>
          <w:rFonts w:ascii="Times New Roman" w:hAnsi="Times New Roman" w:eastAsia="宋体" w:cs="Times New Roman"/>
        </w:rPr>
        <w:t>5.参考文献</w:t>
      </w:r>
    </w:p>
    <w:p w14:paraId="4F8738CA">
      <w:r>
        <w:rPr>
          <w:rFonts w:ascii="Times New Roman" w:hAnsi="Times New Roman" w:eastAsia="宋体" w:cs="Times New Roman"/>
          <w:sz w:val="22"/>
        </w:rPr>
        <w:t xml:space="preserve">[1] SNELL J, SWERSKY K, ZEMEL R S. Prototypical Networks for Few-shot Learning[C]//Advances in Neural Information Processing Systems 30. 2017. </w:t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HYPERLINK "https://papers.nips.cc/paper/6996-prototypical-networks-for-few-shot-learning"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https://papers.nips.cc/paper/6996-prototypical-networks-for-few-shot-learning</w:t>
      </w:r>
      <w:r>
        <w:rPr>
          <w:rFonts w:ascii="Times New Roman" w:hAnsi="Times New Roman" w:eastAsia="宋体" w:cs="Times New Roman"/>
        </w:rPr>
        <w:fldChar w:fldCharType="end"/>
      </w:r>
    </w:p>
    <w:p w14:paraId="7D1270B4">
      <w:pPr>
        <w:pStyle w:val="19"/>
      </w:pPr>
      <w:r>
        <w:rPr>
          <w:rFonts w:ascii="Times New Roman" w:hAnsi="Times New Roman" w:eastAsia="宋体" w:cs="Times New Roman"/>
          <w:sz w:val="22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5C9DD3C2">
      <w:pPr>
        <w:pStyle w:val="19"/>
      </w:pPr>
      <w:r>
        <w:rPr>
          <w:rFonts w:ascii="Times New Roman" w:hAnsi="Times New Roman" w:eastAsia="宋体" w:cs="Times New Roman"/>
          <w:sz w:val="22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326A3C0E">
      <w:pPr>
        <w:pStyle w:val="19"/>
      </w:pPr>
      <w:r>
        <w:rPr>
          <w:rFonts w:ascii="Times New Roman" w:hAnsi="Times New Roman" w:eastAsia="宋体" w:cs="Times New Roman"/>
          <w:sz w:val="22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4382C300">
      <w:pPr>
        <w:pStyle w:val="19"/>
      </w:pPr>
      <w:r>
        <w:rPr>
          <w:rFonts w:ascii="Times New Roman" w:hAnsi="Times New Roman" w:eastAsia="宋体" w:cs="Times New Roman"/>
          <w:sz w:val="22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3A90B">
    <w:pPr>
      <w:pStyle w:val="24"/>
      <w:spacing w:before="0" w:after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450F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48B18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51DB0">
    <w:pPr>
      <w:pStyle w:val="25"/>
      <w:spacing w:after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3D0A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3E39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</w:rPr>
  </w:style>
  <w:style w:type="table" w:default="1" w:styleId="32">
    <w:name w:val="Normal Table"/>
    <w:semiHidden/>
    <w:unhideWhenUsed/>
    <w:qFormat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14">
    <w:name w:val="List Number"/>
    <w:basedOn w:val="1"/>
    <w:unhideWhenUsed/>
    <w:qFormat/>
    <w:uiPriority w:val="99"/>
    <w:pPr>
      <w:widowControl/>
      <w:numPr>
        <w:ilvl w:val="0"/>
        <w:numId w:val="2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Times New Roman" w:hAnsi="Times New Roman" w:eastAsia="宋体" w:cs="Times New Roman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widowControl/>
      <w:numPr>
        <w:ilvl w:val="0"/>
        <w:numId w:val="3"/>
      </w:numPr>
      <w:spacing w:after="160" w:line="280" w:lineRule="auto"/>
      <w:ind w:left="720" w:hanging="360"/>
      <w:contextualSpacing/>
    </w:pPr>
    <w:rPr>
      <w:rFonts w:ascii="Times New Roman" w:hAnsi="Times New Roman" w:eastAsia="宋体" w:cs="Times New Roman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 w:cs="Times New Roman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uiPriority w:val="0"/>
    <w:pPr>
      <w:wordWrap w:val="0"/>
    </w:pPr>
    <w:rPr>
      <w:rFonts w:ascii="Times New Roman" w:hAnsi="Times New Roman" w:eastAsia="宋体" w:cs="Times New Roman"/>
    </w:rPr>
  </w:style>
  <w:style w:type="character" w:customStyle="1" w:styleId="166">
    <w:name w:val="KeywordTok"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7924</Words>
  <Characters>14749</Characters>
  <Lines>0</Lines>
  <Paragraphs>0</Paragraphs>
  <TotalTime>5</TotalTime>
  <ScaleCrop>false</ScaleCrop>
  <LinksUpToDate>false</LinksUpToDate>
  <CharactersWithSpaces>15011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在Stage2-B补充qKNN按接收机和场景展开的域适应结果；在Stage2-C保留qKNN共同LEO切片类增量对照。</dc:description>
  <cp:lastModifiedBy>李辉</cp:lastModifiedBy>
  <dcterms:modified xsi:type="dcterms:W3CDTF">2026-07-31T01:26:00Z</dcterms:modified>
  <dc:subject>Phase2对比方法、qKNN Stage2-B域适应结果、Stage2-C类增量结果与证据边界</dc:subject>
  <dc:title>CVS-RFFI Phase2详细复现报告（qKNN域适应与类增量结果补充版）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