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bookmarkStart w:id="0" w:name="_Hlk104836407"/>
      <w:r>
        <w:rPr>
          <w:rFonts w:hint="eastAsia"/>
          <w:b/>
          <w:sz w:val="32"/>
          <w:szCs w:val="32"/>
        </w:rPr>
        <w:t>ETF纳入港股通标的业务2022年7月2日通关测试方案</w:t>
      </w:r>
    </w:p>
    <w:p>
      <w:pPr>
        <w:rPr>
          <w:b/>
          <w:sz w:val="32"/>
          <w:szCs w:val="32"/>
        </w:rPr>
      </w:pPr>
    </w:p>
    <w:p>
      <w:pPr>
        <w:numPr>
          <w:ilvl w:val="0"/>
          <w:numId w:val="1"/>
        </w:numPr>
        <w:ind w:left="0" w:firstLine="0"/>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测试目的</w:t>
      </w:r>
    </w:p>
    <w:p>
      <w:pPr>
        <w:widowControl/>
        <w:spacing w:line="360" w:lineRule="atLeast"/>
        <w:ind w:firstLine="560" w:firstLineChars="2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交易所（以下简称深交所）和中国证券登记结算有限责任公司深圳分公司（以下简称中国结算深圳分公司）已于2022年3月31日发布《关于做好ETF纳入港股通标的的技术准备通知》。为确保相关业务的顺利开展，深交所联合中国结算深圳分公司定于2022年7月2日组织通关测试，通过模拟深港通下的港股通ETF的交易、非交易的委托申报、成交回报、清算交收等业务处理过程，检验市场参与各方技术系统的正确性。</w:t>
      </w:r>
    </w:p>
    <w:p>
      <w:pPr>
        <w:widowControl/>
        <w:spacing w:line="360" w:lineRule="atLeast"/>
        <w:ind w:firstLine="560" w:firstLineChars="200"/>
        <w:jc w:val="left"/>
        <w:rPr>
          <w:rFonts w:ascii="楷体_GB2312" w:hAnsi="楷体_GB2312" w:eastAsia="楷体_GB2312" w:cs="楷体_GB2312"/>
          <w:color w:val="FF000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参测单位</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深圳证券交易所</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中国结算深圳分公司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香港联合交易所</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香港中央结算公司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深圳证券通信公司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证券公司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基金公司</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其他港股通交易参与人</w:t>
      </w:r>
    </w:p>
    <w:p>
      <w:pPr>
        <w:pStyle w:val="26"/>
        <w:numPr>
          <w:ilvl w:val="0"/>
          <w:numId w:val="2"/>
        </w:numPr>
        <w:ind w:firstLine="56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行情服务商</w:t>
      </w:r>
    </w:p>
    <w:p>
      <w:pPr>
        <w:pStyle w:val="26"/>
        <w:numPr>
          <w:ilvl w:val="0"/>
          <w:numId w:val="2"/>
        </w:numPr>
        <w:ind w:firstLine="56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结算参与机构</w:t>
      </w:r>
    </w:p>
    <w:p>
      <w:pPr>
        <w:pStyle w:val="26"/>
        <w:numPr>
          <w:ilvl w:val="0"/>
          <w:numId w:val="2"/>
        </w:numPr>
        <w:spacing w:line="560" w:lineRule="exact"/>
        <w:ind w:firstLine="560" w:firstLineChars="0"/>
        <w:outlineLvl w:val="1"/>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其他相关单位</w:t>
      </w:r>
    </w:p>
    <w:p>
      <w:pPr>
        <w:widowControl/>
        <w:tabs>
          <w:tab w:val="left" w:pos="840"/>
        </w:tabs>
        <w:spacing w:line="360" w:lineRule="atLeast"/>
        <w:jc w:val="left"/>
        <w:rPr>
          <w:rFonts w:ascii="楷体_GB2312" w:hAnsi="楷体_GB2312" w:eastAsia="楷体_GB2312" w:cs="楷体_GB2312"/>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测试内容</w:t>
      </w:r>
    </w:p>
    <w:p>
      <w:pPr>
        <w:pStyle w:val="26"/>
        <w:widowControl/>
        <w:numPr>
          <w:ilvl w:val="0"/>
          <w:numId w:val="3"/>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静态交易参考信息文件的接收与处理，并正确识别新增的港股通ETF</w:t>
      </w:r>
    </w:p>
    <w:p>
      <w:pPr>
        <w:pStyle w:val="26"/>
        <w:widowControl/>
        <w:numPr>
          <w:ilvl w:val="0"/>
          <w:numId w:val="3"/>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港股通ETF交易的委托申报、成交回报、行情接收与展示</w:t>
      </w:r>
    </w:p>
    <w:p>
      <w:pPr>
        <w:pStyle w:val="26"/>
        <w:widowControl/>
        <w:numPr>
          <w:ilvl w:val="0"/>
          <w:numId w:val="3"/>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港股通ETF交易的清算交收</w:t>
      </w:r>
    </w:p>
    <w:p>
      <w:pPr>
        <w:pStyle w:val="26"/>
        <w:widowControl/>
        <w:numPr>
          <w:ilvl w:val="0"/>
          <w:numId w:val="3"/>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港股通ETF非交易业务（转托管、冻结等）的申报和清算交收</w:t>
      </w:r>
    </w:p>
    <w:p>
      <w:pPr>
        <w:pStyle w:val="26"/>
        <w:widowControl/>
        <w:numPr>
          <w:ilvl w:val="0"/>
          <w:numId w:val="3"/>
        </w:numPr>
        <w:spacing w:line="360" w:lineRule="atLeast"/>
        <w:ind w:firstLineChars="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港股通差额缴款、按金的清算交收（包含港股通</w:t>
      </w:r>
      <w:r>
        <w:rPr>
          <w:rFonts w:ascii="楷体_GB2312" w:hAnsi="楷体_GB2312" w:eastAsia="楷体_GB2312" w:cs="楷体_GB2312"/>
          <w:sz w:val="28"/>
          <w:szCs w:val="28"/>
        </w:rPr>
        <w:t>ETF</w:t>
      </w:r>
      <w:r>
        <w:rPr>
          <w:rFonts w:hint="eastAsia" w:ascii="楷体_GB2312" w:hAnsi="楷体_GB2312" w:eastAsia="楷体_GB2312" w:cs="楷体_GB2312"/>
          <w:sz w:val="28"/>
          <w:szCs w:val="28"/>
        </w:rPr>
        <w:t>）</w:t>
      </w:r>
    </w:p>
    <w:p>
      <w:pPr>
        <w:widowControl/>
        <w:spacing w:line="360" w:lineRule="atLeast"/>
        <w:jc w:val="left"/>
        <w:rPr>
          <w:rFonts w:ascii="楷体_GB2312" w:hAnsi="楷体_GB2312" w:eastAsia="楷体_GB2312" w:cs="楷体_GB2312"/>
          <w:color w:val="2E2E2E"/>
          <w:kern w:val="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测试时间</w:t>
      </w:r>
    </w:p>
    <w:p>
      <w:pPr>
        <w:ind w:firstLine="562" w:firstLineChars="200"/>
        <w:rPr>
          <w:rFonts w:ascii="楷体_GB2312" w:hAnsi="楷体_GB2312" w:eastAsia="楷体_GB2312" w:cs="楷体_GB2312"/>
          <w:b/>
          <w:color w:val="000000"/>
          <w:sz w:val="28"/>
          <w:szCs w:val="28"/>
        </w:rPr>
      </w:pPr>
      <w:r>
        <w:rPr>
          <w:rFonts w:hint="eastAsia" w:ascii="楷体_GB2312" w:hAnsi="楷体_GB2312" w:eastAsia="楷体_GB2312" w:cs="楷体_GB2312"/>
          <w:b/>
          <w:color w:val="000000"/>
          <w:sz w:val="28"/>
          <w:szCs w:val="28"/>
        </w:rPr>
        <w:t>测试时间为2022年7月2日（星期六）8:30至14:00。</w:t>
      </w:r>
    </w:p>
    <w:p>
      <w:pPr>
        <w:ind w:firstLine="560" w:firstLineChars="200"/>
        <w:jc w:val="left"/>
        <w:rPr>
          <w:rFonts w:ascii="楷体_GB2312" w:hAnsi="楷体_GB2312" w:eastAsia="楷体_GB2312" w:cs="楷体_GB2312"/>
          <w:bCs/>
          <w:color w:val="000000"/>
          <w:sz w:val="28"/>
          <w:szCs w:val="28"/>
        </w:rPr>
      </w:pPr>
      <w:r>
        <w:rPr>
          <w:rFonts w:hint="eastAsia" w:ascii="楷体_GB2312" w:hAnsi="楷体_GB2312" w:eastAsia="楷体_GB2312" w:cs="楷体_GB2312"/>
          <w:bCs/>
          <w:color w:val="000000"/>
          <w:sz w:val="28"/>
          <w:szCs w:val="28"/>
        </w:rPr>
        <w:t>深交所交易系统T日接收交易委托的时间为9:00至12:00，协议交易时段为9:15至12:00，其中10:30-10:35模拟中午休市。</w:t>
      </w:r>
    </w:p>
    <w:p>
      <w:pPr>
        <w:ind w:firstLine="560" w:firstLineChars="200"/>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深市证券交易业务、结算业务的具体安排请见下表：</w:t>
      </w:r>
    </w:p>
    <w:tbl>
      <w:tblPr>
        <w:tblStyle w:val="10"/>
        <w:tblpPr w:leftFromText="180" w:rightFromText="180" w:vertAnchor="text" w:horzAnchor="page" w:tblpX="1581" w:tblpY="621"/>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3440"/>
        <w:gridCol w:w="2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T日测试事项（模拟日期：2022年7月2日）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实际时间</w:t>
            </w:r>
          </w:p>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(7月2日)</w:t>
            </w:r>
          </w:p>
        </w:tc>
        <w:tc>
          <w:tcPr>
            <w:tcW w:w="3440"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主要测试事项</w:t>
            </w:r>
          </w:p>
        </w:tc>
        <w:tc>
          <w:tcPr>
            <w:tcW w:w="2474"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参测单位</w:t>
            </w:r>
          </w:p>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9:00前</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早间下发T日静态交易参考信息文件、PCF文件、信息公告、股东大会信息文件</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9:00-12:00</w:t>
            </w:r>
          </w:p>
        </w:tc>
        <w:tc>
          <w:tcPr>
            <w:tcW w:w="3440" w:type="dxa"/>
            <w:tcBorders>
              <w:top w:val="single" w:color="auto" w:sz="4" w:space="0"/>
              <w:left w:val="single" w:color="auto" w:sz="4" w:space="0"/>
              <w:bottom w:val="single" w:color="auto" w:sz="4" w:space="0"/>
              <w:right w:val="single" w:color="auto" w:sz="4" w:space="0"/>
            </w:tcBorders>
            <w:shd w:val="clear" w:color="auto" w:fill="auto"/>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设置福田中心为主中心、南方中心为备中心运行，接收日常交易、非交易等委托，10:30-10:35中午休市。</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模拟ETF纳入港股通标的业务的委托申报、成交回报、行情接收等。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12:00-13:30</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中国结算深圳分公司模拟T日股份资金清算交收</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13:30后</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T日结算数据发送</w:t>
            </w:r>
          </w:p>
        </w:tc>
        <w:tc>
          <w:tcPr>
            <w:tcW w:w="2474" w:type="dxa"/>
            <w:tcBorders>
              <w:top w:val="single" w:color="auto" w:sz="4" w:space="0"/>
              <w:left w:val="single" w:color="auto" w:sz="4" w:space="0"/>
              <w:bottom w:val="single" w:color="auto" w:sz="4" w:space="0"/>
              <w:right w:val="single" w:color="auto" w:sz="4" w:space="0"/>
            </w:tcBorders>
            <w:shd w:val="clear" w:color="auto" w:fill="auto"/>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rFonts w:ascii="楷体_GB2312" w:hAnsi="楷体_GB2312" w:eastAsia="楷体_GB2312" w:cs="楷体_GB2312"/>
                <w:szCs w:val="21"/>
              </w:rPr>
            </w:pPr>
            <w:r>
              <w:rPr>
                <w:rFonts w:hint="eastAsia" w:ascii="楷体_GB2312" w:hAnsi="楷体_GB2312" w:eastAsia="楷体_GB2312" w:cs="楷体_GB2312"/>
                <w:szCs w:val="21"/>
              </w:rPr>
              <w:t>13:30后</w:t>
            </w:r>
          </w:p>
        </w:tc>
        <w:tc>
          <w:tcPr>
            <w:tcW w:w="591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napToGrid w:val="0"/>
              <w:rPr>
                <w:rFonts w:ascii="楷体_GB2312" w:hAnsi="楷体_GB2312" w:eastAsia="楷体_GB2312" w:cs="楷体_GB2312"/>
                <w:szCs w:val="21"/>
              </w:rPr>
            </w:pPr>
            <w:r>
              <w:rPr>
                <w:rFonts w:hint="eastAsia" w:ascii="楷体_GB2312" w:hAnsi="楷体_GB2312" w:eastAsia="楷体_GB2312" w:cs="楷体_GB2312"/>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pPr>
              <w:pStyle w:val="8"/>
              <w:widowControl/>
              <w:jc w:val="center"/>
              <w:rPr>
                <w:rFonts w:ascii="楷体_GB2312" w:hAnsi="楷体_GB2312" w:eastAsia="楷体_GB2312" w:cs="楷体_GB2312"/>
                <w:b/>
                <w:color w:val="000000"/>
                <w:kern w:val="2"/>
                <w:sz w:val="21"/>
                <w:szCs w:val="21"/>
              </w:rPr>
            </w:pPr>
            <w:r>
              <w:rPr>
                <w:rFonts w:hint="eastAsia" w:ascii="楷体_GB2312" w:hAnsi="楷体_GB2312" w:eastAsia="楷体_GB2312" w:cs="楷体_GB2312"/>
                <w:b/>
                <w:color w:val="000000"/>
                <w:kern w:val="2"/>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平台</w:t>
            </w:r>
          </w:p>
        </w:tc>
        <w:tc>
          <w:tcPr>
            <w:tcW w:w="3440"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委托申报时间</w:t>
            </w:r>
          </w:p>
        </w:tc>
        <w:tc>
          <w:tcPr>
            <w:tcW w:w="2474"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pPr>
              <w:spacing w:line="300" w:lineRule="exact"/>
              <w:jc w:val="center"/>
              <w:rPr>
                <w:rFonts w:ascii="楷体_GB2312" w:hAnsi="楷体_GB2312" w:eastAsia="楷体_GB2312" w:cs="楷体_GB2312"/>
                <w:b/>
                <w:color w:val="000000"/>
                <w:szCs w:val="21"/>
              </w:rPr>
            </w:pPr>
            <w:r>
              <w:rPr>
                <w:rFonts w:hint="eastAsia" w:ascii="楷体_GB2312" w:hAnsi="楷体_GB2312" w:eastAsia="楷体_GB2312" w:cs="楷体_GB2312"/>
                <w:b/>
                <w:color w:val="00000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现货集中竞价交易平台</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9:15-9:25,9:30-10:30,10:35-11:30</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综合金融服务平台</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9:15-10:30,10:35-12:00</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衍生品集中竞价交易平台</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与现货集中竞价交易平台相同</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非交易处理平台</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9:15-10:30,10:35-11:30</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固定收益交易平台</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9:00-10:30,10:35-12:00</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8"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场外业务平台</w:t>
            </w:r>
          </w:p>
        </w:tc>
        <w:tc>
          <w:tcPr>
            <w:tcW w:w="344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r>
              <w:rPr>
                <w:rFonts w:hint="eastAsia" w:ascii="楷体_GB2312" w:hAnsi="楷体_GB2312" w:eastAsia="楷体_GB2312" w:cs="楷体_GB2312"/>
                <w:szCs w:val="21"/>
              </w:rPr>
              <w:t>本次不参测</w:t>
            </w:r>
          </w:p>
        </w:tc>
        <w:tc>
          <w:tcPr>
            <w:tcW w:w="24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楷体_GB2312" w:hAnsi="楷体_GB2312" w:eastAsia="楷体_GB2312" w:cs="楷体_GB2312"/>
                <w:szCs w:val="21"/>
              </w:rPr>
            </w:pPr>
          </w:p>
        </w:tc>
      </w:tr>
    </w:tbl>
    <w:p>
      <w:pPr>
        <w:ind w:firstLine="480"/>
        <w:rPr>
          <w:rFonts w:ascii="楷体_GB2312" w:hAnsi="楷体_GB2312" w:eastAsia="楷体_GB2312" w:cs="楷体_GB2312"/>
          <w:color w:val="000000"/>
          <w:sz w:val="28"/>
          <w:szCs w:val="28"/>
        </w:rPr>
      </w:pPr>
    </w:p>
    <w:p>
      <w:pPr>
        <w:ind w:firstLine="480"/>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港股通交易结算业务测试的具体安排请见下表：</w:t>
      </w:r>
    </w:p>
    <w:tbl>
      <w:tblPr>
        <w:tblStyle w:val="10"/>
        <w:tblpPr w:leftFromText="180" w:rightFromText="180" w:vertAnchor="text" w:horzAnchor="page" w:tblpX="1805" w:tblpY="622"/>
        <w:tblOverlap w:val="never"/>
        <w:tblW w:w="8875" w:type="dxa"/>
        <w:tblInd w:w="0" w:type="dxa"/>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ascii="楷体_GB2312" w:hAnsi="楷体_GB2312" w:eastAsia="楷体_GB2312" w:cs="楷体_GB2312"/>
                <w:b/>
                <w:bCs/>
              </w:rPr>
            </w:pPr>
            <w:r>
              <w:rPr>
                <w:rFonts w:hint="eastAsia" w:ascii="楷体_GB2312" w:hAnsi="楷体_GB2312" w:eastAsia="楷体_GB2312" w:cs="楷体_GB2312"/>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ascii="楷体_GB2312" w:hAnsi="楷体_GB2312" w:eastAsia="楷体_GB2312" w:cs="楷体_GB2312"/>
                <w:b/>
                <w:bCs/>
              </w:rPr>
            </w:pPr>
            <w:r>
              <w:rPr>
                <w:rFonts w:hint="eastAsia" w:ascii="楷体_GB2312" w:hAnsi="楷体_GB2312" w:eastAsia="楷体_GB2312" w:cs="楷体_GB2312"/>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ascii="楷体_GB2312" w:hAnsi="楷体_GB2312" w:eastAsia="楷体_GB2312" w:cs="楷体_GB2312"/>
                <w:b/>
                <w:bCs/>
              </w:rPr>
            </w:pPr>
            <w:r>
              <w:rPr>
                <w:rFonts w:hint="eastAsia" w:ascii="楷体_GB2312" w:hAnsi="楷体_GB2312" w:eastAsia="楷体_GB2312" w:cs="楷体_GB2312"/>
                <w:b/>
                <w:bCs/>
              </w:rPr>
              <w:t>测试内容</w:t>
            </w:r>
          </w:p>
        </w:tc>
      </w:tr>
      <w:tr>
        <w:tblPrEx>
          <w:tblCellMar>
            <w:top w:w="0" w:type="dxa"/>
            <w:left w:w="108" w:type="dxa"/>
            <w:bottom w:w="0" w:type="dxa"/>
            <w:right w:w="108" w:type="dxa"/>
          </w:tblCellMar>
        </w:tblPrEx>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4"/>
              <w:spacing w:line="320" w:lineRule="exact"/>
              <w:jc w:val="center"/>
              <w:rPr>
                <w:rFonts w:ascii="楷体_GB2312" w:hAnsi="楷体_GB2312" w:cs="楷体_GB2312"/>
                <w:b/>
                <w:bCs/>
                <w:szCs w:val="24"/>
              </w:rPr>
            </w:pPr>
            <w:r>
              <w:rPr>
                <w:rFonts w:hint="eastAsia" w:ascii="楷体_GB2312" w:hAnsi="楷体_GB2312" w:cs="楷体_GB2312"/>
                <w:b/>
                <w:bCs/>
                <w:sz w:val="21"/>
                <w:szCs w:val="21"/>
              </w:rPr>
              <w:t>深交所港股通T日测试安排（模拟T日2022年7月2日的交易）</w:t>
            </w:r>
          </w:p>
        </w:tc>
      </w:tr>
      <w:tr>
        <w:tblPrEx>
          <w:tblCellMar>
            <w:top w:w="0" w:type="dxa"/>
            <w:left w:w="108" w:type="dxa"/>
            <w:bottom w:w="0" w:type="dxa"/>
            <w:right w:w="108" w:type="dxa"/>
          </w:tblCellMar>
        </w:tblPrEx>
        <w:trPr>
          <w:trHeight w:val="90"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9:00开始</w:t>
            </w:r>
          </w:p>
        </w:tc>
      </w:tr>
      <w:tr>
        <w:tblPrEx>
          <w:tblCellMar>
            <w:top w:w="0" w:type="dxa"/>
            <w:left w:w="108" w:type="dxa"/>
            <w:bottom w:w="0" w:type="dxa"/>
            <w:right w:w="108" w:type="dxa"/>
          </w:tblCellMar>
        </w:tblPrEx>
        <w:trPr>
          <w:trHeight w:val="211"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模拟港股通交易业务的委托申报，并接收成交回报；实时行情的接收与展示。</w:t>
            </w:r>
          </w:p>
        </w:tc>
      </w:tr>
      <w:tr>
        <w:tblPrEx>
          <w:tblCellMar>
            <w:top w:w="0" w:type="dxa"/>
            <w:left w:w="108" w:type="dxa"/>
            <w:bottom w:w="0" w:type="dxa"/>
            <w:right w:w="108" w:type="dxa"/>
          </w:tblCellMar>
        </w:tblPrEx>
        <w:trPr>
          <w:trHeight w:val="70"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接收港股收盘价格文件</w:t>
            </w:r>
          </w:p>
        </w:tc>
      </w:tr>
      <w:tr>
        <w:tblPrEx>
          <w:tblCellMar>
            <w:top w:w="0" w:type="dxa"/>
            <w:left w:w="108" w:type="dxa"/>
            <w:bottom w:w="0" w:type="dxa"/>
            <w:right w:w="108" w:type="dxa"/>
          </w:tblCellMar>
        </w:tblPrEx>
        <w:trPr>
          <w:trHeight w:val="70"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6</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14:00左右</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发送港股通成交单据文件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trPr>
        <w:tc>
          <w:tcPr>
            <w:tcW w:w="8875" w:type="dxa"/>
            <w:gridSpan w:val="4"/>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color w:val="2E2E2E"/>
                <w:kern w:val="0"/>
              </w:rPr>
            </w:pPr>
            <w:r>
              <w:rPr>
                <w:rFonts w:hint="eastAsia" w:ascii="楷体_GB2312" w:hAnsi="楷体_GB2312" w:eastAsia="楷体_GB2312" w:cs="楷体_GB2312"/>
                <w:b/>
                <w:bCs/>
              </w:rPr>
              <w:t>中国结算深圳分公司T日测试安排（模拟T日2022年7月2日的结算）</w:t>
            </w:r>
          </w:p>
        </w:tc>
      </w:tr>
      <w:tr>
        <w:tblPrEx>
          <w:tblCellMar>
            <w:top w:w="0" w:type="dxa"/>
            <w:left w:w="108" w:type="dxa"/>
            <w:bottom w:w="0" w:type="dxa"/>
            <w:right w:w="108" w:type="dxa"/>
          </w:tblCellMar>
        </w:tblPrEx>
        <w:trPr>
          <w:trHeight w:val="70"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8:30-12:00</w:t>
            </w:r>
          </w:p>
        </w:tc>
        <w:tc>
          <w:tcPr>
            <w:tcW w:w="3402" w:type="dxa"/>
            <w:tcBorders>
              <w:top w:val="single" w:color="auto" w:sz="4" w:space="0"/>
              <w:left w:val="nil"/>
              <w:bottom w:val="single" w:color="auto" w:sz="4" w:space="0"/>
              <w:right w:val="single" w:color="auto" w:sz="4" w:space="0"/>
            </w:tcBorders>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12:10-13:30</w:t>
            </w:r>
          </w:p>
        </w:tc>
        <w:tc>
          <w:tcPr>
            <w:tcW w:w="3402" w:type="dxa"/>
            <w:tcBorders>
              <w:top w:val="single" w:color="auto" w:sz="4" w:space="0"/>
              <w:left w:val="nil"/>
              <w:bottom w:val="single" w:color="auto" w:sz="4" w:space="0"/>
              <w:right w:val="single" w:color="auto" w:sz="4" w:space="0"/>
            </w:tcBorders>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r>
        <w:tblPrEx>
          <w:tblCellMar>
            <w:top w:w="0" w:type="dxa"/>
            <w:left w:w="108" w:type="dxa"/>
            <w:bottom w:w="0" w:type="dxa"/>
            <w:right w:w="108" w:type="dxa"/>
          </w:tblCellMar>
        </w:tblPrEx>
        <w:trPr>
          <w:trHeight w:val="70" w:hRule="atLeast"/>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13:30后</w:t>
            </w:r>
          </w:p>
        </w:tc>
        <w:tc>
          <w:tcPr>
            <w:tcW w:w="3402" w:type="dxa"/>
            <w:tcBorders>
              <w:top w:val="single" w:color="auto" w:sz="4" w:space="0"/>
              <w:left w:val="nil"/>
              <w:bottom w:val="single" w:color="auto" w:sz="4" w:space="0"/>
              <w:right w:val="single" w:color="auto" w:sz="4" w:space="0"/>
            </w:tcBorders>
          </w:tcPr>
          <w:p>
            <w:pPr>
              <w:spacing w:line="300" w:lineRule="exact"/>
              <w:rPr>
                <w:rFonts w:ascii="楷体_GB2312" w:hAnsi="楷体_GB2312" w:eastAsia="楷体_GB2312" w:cs="楷体_GB2312"/>
                <w:color w:val="000000"/>
                <w:szCs w:val="21"/>
              </w:rPr>
            </w:pPr>
            <w:r>
              <w:rPr>
                <w:rFonts w:hint="eastAsia" w:ascii="楷体_GB2312" w:hAnsi="楷体_GB2312" w:eastAsia="楷体_GB2312" w:cs="楷体_GB2312"/>
                <w:color w:val="000000"/>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color w:val="000000"/>
                <w:szCs w:val="21"/>
              </w:rPr>
            </w:pPr>
          </w:p>
        </w:tc>
      </w:tr>
    </w:tbl>
    <w:p>
      <w:pPr>
        <w:widowControl/>
        <w:spacing w:line="408" w:lineRule="auto"/>
        <w:jc w:val="left"/>
        <w:rPr>
          <w:rFonts w:ascii="楷体_GB2312" w:hAnsi="楷体_GB2312" w:eastAsia="楷体_GB2312" w:cs="楷体_GB2312"/>
          <w:kern w:val="0"/>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测试数据</w:t>
      </w:r>
    </w:p>
    <w:p>
      <w:pPr>
        <w:pStyle w:val="26"/>
        <w:numPr>
          <w:ilvl w:val="0"/>
          <w:numId w:val="4"/>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sz w:val="28"/>
          <w:szCs w:val="28"/>
        </w:rPr>
        <w:t>测试数据以2022年7月1日（星期五）深市所有证券收盘行情、收市后的股份数据作为交易、结算的起始数据</w:t>
      </w:r>
      <w:r>
        <w:rPr>
          <w:rFonts w:hint="eastAsia" w:ascii="楷体_GB2312" w:hAnsi="楷体_GB2312" w:eastAsia="楷体_GB2312" w:cs="楷体_GB2312"/>
          <w:kern w:val="0"/>
          <w:sz w:val="28"/>
          <w:szCs w:val="28"/>
        </w:rPr>
        <w:t>。</w:t>
      </w:r>
    </w:p>
    <w:p>
      <w:pPr>
        <w:pStyle w:val="26"/>
        <w:numPr>
          <w:ilvl w:val="0"/>
          <w:numId w:val="4"/>
        </w:numPr>
        <w:spacing w:line="560" w:lineRule="exact"/>
        <w:ind w:firstLine="560" w:firstLineChars="0"/>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测试使用的港股通标的清单与2022年7月4日（星期一）生产系统保持一致。</w:t>
      </w:r>
    </w:p>
    <w:p>
      <w:pPr>
        <w:pStyle w:val="26"/>
        <w:numPr>
          <w:ilvl w:val="0"/>
          <w:numId w:val="4"/>
        </w:numPr>
        <w:spacing w:line="560" w:lineRule="exact"/>
        <w:ind w:firstLine="560" w:firstLineChars="0"/>
        <w:rPr>
          <w:rFonts w:ascii="楷体_GB2312" w:eastAsia="楷体_GB2312"/>
          <w:color w:val="000000"/>
          <w:sz w:val="28"/>
          <w:szCs w:val="28"/>
        </w:rPr>
      </w:pPr>
      <w:r>
        <w:rPr>
          <w:rFonts w:hint="eastAsia" w:ascii="楷体_GB2312" w:eastAsia="楷体_GB2312"/>
          <w:color w:val="000000"/>
          <w:sz w:val="28"/>
          <w:szCs w:val="28"/>
        </w:rPr>
        <w:t>测试使用的交易网关、</w:t>
      </w:r>
      <w:r>
        <w:rPr>
          <w:rFonts w:ascii="楷体_GB2312" w:eastAsia="楷体_GB2312"/>
          <w:color w:val="000000"/>
          <w:sz w:val="28"/>
          <w:szCs w:val="28"/>
        </w:rPr>
        <w:t>交易单元</w:t>
      </w:r>
      <w:r>
        <w:rPr>
          <w:rFonts w:hint="eastAsia" w:ascii="楷体_GB2312" w:eastAsia="楷体_GB2312"/>
          <w:color w:val="000000"/>
          <w:sz w:val="28"/>
          <w:szCs w:val="28"/>
        </w:rPr>
        <w:t>、交易单元与交易网关绑定关系、衍生品结算账号、衍生品合约账户、做市商相关信息、ETF的PD券商名单均与202</w:t>
      </w:r>
      <w:r>
        <w:rPr>
          <w:rFonts w:ascii="楷体_GB2312" w:eastAsia="楷体_GB2312"/>
          <w:color w:val="000000"/>
          <w:sz w:val="28"/>
          <w:szCs w:val="28"/>
        </w:rPr>
        <w:t>2</w:t>
      </w:r>
      <w:r>
        <w:rPr>
          <w:rFonts w:hint="eastAsia" w:ascii="楷体_GB2312" w:eastAsia="楷体_GB2312"/>
          <w:color w:val="000000"/>
          <w:sz w:val="28"/>
          <w:szCs w:val="28"/>
        </w:rPr>
        <w:t>年7</w:t>
      </w:r>
      <w:r>
        <w:rPr>
          <w:rFonts w:ascii="楷体_GB2312" w:eastAsia="楷体_GB2312"/>
          <w:color w:val="000000"/>
          <w:sz w:val="28"/>
          <w:szCs w:val="28"/>
        </w:rPr>
        <w:t>月</w:t>
      </w:r>
      <w:r>
        <w:rPr>
          <w:rFonts w:hint="eastAsia" w:ascii="楷体_GB2312" w:eastAsia="楷体_GB2312"/>
          <w:color w:val="000000"/>
          <w:sz w:val="28"/>
          <w:szCs w:val="28"/>
        </w:rPr>
        <w:t>4</w:t>
      </w:r>
      <w:r>
        <w:rPr>
          <w:rFonts w:ascii="楷体_GB2312" w:eastAsia="楷体_GB2312"/>
          <w:color w:val="000000"/>
          <w:sz w:val="28"/>
          <w:szCs w:val="28"/>
        </w:rPr>
        <w:t>日</w:t>
      </w:r>
      <w:r>
        <w:rPr>
          <w:rFonts w:hint="eastAsia" w:ascii="楷体_GB2312" w:eastAsia="楷体_GB2312"/>
          <w:color w:val="000000"/>
          <w:sz w:val="28"/>
          <w:szCs w:val="28"/>
        </w:rPr>
        <w:t>（星期一）生产系统保持一致。</w:t>
      </w:r>
    </w:p>
    <w:p>
      <w:pPr>
        <w:pStyle w:val="26"/>
        <w:numPr>
          <w:ilvl w:val="0"/>
          <w:numId w:val="4"/>
        </w:numPr>
        <w:spacing w:line="560" w:lineRule="exact"/>
        <w:ind w:firstLine="560" w:firstLineChars="0"/>
        <w:rPr>
          <w:rFonts w:ascii="楷体_GB2312" w:eastAsia="楷体_GB2312"/>
          <w:color w:val="000000"/>
          <w:sz w:val="28"/>
          <w:szCs w:val="28"/>
        </w:rPr>
      </w:pPr>
      <w:r>
        <w:rPr>
          <w:rFonts w:hint="eastAsia" w:ascii="楷体_GB2312" w:eastAsia="楷体_GB2312"/>
          <w:color w:val="000000"/>
          <w:sz w:val="28"/>
          <w:szCs w:val="28"/>
        </w:rPr>
        <w:t>ETF的PCF/IOPV文件</w:t>
      </w:r>
    </w:p>
    <w:p>
      <w:pPr>
        <w:pStyle w:val="26"/>
        <w:numPr>
          <w:ilvl w:val="255"/>
          <w:numId w:val="0"/>
        </w:numPr>
        <w:spacing w:line="560" w:lineRule="exact"/>
        <w:ind w:firstLine="560" w:firstLineChars="200"/>
        <w:rPr>
          <w:rFonts w:ascii="楷体_GB2312" w:eastAsia="楷体_GB2312"/>
          <w:color w:val="000000"/>
          <w:sz w:val="28"/>
          <w:szCs w:val="28"/>
        </w:rPr>
      </w:pPr>
      <w:r>
        <w:rPr>
          <w:rFonts w:hint="eastAsia" w:ascii="楷体_GB2312" w:eastAsia="楷体_GB2312"/>
          <w:color w:val="000000"/>
          <w:sz w:val="28"/>
          <w:szCs w:val="28"/>
        </w:rPr>
        <w:t>所有ETF测试使用的PCF/IOPV文件与2022年7月1日（星期五）交易生产系统保持一致，所有基金管理人均无需上传全网测试使用的PCF/IOPV文件。</w:t>
      </w:r>
    </w:p>
    <w:bookmarkEnd w:id="0"/>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注意事项</w:t>
      </w:r>
    </w:p>
    <w:p>
      <w:pPr>
        <w:numPr>
          <w:ilvl w:val="0"/>
          <w:numId w:val="5"/>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本次测试包括交易系统、结算系统、D-COM系统（不包括资金划拨业务）。</w:t>
      </w:r>
    </w:p>
    <w:p>
      <w:pPr>
        <w:numPr>
          <w:ilvl w:val="0"/>
          <w:numId w:val="5"/>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在2022年7月1日前（含）开通了港股通业务交易权限的会员及其他交易参与人可直接参与ETF纳入港股通标的业务通关测试。</w:t>
      </w:r>
    </w:p>
    <w:p>
      <w:pPr>
        <w:numPr>
          <w:ilvl w:val="0"/>
          <w:numId w:val="5"/>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D-COM系统在2022年7月2日期间属于测试环境，2022年7月2日（星期六）23:45以后将恢复回生产环境。</w:t>
      </w:r>
    </w:p>
    <w:p>
      <w:pPr>
        <w:numPr>
          <w:ilvl w:val="0"/>
          <w:numId w:val="5"/>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测试期间通过交易终端进行的密码修改、用户添加等用户管理相关操作，仅在测试期间有效，仅适用于2022年7月2日全网测试。</w:t>
      </w:r>
    </w:p>
    <w:p>
      <w:pPr>
        <w:numPr>
          <w:ilvl w:val="0"/>
          <w:numId w:val="5"/>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请各参测单位</w:t>
      </w:r>
      <w:r>
        <w:rPr>
          <w:rFonts w:hint="eastAsia" w:ascii="楷体_GB2312" w:hAnsi="楷体_GB2312" w:eastAsia="楷体_GB2312" w:cs="楷体_GB2312"/>
          <w:color w:val="000000"/>
          <w:sz w:val="28"/>
          <w:szCs w:val="28"/>
        </w:rPr>
        <w:t>根据自身技术系统情况，制定详尽的测试计划和操作流程。测试前</w:t>
      </w:r>
      <w:r>
        <w:rPr>
          <w:rFonts w:hint="eastAsia" w:ascii="楷体_GB2312" w:hAnsi="楷体_GB2312" w:eastAsia="楷体_GB2312" w:cs="楷体_GB2312"/>
          <w:sz w:val="28"/>
          <w:szCs w:val="28"/>
        </w:rPr>
        <w:t>先做好</w:t>
      </w:r>
      <w:r>
        <w:rPr>
          <w:rFonts w:hint="eastAsia" w:ascii="楷体_GB2312" w:hAnsi="楷体_GB2312" w:eastAsia="楷体_GB2312" w:cs="楷体_GB2312"/>
          <w:color w:val="000000"/>
          <w:sz w:val="28"/>
          <w:szCs w:val="28"/>
        </w:rPr>
        <w:t>线上系统和数据环境的保护工作</w:t>
      </w:r>
      <w:r>
        <w:rPr>
          <w:rFonts w:hint="eastAsia" w:ascii="楷体_GB2312" w:hAnsi="楷体_GB2312" w:eastAsia="楷体_GB2312" w:cs="楷体_GB2312"/>
          <w:sz w:val="28"/>
          <w:szCs w:val="28"/>
        </w:rPr>
        <w:t>，再准备2022年7月2日测试相关数据。</w:t>
      </w:r>
      <w:r>
        <w:rPr>
          <w:rFonts w:hint="eastAsia" w:ascii="楷体_GB2312" w:hAnsi="楷体_GB2312" w:eastAsia="楷体_GB2312" w:cs="楷体_GB2312"/>
          <w:color w:val="000000"/>
          <w:sz w:val="28"/>
          <w:szCs w:val="28"/>
        </w:rPr>
        <w:t>测试完成后做好线上系统的变更稽核和数据环境的恢复工作，确保下一交易日（2022年7月4日）生产系统的正确运行。</w:t>
      </w:r>
    </w:p>
    <w:p>
      <w:pPr>
        <w:numPr>
          <w:ilvl w:val="0"/>
          <w:numId w:val="5"/>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本次测试的数据仅为模拟测试数据，与实际业务无任何关系，不能作为生产环境任何交易、非交易、账户等业务的依据。</w:t>
      </w:r>
    </w:p>
    <w:p>
      <w:pPr>
        <w:numPr>
          <w:ilvl w:val="255"/>
          <w:numId w:val="0"/>
        </w:numPr>
        <w:tabs>
          <w:tab w:val="left" w:pos="840"/>
          <w:tab w:val="left" w:pos="928"/>
          <w:tab w:val="left" w:pos="1050"/>
        </w:tabs>
        <w:ind w:left="567"/>
        <w:rPr>
          <w:rFonts w:ascii="楷体_GB2312" w:hAnsi="楷体_GB2312" w:eastAsia="楷体_GB2312" w:cs="楷体_GB2312"/>
          <w:sz w:val="28"/>
          <w:szCs w:val="28"/>
        </w:rPr>
      </w:pPr>
    </w:p>
    <w:p>
      <w:pPr>
        <w:numPr>
          <w:ilvl w:val="0"/>
          <w:numId w:val="1"/>
        </w:numPr>
        <w:ind w:left="0" w:firstLine="0"/>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测试要求</w:t>
      </w:r>
    </w:p>
    <w:p>
      <w:pPr>
        <w:numPr>
          <w:ilvl w:val="0"/>
          <w:numId w:val="6"/>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请各会员</w:t>
      </w:r>
      <w:bookmarkStart w:id="1" w:name="_Hlk43975629"/>
      <w:r>
        <w:rPr>
          <w:rFonts w:hint="eastAsia" w:ascii="楷体_GB2312" w:hAnsi="楷体_GB2312" w:eastAsia="楷体_GB2312" w:cs="楷体_GB2312"/>
          <w:sz w:val="28"/>
          <w:szCs w:val="28"/>
        </w:rPr>
        <w:t>、基金管理公司、港股通交易参与人、行情服务商、</w:t>
      </w:r>
      <w:bookmarkEnd w:id="1"/>
      <w:r>
        <w:rPr>
          <w:rFonts w:hint="eastAsia" w:ascii="楷体_GB2312" w:hAnsi="楷体_GB2312" w:eastAsia="楷体_GB2312" w:cs="楷体_GB2312"/>
          <w:sz w:val="28"/>
          <w:szCs w:val="28"/>
        </w:rPr>
        <w:t>结算参与机构及相关单位务必参加测试。因故不能参加测试者，请务必填写反馈表（参见附件1）说明原因，并通知深交所。</w:t>
      </w:r>
    </w:p>
    <w:p>
      <w:pPr>
        <w:numPr>
          <w:ilvl w:val="0"/>
          <w:numId w:val="6"/>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在测试过程中，请各参测单位详细记载测试现象与结果，检查其正确性。如发现异常现象，请及时报告。</w:t>
      </w:r>
    </w:p>
    <w:p>
      <w:pPr>
        <w:numPr>
          <w:ilvl w:val="0"/>
          <w:numId w:val="6"/>
        </w:numPr>
        <w:tabs>
          <w:tab w:val="left" w:pos="840"/>
          <w:tab w:val="left" w:pos="928"/>
          <w:tab w:val="left" w:pos="1050"/>
        </w:tabs>
        <w:ind w:left="0" w:firstLine="567"/>
        <w:rPr>
          <w:rFonts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本次全网测试设定港股通额度为420亿元人民币，为确保各交易参与人都能全面、完整地进行测试，请各交易参与人在测试当天申报的港股通买入委托总金额务必不要超过2亿港币（卖出成交、撤销买委托后均不增加交易参与人自身可用的港股买入委托总金额），并将港股通的委托价格维持在合理水平（如昨收盘价格的上下</w:t>
      </w:r>
      <w:r>
        <w:rPr>
          <w:rFonts w:ascii="楷体_GB2312" w:hAnsi="楷体_GB2312" w:eastAsia="楷体_GB2312" w:cs="楷体_GB2312"/>
          <w:color w:val="FF0000"/>
          <w:sz w:val="28"/>
          <w:szCs w:val="28"/>
        </w:rPr>
        <w:t>10%</w:t>
      </w:r>
      <w:r>
        <w:rPr>
          <w:rFonts w:hint="eastAsia" w:ascii="楷体_GB2312" w:hAnsi="楷体_GB2312" w:eastAsia="楷体_GB2312" w:cs="楷体_GB2312"/>
          <w:color w:val="FF0000"/>
          <w:sz w:val="28"/>
          <w:szCs w:val="28"/>
        </w:rPr>
        <w:t>、不超过</w:t>
      </w:r>
      <w:r>
        <w:rPr>
          <w:rFonts w:ascii="楷体_GB2312" w:hAnsi="楷体_GB2312" w:eastAsia="楷体_GB2312" w:cs="楷体_GB2312"/>
          <w:color w:val="FF0000"/>
          <w:sz w:val="28"/>
          <w:szCs w:val="28"/>
        </w:rPr>
        <w:t>1000</w:t>
      </w:r>
      <w:r>
        <w:rPr>
          <w:rFonts w:hint="eastAsia" w:ascii="楷体_GB2312" w:hAnsi="楷体_GB2312" w:eastAsia="楷体_GB2312" w:cs="楷体_GB2312"/>
          <w:color w:val="FF0000"/>
          <w:sz w:val="28"/>
          <w:szCs w:val="28"/>
        </w:rPr>
        <w:t>元），若拒不配合测试要求，将触发香港市场的异常交易监控或证券停牌，导致部分场景无法完成测试，造成严重后果的，深交所将严肃处理。</w:t>
      </w:r>
    </w:p>
    <w:p>
      <w:pPr>
        <w:numPr>
          <w:ilvl w:val="0"/>
          <w:numId w:val="6"/>
        </w:numPr>
        <w:tabs>
          <w:tab w:val="left" w:pos="840"/>
          <w:tab w:val="left" w:pos="928"/>
          <w:tab w:val="left" w:pos="1050"/>
        </w:tabs>
        <w:ind w:left="0" w:firstLine="567"/>
        <w:rPr>
          <w:rFonts w:ascii="楷体_GB2312" w:hAnsi="楷体_GB2312" w:eastAsia="楷体_GB2312" w:cs="楷体_GB2312"/>
          <w:sz w:val="28"/>
          <w:szCs w:val="28"/>
        </w:rPr>
      </w:pPr>
      <w:r>
        <w:rPr>
          <w:rFonts w:hint="eastAsia" w:ascii="楷体_GB2312" w:hAnsi="楷体_GB2312" w:eastAsia="楷体_GB2312" w:cs="楷体_GB2312"/>
          <w:sz w:val="28"/>
          <w:szCs w:val="28"/>
        </w:rPr>
        <w:t>测试完成后，各参测单位应在2022年7月2日14:00前提交测试反馈表（见附件1）。请会员单位、基金管理公司、港股通交易参与人、期货公司等交易参与者登录深交所“会员业务专区”首页底部“友情链接―在线调查表”栏目填写并提交反馈表（填报内容支持更新）；行情服务商、结算参与机构、托管行等无法登录会员业务专区的参测单位,请通过互联网地址https://survey.szse.cn/v/tech填写反馈表（填报内容不支持更新，多次提交以最后一次为准）。</w:t>
      </w:r>
    </w:p>
    <w:p>
      <w:pPr>
        <w:tabs>
          <w:tab w:val="left" w:pos="420"/>
        </w:tabs>
        <w:outlineLvl w:val="0"/>
        <w:rPr>
          <w:rFonts w:ascii="楷体_GB2312" w:hAnsi="楷体_GB2312" w:eastAsia="楷体_GB2312" w:cs="楷体_GB2312"/>
          <w:b/>
          <w:sz w:val="28"/>
          <w:szCs w:val="28"/>
        </w:rPr>
      </w:pPr>
    </w:p>
    <w:p>
      <w:pPr>
        <w:numPr>
          <w:ilvl w:val="0"/>
          <w:numId w:val="1"/>
        </w:numPr>
        <w:outlineLvl w:val="0"/>
        <w:rPr>
          <w:rFonts w:ascii="楷体_GB2312" w:hAnsi="楷体_GB2312" w:eastAsia="楷体_GB2312" w:cs="楷体_GB2312"/>
          <w:b/>
          <w:sz w:val="28"/>
          <w:szCs w:val="28"/>
        </w:rPr>
      </w:pPr>
      <w:r>
        <w:rPr>
          <w:rFonts w:hint="eastAsia" w:ascii="楷体_GB2312" w:hAnsi="楷体_GB2312" w:eastAsia="楷体_GB2312" w:cs="楷体_GB2312"/>
          <w:b/>
          <w:sz w:val="28"/>
          <w:szCs w:val="28"/>
        </w:rPr>
        <w:t>联系电话</w:t>
      </w:r>
    </w:p>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技术咨询电话：</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深圳证券交易所：0755-82083510</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中国结算深圳分公司：0755-25946080</w:t>
      </w:r>
    </w:p>
    <w:p>
      <w:pPr>
        <w:widowControl/>
        <w:spacing w:line="360" w:lineRule="atLeast"/>
        <w:ind w:firstLine="3920" w:firstLineChars="1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0755-88666429（仅测试期间）</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深圳证券通信有限公司：0755-83182222</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深圳证券信息有限公司：0755-83990296</w:t>
      </w:r>
    </w:p>
    <w:p>
      <w:pPr>
        <w:widowControl/>
        <w:spacing w:line="360" w:lineRule="atLeast"/>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业务咨询电话：</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深圳证券交易所：0755-88668156</w:t>
      </w:r>
    </w:p>
    <w:p>
      <w:pPr>
        <w:widowControl/>
        <w:spacing w:line="360" w:lineRule="atLeast"/>
        <w:ind w:firstLine="1120" w:firstLineChars="400"/>
        <w:jc w:val="left"/>
        <w:rPr>
          <w:rFonts w:ascii="楷体_GB2312" w:hAnsi="楷体_GB2312" w:eastAsia="楷体_GB2312" w:cs="楷体_GB2312"/>
          <w:sz w:val="28"/>
          <w:szCs w:val="28"/>
        </w:rPr>
      </w:pPr>
      <w:r>
        <w:rPr>
          <w:rFonts w:hint="eastAsia" w:ascii="楷体_GB2312" w:hAnsi="楷体_GB2312" w:eastAsia="楷体_GB2312" w:cs="楷体_GB2312"/>
          <w:sz w:val="28"/>
          <w:szCs w:val="28"/>
        </w:rPr>
        <w:t>中国结算深圳分公司：0755-21899270</w:t>
      </w:r>
    </w:p>
    <w:p>
      <w:pPr>
        <w:widowControl/>
        <w:spacing w:line="360" w:lineRule="atLeast"/>
        <w:jc w:val="left"/>
        <w:rPr>
          <w:rFonts w:ascii="楷体_GB2312" w:hAnsi="楷体_GB2312" w:eastAsia="楷体_GB2312" w:cs="楷体_GB2312"/>
          <w:kern w:val="0"/>
          <w:sz w:val="28"/>
          <w:szCs w:val="28"/>
        </w:rPr>
      </w:pPr>
    </w:p>
    <w:p>
      <w:pPr>
        <w:widowControl/>
        <w:spacing w:line="360" w:lineRule="atLeast"/>
        <w:ind w:firstLine="360"/>
        <w:jc w:val="right"/>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深圳证券交易所</w:t>
      </w:r>
    </w:p>
    <w:p>
      <w:pPr>
        <w:widowControl/>
        <w:spacing w:line="360" w:lineRule="atLeast"/>
        <w:ind w:firstLine="360"/>
        <w:jc w:val="right"/>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中国证券登记结算有限责任公司深圳分公司</w:t>
      </w:r>
    </w:p>
    <w:p>
      <w:pPr>
        <w:widowControl/>
        <w:spacing w:line="360" w:lineRule="atLeast"/>
        <w:ind w:firstLine="360"/>
        <w:jc w:val="right"/>
        <w:rPr>
          <w:rFonts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2022年6月2</w:t>
      </w:r>
      <w:r>
        <w:rPr>
          <w:rFonts w:hint="eastAsia" w:ascii="楷体_GB2312" w:hAnsi="楷体_GB2312" w:eastAsia="楷体_GB2312" w:cs="楷体_GB2312"/>
          <w:kern w:val="0"/>
          <w:sz w:val="28"/>
          <w:szCs w:val="28"/>
          <w:lang w:val="en-US" w:eastAsia="zh-CN"/>
        </w:rPr>
        <w:t>8</w:t>
      </w:r>
      <w:bookmarkStart w:id="2" w:name="_GoBack"/>
      <w:bookmarkEnd w:id="2"/>
      <w:r>
        <w:rPr>
          <w:rFonts w:hint="eastAsia" w:ascii="楷体_GB2312" w:hAnsi="楷体_GB2312" w:eastAsia="楷体_GB2312" w:cs="楷体_GB2312"/>
          <w:kern w:val="0"/>
          <w:sz w:val="28"/>
          <w:szCs w:val="28"/>
        </w:rPr>
        <w:t>日</w:t>
      </w:r>
    </w:p>
    <w:p>
      <w:pPr>
        <w:rPr>
          <w:rFonts w:ascii="楷体_GB2312" w:hAnsi="楷体_GB2312" w:eastAsia="楷体_GB2312" w:cs="楷体_GB2312"/>
          <w:b/>
          <w:szCs w:val="28"/>
        </w:rPr>
      </w:pPr>
    </w:p>
    <w:p>
      <w:pPr>
        <w:pStyle w:val="4"/>
        <w:spacing w:after="156"/>
        <w:rPr>
          <w:rFonts w:ascii="楷体_GB2312" w:hAnsi="楷体_GB2312" w:cs="楷体_GB2312"/>
          <w:b/>
          <w:color w:val="000000"/>
          <w:szCs w:val="28"/>
        </w:rPr>
        <w:sectPr>
          <w:pgSz w:w="11906" w:h="16838"/>
          <w:pgMar w:top="1440" w:right="1800" w:bottom="1440" w:left="1800" w:header="851" w:footer="992" w:gutter="0"/>
          <w:cols w:space="425" w:num="1"/>
          <w:docGrid w:type="lines" w:linePitch="312" w:charSpace="0"/>
        </w:sectPr>
      </w:pPr>
    </w:p>
    <w:p>
      <w:pPr>
        <w:pStyle w:val="4"/>
        <w:spacing w:after="156"/>
        <w:rPr>
          <w:rFonts w:ascii="楷体_GB2312" w:hAnsi="楷体_GB2312" w:cs="楷体_GB2312"/>
          <w:b/>
          <w:color w:val="000000"/>
          <w:szCs w:val="28"/>
        </w:rPr>
      </w:pPr>
      <w:r>
        <w:rPr>
          <w:rFonts w:hint="eastAsia" w:ascii="楷体_GB2312" w:hAnsi="楷体_GB2312" w:cs="楷体_GB2312"/>
          <w:b/>
          <w:color w:val="000000"/>
          <w:szCs w:val="28"/>
        </w:rPr>
        <w:t>附件</w:t>
      </w:r>
      <w:r>
        <w:rPr>
          <w:rFonts w:ascii="楷体_GB2312" w:hAnsi="楷体_GB2312" w:cs="楷体_GB2312"/>
          <w:b/>
          <w:color w:val="000000"/>
          <w:szCs w:val="28"/>
        </w:rPr>
        <w:t>1</w:t>
      </w:r>
    </w:p>
    <w:p>
      <w:pPr>
        <w:widowControl/>
        <w:spacing w:line="360" w:lineRule="atLeast"/>
        <w:jc w:val="center"/>
        <w:outlineLvl w:val="0"/>
        <w:rPr>
          <w:rFonts w:ascii="楷体_GB2312" w:hAnsi="楷体_GB2312" w:eastAsia="楷体_GB2312" w:cs="楷体_GB2312"/>
          <w:b/>
          <w:kern w:val="0"/>
          <w:sz w:val="32"/>
          <w:szCs w:val="32"/>
        </w:rPr>
      </w:pPr>
      <w:r>
        <w:rPr>
          <w:rFonts w:hint="eastAsia" w:ascii="楷体_GB2312" w:hAnsi="楷体_GB2312" w:eastAsia="楷体_GB2312" w:cs="楷体_GB2312"/>
          <w:b/>
          <w:kern w:val="0"/>
          <w:sz w:val="32"/>
          <w:szCs w:val="21"/>
        </w:rPr>
        <w:t>ETF纳入港股通标的业务2022年7月2日通关测试反馈表</w:t>
      </w:r>
    </w:p>
    <w:tbl>
      <w:tblPr>
        <w:tblStyle w:val="10"/>
        <w:tblW w:w="93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223"/>
        <w:gridCol w:w="471"/>
        <w:gridCol w:w="1417"/>
        <w:gridCol w:w="1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会员代码</w:t>
            </w:r>
          </w:p>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（仅会员填写）</w:t>
            </w:r>
          </w:p>
        </w:tc>
        <w:tc>
          <w:tcPr>
            <w:tcW w:w="2694" w:type="dxa"/>
            <w:gridSpan w:val="2"/>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c>
          <w:tcPr>
            <w:tcW w:w="1417" w:type="dxa"/>
            <w:tcBorders>
              <w:top w:val="single" w:color="auto" w:sz="4" w:space="0"/>
              <w:left w:val="nil"/>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公司名称</w:t>
            </w:r>
          </w:p>
        </w:tc>
        <w:tc>
          <w:tcPr>
            <w:tcW w:w="1853" w:type="dxa"/>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联系人</w:t>
            </w:r>
          </w:p>
        </w:tc>
        <w:tc>
          <w:tcPr>
            <w:tcW w:w="2694" w:type="dxa"/>
            <w:gridSpan w:val="2"/>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c>
          <w:tcPr>
            <w:tcW w:w="1417" w:type="dxa"/>
            <w:tcBorders>
              <w:top w:val="single" w:color="auto" w:sz="4" w:space="0"/>
              <w:left w:val="nil"/>
              <w:bottom w:val="single" w:color="auto" w:sz="4" w:space="0"/>
              <w:right w:val="single" w:color="auto" w:sz="4" w:space="0"/>
            </w:tcBorders>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联系电话</w:t>
            </w:r>
          </w:p>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(包括手机)</w:t>
            </w:r>
          </w:p>
        </w:tc>
        <w:tc>
          <w:tcPr>
            <w:tcW w:w="1853" w:type="dxa"/>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Email地址</w:t>
            </w:r>
          </w:p>
        </w:tc>
        <w:tc>
          <w:tcPr>
            <w:tcW w:w="5964"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本业务涉及系统的软件开发商名称</w:t>
            </w:r>
          </w:p>
        </w:tc>
        <w:tc>
          <w:tcPr>
            <w:tcW w:w="5964"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是否参加本次测试</w:t>
            </w:r>
          </w:p>
        </w:tc>
        <w:tc>
          <w:tcPr>
            <w:tcW w:w="5964"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◎已参测</w:t>
            </w:r>
          </w:p>
          <w:p>
            <w:pPr>
              <w:rPr>
                <w:rFonts w:ascii="楷体_GB2312" w:hAnsi="楷体_GB2312" w:eastAsia="楷体_GB2312" w:cs="楷体_GB2312"/>
                <w:sz w:val="20"/>
                <w:szCs w:val="20"/>
              </w:rPr>
            </w:pPr>
            <w:r>
              <w:rPr>
                <w:rFonts w:hint="eastAsia" w:ascii="楷体_GB2312" w:hAnsi="楷体_GB2312" w:eastAsia="楷体_GB2312" w:cs="楷体_GB2312"/>
                <w:sz w:val="20"/>
                <w:szCs w:val="20"/>
              </w:rPr>
              <w:t>◎未参测，未参测原因:</w:t>
            </w:r>
            <w:r>
              <w:rPr>
                <w:rFonts w:hint="eastAsia" w:ascii="楷体_GB2312" w:hAnsi="楷体_GB2312" w:eastAsia="楷体_GB2312" w:cs="楷体_GB2312"/>
                <w:sz w:val="20"/>
              </w:rPr>
              <w:t xml:space="preserve">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_GB2312" w:hAnsi="楷体_GB2312" w:eastAsia="楷体_GB2312" w:cs="楷体_GB2312"/>
                <w:sz w:val="20"/>
                <w:szCs w:val="20"/>
              </w:rPr>
            </w:pPr>
            <w:r>
              <w:rPr>
                <w:rFonts w:hint="eastAsia" w:ascii="楷体_GB2312" w:hAnsi="楷体_GB2312" w:eastAsia="楷体_GB2312" w:cs="楷体_GB2312"/>
                <w:sz w:val="20"/>
                <w:szCs w:val="20"/>
              </w:rPr>
              <w:t>ETF纳入港股通标的相关技术系统是否已上线</w:t>
            </w:r>
          </w:p>
        </w:tc>
        <w:tc>
          <w:tcPr>
            <w:tcW w:w="5964" w:type="dxa"/>
            <w:gridSpan w:val="4"/>
            <w:tcBorders>
              <w:top w:val="single" w:color="auto" w:sz="4" w:space="0"/>
              <w:left w:val="nil"/>
              <w:bottom w:val="single" w:color="auto" w:sz="4" w:space="0"/>
              <w:right w:val="single" w:color="auto" w:sz="4" w:space="0"/>
            </w:tcBorders>
          </w:tcPr>
          <w:p>
            <w:pPr>
              <w:rPr>
                <w:rFonts w:ascii="楷体_GB2312" w:hAnsi="楷体_GB2312" w:eastAsia="楷体_GB2312" w:cs="楷体_GB2312"/>
                <w:sz w:val="20"/>
              </w:rPr>
            </w:pPr>
            <w:r>
              <w:rPr>
                <w:rFonts w:hint="eastAsia" w:ascii="楷体_GB2312" w:hAnsi="楷体_GB2312" w:eastAsia="楷体_GB2312" w:cs="楷体_GB2312"/>
                <w:sz w:val="20"/>
              </w:rPr>
              <w:t>◎暂不开展此项业务</w:t>
            </w:r>
          </w:p>
          <w:p>
            <w:pPr>
              <w:rPr>
                <w:rFonts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p>
          <w:p>
            <w:pPr>
              <w:rPr>
                <w:rFonts w:ascii="楷体_GB2312" w:hAnsi="楷体_GB2312" w:eastAsia="楷体_GB2312" w:cs="楷体_GB2312"/>
                <w:sz w:val="20"/>
              </w:rPr>
            </w:pPr>
            <w:r>
              <w:rPr>
                <w:rFonts w:hint="eastAsia" w:ascii="楷体_GB2312" w:hAnsi="楷体_GB2312" w:eastAsia="楷体_GB2312" w:cs="楷体_GB2312"/>
                <w:sz w:val="20"/>
              </w:rPr>
              <w:t>◎需要改造且技术系统已上线</w:t>
            </w:r>
          </w:p>
          <w:p>
            <w:pPr>
              <w:rPr>
                <w:rFonts w:ascii="楷体_GB2312" w:hAnsi="楷体_GB2312" w:eastAsia="楷体_GB2312" w:cs="楷体_GB2312"/>
                <w:sz w:val="20"/>
              </w:rPr>
            </w:pPr>
            <w:r>
              <w:rPr>
                <w:rFonts w:hint="eastAsia" w:ascii="楷体_GB2312" w:hAnsi="楷体_GB2312" w:eastAsia="楷体_GB2312" w:cs="楷体_GB2312"/>
                <w:sz w:val="20"/>
              </w:rPr>
              <w:t>◎需要改造但技术系统暂未上线，预计就绪时间: ________。深交所、结算公司技术系统上线后，已评估现有业务均可正常开展。</w:t>
            </w:r>
          </w:p>
          <w:p>
            <w:pPr>
              <w:rPr>
                <w:rFonts w:ascii="楷体_GB2312" w:hAnsi="楷体_GB2312" w:eastAsia="楷体_GB2312" w:cs="楷体_GB2312"/>
                <w:sz w:val="20"/>
                <w:szCs w:val="20"/>
              </w:rPr>
            </w:pPr>
            <w:r>
              <w:rPr>
                <w:rFonts w:hint="eastAsia" w:ascii="楷体_GB2312" w:hAnsi="楷体_GB2312" w:eastAsia="楷体_GB2312" w:cs="楷体_GB2312"/>
                <w:sz w:val="20"/>
              </w:rPr>
              <w:t>◎需要改造但技术系统暂未上线，预计就绪时间: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CellMar>
            <w:top w:w="0" w:type="dxa"/>
            <w:left w:w="108" w:type="dxa"/>
            <w:bottom w:w="0" w:type="dxa"/>
            <w:right w:w="108" w:type="dxa"/>
          </w:tblCellMar>
        </w:tblPrEx>
        <w:trPr>
          <w:trHeight w:val="644" w:hRule="atLeast"/>
          <w:jc w:val="center"/>
        </w:trPr>
        <w:tc>
          <w:tcPr>
            <w:tcW w:w="9361" w:type="dxa"/>
            <w:gridSpan w:val="6"/>
            <w:tcBorders>
              <w:top w:val="single" w:color="auto" w:sz="4" w:space="0"/>
              <w:left w:val="single" w:color="auto" w:sz="4" w:space="0"/>
              <w:bottom w:val="single" w:color="auto" w:sz="4" w:space="0"/>
              <w:right w:val="single" w:color="auto" w:sz="4" w:space="0"/>
            </w:tcBorders>
            <w:vAlign w:val="center"/>
          </w:tcPr>
          <w:p>
            <w:pPr>
              <w:jc w:val="center"/>
              <w:rPr>
                <w:rFonts w:ascii="楷体_GB2312" w:hAnsi="楷体_GB2312" w:eastAsia="楷体_GB2312" w:cs="楷体_GB2312"/>
                <w:sz w:val="20"/>
                <w:szCs w:val="20"/>
              </w:rPr>
            </w:pPr>
            <w:r>
              <w:rPr>
                <w:rFonts w:hint="eastAsia" w:ascii="楷体_GB2312" w:hAnsi="楷体_GB2312" w:eastAsia="楷体_GB2312" w:cs="楷体_GB2312"/>
                <w:sz w:val="20"/>
                <w:szCs w:val="20"/>
              </w:rPr>
              <w:t>请填写以下各功能点测试结果</w:t>
            </w:r>
            <w:r>
              <w:rPr>
                <w:rFonts w:hint="eastAsia" w:ascii="楷体_GB2312" w:hAnsi="楷体_GB2312" w:eastAsia="楷体_GB2312" w:cs="楷体_GB2312"/>
                <w:b/>
                <w:bCs/>
                <w:sz w:val="20"/>
                <w:szCs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BEBEBE" w:themeFill="background1" w:themeFillShade="BF"/>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ETF纳入港股通标的业务测试反馈项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港股通相关静态交易参考信息文件（imcparams、imcsecurityparams、imcexchangerate、hkexreff04、hkexzxjc）的接收与处理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正确识别出相关ETF新纳入港股通标的</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港股通ETF交易（整手买）的委托申报、成交回报</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港股通股票交易（整手买、整手卖）的委托申报、成交回报</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港股通股票交易（零股卖）的委托申报、成交回报</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港股通ETF交易的行情接收与展示</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港股通股票交易的行情接收与展示</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w:t>
            </w:r>
            <w:r>
              <w:rPr>
                <w:rFonts w:hint="eastAsia" w:ascii="楷体_GB2312" w:hAnsi="楷体_GB2312" w:eastAsia="楷体_GB2312" w:cs="楷体_GB2312"/>
                <w:kern w:val="0"/>
                <w:sz w:val="20"/>
                <w:szCs w:val="20"/>
                <w:lang w:bidi="ar"/>
              </w:rPr>
              <w:t>港股收盘价格文件</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lang w:bidi="ar"/>
              </w:rPr>
              <w:t>接收并处理港股通成交单据文件</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rPr>
              <w:t>接收并处理国际市场互联平台成交汇总文件</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港股通股票交易的</w:t>
            </w:r>
            <w:r>
              <w:rPr>
                <w:rFonts w:hint="eastAsia" w:ascii="楷体_GB2312" w:hAnsi="楷体_GB2312" w:eastAsia="楷体_GB2312" w:cs="楷体_GB2312"/>
                <w:color w:val="000000"/>
                <w:kern w:val="0"/>
                <w:sz w:val="20"/>
              </w:rPr>
              <w:t>清算交收业务处理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w:t>
            </w:r>
            <w:r>
              <w:rPr>
                <w:rFonts w:hint="eastAsia" w:ascii="楷体_GB2312" w:hAnsi="楷体_GB2312" w:eastAsia="楷体_GB2312" w:cs="楷体_GB2312"/>
                <w:color w:val="000000"/>
                <w:kern w:val="0"/>
                <w:sz w:val="20"/>
              </w:rPr>
              <w:t>ETF交易的清算业务处理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港股通按金业务处理</w:t>
            </w:r>
          </w:p>
        </w:tc>
        <w:tc>
          <w:tcPr>
            <w:tcW w:w="3741" w:type="dxa"/>
            <w:gridSpan w:val="3"/>
            <w:vAlign w:val="center"/>
          </w:tcPr>
          <w:p>
            <w:pPr>
              <w:widowControl/>
              <w:jc w:val="center"/>
              <w:rPr>
                <w:rFonts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港股通差额缴款业务处理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港股通转托管业务委托申报及处理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港股通司法冻结业务委托申报及处理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港股通司法解冻业务委托申报及处理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港股通续冻业务委托申报及处理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港股通解除轮候业务委托申报及处理</w:t>
            </w:r>
          </w:p>
        </w:tc>
        <w:tc>
          <w:tcPr>
            <w:tcW w:w="3741" w:type="dxa"/>
            <w:gridSpan w:val="3"/>
            <w:vAlign w:val="center"/>
          </w:tcPr>
          <w:p>
            <w:pPr>
              <w:widowControl/>
              <w:jc w:val="center"/>
              <w:rPr>
                <w:rFonts w:ascii="楷体_GB2312" w:hAnsi="楷体_GB2312" w:eastAsia="楷体_GB2312" w:cs="楷体_GB2312"/>
                <w:kern w:val="0"/>
                <w:sz w:val="20"/>
                <w:szCs w:val="20"/>
              </w:rPr>
            </w:pPr>
            <w:r>
              <w:rPr>
                <w:rFonts w:hint="eastAsia" w:ascii="楷体_GB2312" w:hAnsi="楷体_GB2312" w:eastAsia="楷体_GB2312" w:cs="楷体_GB2312"/>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9361" w:type="dxa"/>
            <w:gridSpan w:val="6"/>
            <w:shd w:val="clear" w:color="auto" w:fill="BEBEBE" w:themeFill="background1" w:themeFillShade="BF"/>
            <w:vAlign w:val="center"/>
          </w:tcPr>
          <w:p>
            <w:pPr>
              <w:widowControl/>
              <w:jc w:val="center"/>
              <w:rPr>
                <w:rFonts w:ascii="楷体_GB2312" w:hAnsi="楷体_GB2312" w:eastAsia="楷体_GB2312" w:cs="楷体_GB2312"/>
                <w:b/>
                <w:kern w:val="0"/>
                <w:sz w:val="20"/>
              </w:rPr>
            </w:pPr>
            <w:r>
              <w:rPr>
                <w:rFonts w:hint="eastAsia" w:ascii="楷体_GB2312" w:hAnsi="楷体_GB2312" w:eastAsia="楷体_GB2312" w:cs="楷体_GB2312"/>
                <w:b/>
                <w:kern w:val="0"/>
                <w:sz w:val="20"/>
              </w:rPr>
              <w:t>其他反馈项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早间下发的静态交易参考信息文件的接收和处理</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LEVEL1行情接收与展示</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LEVEL2-1行情接收与展示</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LEVEL2-2行情接收与展示</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现货集中竞价交易平台相关业务的委托申报与成交回报</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综合金融服务平台相关业务的委托申报与成交回报</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非交易平台相关业务的委托申报与成交回报</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衍生品平台相关业务的委托申报与成交回报</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固定收益平台相关业务的委托申报与成交回报</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接收并处理现货集中竞价交易平台成交汇总文件</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接收并处理综合金融服务平台成交汇总文件</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接收并处理非交易处理平台成交汇总文件</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接收并处理衍生品集中竞价交易平台成交汇总文件</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6"/>
              <w:widowControl/>
              <w:numPr>
                <w:ilvl w:val="0"/>
                <w:numId w:val="7"/>
              </w:numPr>
              <w:ind w:firstLineChars="0"/>
              <w:jc w:val="left"/>
              <w:rPr>
                <w:rFonts w:ascii="楷体_GB2312" w:hAnsi="楷体_GB2312" w:eastAsia="楷体_GB2312" w:cs="楷体_GB2312"/>
                <w:kern w:val="0"/>
                <w:sz w:val="20"/>
                <w:szCs w:val="20"/>
              </w:rPr>
            </w:pPr>
          </w:p>
        </w:tc>
        <w:tc>
          <w:tcPr>
            <w:tcW w:w="5168" w:type="dxa"/>
            <w:gridSpan w:val="2"/>
            <w:shd w:val="clear" w:color="auto" w:fill="auto"/>
            <w:vAlign w:val="center"/>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接收并处理固定收益交易平台成交汇总文件</w:t>
            </w:r>
          </w:p>
        </w:tc>
        <w:tc>
          <w:tcPr>
            <w:tcW w:w="3741" w:type="dxa"/>
            <w:gridSpan w:val="3"/>
          </w:tcPr>
          <w:p>
            <w:pPr>
              <w:widowControl/>
              <w:jc w:val="left"/>
              <w:rPr>
                <w:rFonts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9361" w:type="dxa"/>
            <w:gridSpan w:val="6"/>
            <w:shd w:val="clear" w:color="auto" w:fill="auto"/>
            <w:vAlign w:val="center"/>
          </w:tcPr>
          <w:p>
            <w:pPr>
              <w:widowControl/>
              <w:rPr>
                <w:rFonts w:ascii="楷体_GB2312" w:hAnsi="楷体_GB2312" w:eastAsia="楷体_GB2312" w:cs="楷体_GB2312"/>
                <w:szCs w:val="21"/>
              </w:rPr>
            </w:pPr>
            <w:r>
              <w:rPr>
                <w:rFonts w:hint="eastAsia" w:ascii="楷体_GB2312" w:hAnsi="楷体_GB2312" w:eastAsia="楷体_GB2312" w:cs="楷体_GB2312"/>
                <w:szCs w:val="21"/>
              </w:rPr>
              <w:t>以上反馈项有“异常”的，务必说明具体情况：（不超过500汉字，需详细说明涉及哪些业务系统及各系统的具体现象）</w:t>
            </w:r>
          </w:p>
          <w:p>
            <w:pPr>
              <w:widowControl/>
              <w:rPr>
                <w:rFonts w:ascii="楷体_GB2312" w:hAnsi="楷体_GB2312" w:eastAsia="楷体_GB2312" w:cs="楷体_GB2312"/>
                <w:szCs w:val="21"/>
              </w:rPr>
            </w:pPr>
          </w:p>
          <w:p>
            <w:pPr>
              <w:widowControl/>
              <w:rPr>
                <w:rFonts w:ascii="楷体_GB2312" w:hAnsi="楷体_GB2312" w:eastAsia="楷体_GB2312" w:cs="楷体_GB2312"/>
                <w:szCs w:val="21"/>
              </w:rPr>
            </w:pPr>
          </w:p>
          <w:p>
            <w:pPr>
              <w:widowControl/>
              <w:rPr>
                <w:rFonts w:ascii="楷体_GB2312" w:hAnsi="楷体_GB2312" w:eastAsia="楷体_GB2312" w:cs="楷体_GB2312"/>
                <w:szCs w:val="21"/>
                <w:u w:val="single"/>
              </w:rPr>
            </w:pPr>
          </w:p>
        </w:tc>
      </w:tr>
    </w:tbl>
    <w:p>
      <w:pPr>
        <w:rPr>
          <w:rFonts w:ascii="楷体_GB2312" w:hAnsi="楷体_GB2312" w:eastAsia="楷体_GB2312" w:cs="楷体_GB2312"/>
        </w:rPr>
      </w:pPr>
    </w:p>
    <w:p>
      <w:pPr>
        <w:rPr>
          <w:rFonts w:ascii="楷体_GB2312" w:hAnsi="楷体_GB2312" w:eastAsia="楷体_GB2312" w:cs="楷体_GB231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G Times">
    <w:altName w:val="Times New Roman"/>
    <w:panose1 w:val="00000000000000000000"/>
    <w:charset w:val="00"/>
    <w:family w:val="roman"/>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1AE364"/>
    <w:multiLevelType w:val="singleLevel"/>
    <w:tmpl w:val="811AE364"/>
    <w:lvl w:ilvl="0" w:tentative="0">
      <w:start w:val="1"/>
      <w:numFmt w:val="bullet"/>
      <w:lvlText w:val=""/>
      <w:lvlJc w:val="left"/>
      <w:pPr>
        <w:ind w:left="840" w:hanging="420"/>
      </w:pPr>
      <w:rPr>
        <w:rFonts w:hint="default" w:ascii="Wingdings" w:hAnsi="Wingdings"/>
      </w:rPr>
    </w:lvl>
  </w:abstractNum>
  <w:abstractNum w:abstractNumId="1">
    <w:nsid w:val="DC9D18F2"/>
    <w:multiLevelType w:val="multilevel"/>
    <w:tmpl w:val="DC9D18F2"/>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2">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0BC4983"/>
    <w:multiLevelType w:val="multilevel"/>
    <w:tmpl w:val="30BC4983"/>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
    <w:nsid w:val="32A840D7"/>
    <w:multiLevelType w:val="multilevel"/>
    <w:tmpl w:val="32A840D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5">
    <w:nsid w:val="3B3473B7"/>
    <w:multiLevelType w:val="multilevel"/>
    <w:tmpl w:val="3B3473B7"/>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59D755D2"/>
    <w:multiLevelType w:val="multilevel"/>
    <w:tmpl w:val="59D755D2"/>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6"/>
  </w:num>
  <w:num w:numId="2">
    <w:abstractNumId w:val="5"/>
  </w:num>
  <w:num w:numId="3">
    <w:abstractNumId w:val="0"/>
  </w:num>
  <w:num w:numId="4">
    <w:abstractNumId w:val="3"/>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1"/>
  <w:bordersDoNotSurroundFooter w:val="1"/>
  <w:documentProtection w:enforcement="0"/>
  <w:defaultTabStop w:val="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AF6"/>
    <w:rsid w:val="000019D9"/>
    <w:rsid w:val="00001C21"/>
    <w:rsid w:val="00001FAD"/>
    <w:rsid w:val="00002A78"/>
    <w:rsid w:val="00003544"/>
    <w:rsid w:val="000049BF"/>
    <w:rsid w:val="00005900"/>
    <w:rsid w:val="00005A09"/>
    <w:rsid w:val="00006536"/>
    <w:rsid w:val="000068D3"/>
    <w:rsid w:val="000110AB"/>
    <w:rsid w:val="00013CBC"/>
    <w:rsid w:val="00016831"/>
    <w:rsid w:val="00016906"/>
    <w:rsid w:val="00017EBE"/>
    <w:rsid w:val="000204CE"/>
    <w:rsid w:val="00024294"/>
    <w:rsid w:val="00024925"/>
    <w:rsid w:val="00024ED1"/>
    <w:rsid w:val="0002616A"/>
    <w:rsid w:val="00026446"/>
    <w:rsid w:val="00026DA8"/>
    <w:rsid w:val="00027E3F"/>
    <w:rsid w:val="0003182C"/>
    <w:rsid w:val="00033589"/>
    <w:rsid w:val="00033D0E"/>
    <w:rsid w:val="00034BAF"/>
    <w:rsid w:val="000351BD"/>
    <w:rsid w:val="00035391"/>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EC4"/>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6983"/>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68AF"/>
    <w:rsid w:val="000A7D90"/>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E076F"/>
    <w:rsid w:val="000E0B0E"/>
    <w:rsid w:val="000E0B49"/>
    <w:rsid w:val="000E1BCB"/>
    <w:rsid w:val="000E26F1"/>
    <w:rsid w:val="000E2A97"/>
    <w:rsid w:val="000E4619"/>
    <w:rsid w:val="000E4D98"/>
    <w:rsid w:val="000E761C"/>
    <w:rsid w:val="000F0666"/>
    <w:rsid w:val="000F23F0"/>
    <w:rsid w:val="000F284A"/>
    <w:rsid w:val="000F2946"/>
    <w:rsid w:val="000F39E6"/>
    <w:rsid w:val="000F3B19"/>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F92"/>
    <w:rsid w:val="0016011C"/>
    <w:rsid w:val="00160351"/>
    <w:rsid w:val="00162121"/>
    <w:rsid w:val="00162508"/>
    <w:rsid w:val="00163740"/>
    <w:rsid w:val="00164259"/>
    <w:rsid w:val="00165AB7"/>
    <w:rsid w:val="001663B8"/>
    <w:rsid w:val="001668FF"/>
    <w:rsid w:val="00172A27"/>
    <w:rsid w:val="00174F50"/>
    <w:rsid w:val="00175AB6"/>
    <w:rsid w:val="00175C4A"/>
    <w:rsid w:val="00177071"/>
    <w:rsid w:val="001770AA"/>
    <w:rsid w:val="00181049"/>
    <w:rsid w:val="00181416"/>
    <w:rsid w:val="001818CB"/>
    <w:rsid w:val="00182220"/>
    <w:rsid w:val="00183D26"/>
    <w:rsid w:val="0018535E"/>
    <w:rsid w:val="00185B66"/>
    <w:rsid w:val="00185CB7"/>
    <w:rsid w:val="0018688D"/>
    <w:rsid w:val="00187D0F"/>
    <w:rsid w:val="00190166"/>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5920"/>
    <w:rsid w:val="00206BEA"/>
    <w:rsid w:val="00206E72"/>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20B0"/>
    <w:rsid w:val="00252554"/>
    <w:rsid w:val="00252A82"/>
    <w:rsid w:val="0025366D"/>
    <w:rsid w:val="0025728A"/>
    <w:rsid w:val="002601AC"/>
    <w:rsid w:val="00260FE4"/>
    <w:rsid w:val="00262390"/>
    <w:rsid w:val="002633B9"/>
    <w:rsid w:val="0026437E"/>
    <w:rsid w:val="00264559"/>
    <w:rsid w:val="00264804"/>
    <w:rsid w:val="00264B14"/>
    <w:rsid w:val="0026588D"/>
    <w:rsid w:val="002663C0"/>
    <w:rsid w:val="00267161"/>
    <w:rsid w:val="0026761F"/>
    <w:rsid w:val="00270359"/>
    <w:rsid w:val="0027289B"/>
    <w:rsid w:val="00272BF5"/>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3B9"/>
    <w:rsid w:val="00303605"/>
    <w:rsid w:val="00304FB2"/>
    <w:rsid w:val="003072C3"/>
    <w:rsid w:val="00310921"/>
    <w:rsid w:val="00311144"/>
    <w:rsid w:val="003113F8"/>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125F"/>
    <w:rsid w:val="00344151"/>
    <w:rsid w:val="003454DE"/>
    <w:rsid w:val="00347067"/>
    <w:rsid w:val="0035061A"/>
    <w:rsid w:val="00350778"/>
    <w:rsid w:val="003517C7"/>
    <w:rsid w:val="003519AC"/>
    <w:rsid w:val="00352456"/>
    <w:rsid w:val="003544D4"/>
    <w:rsid w:val="00355D60"/>
    <w:rsid w:val="00355DFC"/>
    <w:rsid w:val="003567C6"/>
    <w:rsid w:val="003572BD"/>
    <w:rsid w:val="003605FA"/>
    <w:rsid w:val="003607EB"/>
    <w:rsid w:val="00360AC2"/>
    <w:rsid w:val="00361037"/>
    <w:rsid w:val="00361AC6"/>
    <w:rsid w:val="0036400A"/>
    <w:rsid w:val="00364861"/>
    <w:rsid w:val="00364C2C"/>
    <w:rsid w:val="00366FD6"/>
    <w:rsid w:val="003679C6"/>
    <w:rsid w:val="003703F4"/>
    <w:rsid w:val="00370A2F"/>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D1"/>
    <w:rsid w:val="003A35FC"/>
    <w:rsid w:val="003A4295"/>
    <w:rsid w:val="003A4ECA"/>
    <w:rsid w:val="003A5F8E"/>
    <w:rsid w:val="003A6A16"/>
    <w:rsid w:val="003A6B35"/>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6522"/>
    <w:rsid w:val="003F6C6E"/>
    <w:rsid w:val="003F7AA4"/>
    <w:rsid w:val="00401756"/>
    <w:rsid w:val="004024A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37E01"/>
    <w:rsid w:val="00440CB0"/>
    <w:rsid w:val="00441498"/>
    <w:rsid w:val="00442A7E"/>
    <w:rsid w:val="0044385C"/>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F9B"/>
    <w:rsid w:val="0048628C"/>
    <w:rsid w:val="00486911"/>
    <w:rsid w:val="00490B2F"/>
    <w:rsid w:val="00490C5D"/>
    <w:rsid w:val="00490D8C"/>
    <w:rsid w:val="00492BC0"/>
    <w:rsid w:val="004939B1"/>
    <w:rsid w:val="00493A54"/>
    <w:rsid w:val="00493A83"/>
    <w:rsid w:val="00495E89"/>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9EF"/>
    <w:rsid w:val="004B4A36"/>
    <w:rsid w:val="004C00D9"/>
    <w:rsid w:val="004C11C5"/>
    <w:rsid w:val="004C22DF"/>
    <w:rsid w:val="004C4B95"/>
    <w:rsid w:val="004C527B"/>
    <w:rsid w:val="004C54EB"/>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4FFF"/>
    <w:rsid w:val="004D69FB"/>
    <w:rsid w:val="004D6E89"/>
    <w:rsid w:val="004D7D5F"/>
    <w:rsid w:val="004E0661"/>
    <w:rsid w:val="004E2857"/>
    <w:rsid w:val="004E4A17"/>
    <w:rsid w:val="004E5F69"/>
    <w:rsid w:val="004E749E"/>
    <w:rsid w:val="004F2694"/>
    <w:rsid w:val="004F4949"/>
    <w:rsid w:val="004F498F"/>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410C3"/>
    <w:rsid w:val="0054157A"/>
    <w:rsid w:val="00543C06"/>
    <w:rsid w:val="00544DB1"/>
    <w:rsid w:val="0054505F"/>
    <w:rsid w:val="005458B8"/>
    <w:rsid w:val="0054636A"/>
    <w:rsid w:val="00546BBA"/>
    <w:rsid w:val="00546D0C"/>
    <w:rsid w:val="00546E70"/>
    <w:rsid w:val="00546FAD"/>
    <w:rsid w:val="00547F08"/>
    <w:rsid w:val="00553380"/>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558"/>
    <w:rsid w:val="0057159C"/>
    <w:rsid w:val="00571DDD"/>
    <w:rsid w:val="005722EF"/>
    <w:rsid w:val="00573F7F"/>
    <w:rsid w:val="00575D09"/>
    <w:rsid w:val="00575E98"/>
    <w:rsid w:val="00581883"/>
    <w:rsid w:val="005825B2"/>
    <w:rsid w:val="005845F7"/>
    <w:rsid w:val="00585734"/>
    <w:rsid w:val="0058649B"/>
    <w:rsid w:val="0058698A"/>
    <w:rsid w:val="00587E71"/>
    <w:rsid w:val="00590F9D"/>
    <w:rsid w:val="00590FCD"/>
    <w:rsid w:val="005928CB"/>
    <w:rsid w:val="005933AF"/>
    <w:rsid w:val="00593517"/>
    <w:rsid w:val="00595A67"/>
    <w:rsid w:val="00596568"/>
    <w:rsid w:val="005968F2"/>
    <w:rsid w:val="00596E67"/>
    <w:rsid w:val="0059774C"/>
    <w:rsid w:val="005978C1"/>
    <w:rsid w:val="005A0E17"/>
    <w:rsid w:val="005A21ED"/>
    <w:rsid w:val="005A2244"/>
    <w:rsid w:val="005A24A3"/>
    <w:rsid w:val="005A3613"/>
    <w:rsid w:val="005A40A4"/>
    <w:rsid w:val="005A43EB"/>
    <w:rsid w:val="005A4879"/>
    <w:rsid w:val="005A5D5E"/>
    <w:rsid w:val="005A61A4"/>
    <w:rsid w:val="005A65B0"/>
    <w:rsid w:val="005A6F04"/>
    <w:rsid w:val="005A7487"/>
    <w:rsid w:val="005A7CAA"/>
    <w:rsid w:val="005B0208"/>
    <w:rsid w:val="005B0E6C"/>
    <w:rsid w:val="005B2A47"/>
    <w:rsid w:val="005B2F15"/>
    <w:rsid w:val="005B36CA"/>
    <w:rsid w:val="005B3B2F"/>
    <w:rsid w:val="005B4A6C"/>
    <w:rsid w:val="005B4B4A"/>
    <w:rsid w:val="005B4B78"/>
    <w:rsid w:val="005B5A26"/>
    <w:rsid w:val="005B5EA9"/>
    <w:rsid w:val="005B63B7"/>
    <w:rsid w:val="005B6ACC"/>
    <w:rsid w:val="005B78CB"/>
    <w:rsid w:val="005B79FA"/>
    <w:rsid w:val="005C0766"/>
    <w:rsid w:val="005C2033"/>
    <w:rsid w:val="005C3B95"/>
    <w:rsid w:val="005C3FB8"/>
    <w:rsid w:val="005C476A"/>
    <w:rsid w:val="005C54A5"/>
    <w:rsid w:val="005C5746"/>
    <w:rsid w:val="005C75EE"/>
    <w:rsid w:val="005C7E12"/>
    <w:rsid w:val="005D0D12"/>
    <w:rsid w:val="005D20BD"/>
    <w:rsid w:val="005D2618"/>
    <w:rsid w:val="005D4925"/>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6334"/>
    <w:rsid w:val="005F70A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79D"/>
    <w:rsid w:val="00624515"/>
    <w:rsid w:val="006245F9"/>
    <w:rsid w:val="00624E38"/>
    <w:rsid w:val="006255C4"/>
    <w:rsid w:val="00626FFE"/>
    <w:rsid w:val="0063253B"/>
    <w:rsid w:val="00632788"/>
    <w:rsid w:val="006361AA"/>
    <w:rsid w:val="00637096"/>
    <w:rsid w:val="00640D7D"/>
    <w:rsid w:val="00641AB9"/>
    <w:rsid w:val="00641D98"/>
    <w:rsid w:val="00642484"/>
    <w:rsid w:val="0064314E"/>
    <w:rsid w:val="006435F3"/>
    <w:rsid w:val="0064373D"/>
    <w:rsid w:val="00643A9C"/>
    <w:rsid w:val="00644C03"/>
    <w:rsid w:val="006454E9"/>
    <w:rsid w:val="0064774C"/>
    <w:rsid w:val="00647BB1"/>
    <w:rsid w:val="0065090C"/>
    <w:rsid w:val="00650EA5"/>
    <w:rsid w:val="00651277"/>
    <w:rsid w:val="006515BF"/>
    <w:rsid w:val="00652A43"/>
    <w:rsid w:val="00654923"/>
    <w:rsid w:val="00655B8E"/>
    <w:rsid w:val="0065693A"/>
    <w:rsid w:val="006600EB"/>
    <w:rsid w:val="00660386"/>
    <w:rsid w:val="00661D50"/>
    <w:rsid w:val="00662186"/>
    <w:rsid w:val="00663271"/>
    <w:rsid w:val="0066332D"/>
    <w:rsid w:val="006653F7"/>
    <w:rsid w:val="00665572"/>
    <w:rsid w:val="006658E9"/>
    <w:rsid w:val="00665D6B"/>
    <w:rsid w:val="00666DEE"/>
    <w:rsid w:val="00666E6A"/>
    <w:rsid w:val="00667FE1"/>
    <w:rsid w:val="006721FB"/>
    <w:rsid w:val="00672263"/>
    <w:rsid w:val="00672E6D"/>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348B"/>
    <w:rsid w:val="006A4704"/>
    <w:rsid w:val="006B1FAF"/>
    <w:rsid w:val="006B20B2"/>
    <w:rsid w:val="006B462A"/>
    <w:rsid w:val="006B5B62"/>
    <w:rsid w:val="006B5D9C"/>
    <w:rsid w:val="006B672C"/>
    <w:rsid w:val="006C1D6F"/>
    <w:rsid w:val="006C1EC4"/>
    <w:rsid w:val="006C219B"/>
    <w:rsid w:val="006C22EF"/>
    <w:rsid w:val="006C3290"/>
    <w:rsid w:val="006C3CD1"/>
    <w:rsid w:val="006C5930"/>
    <w:rsid w:val="006C650F"/>
    <w:rsid w:val="006C6D90"/>
    <w:rsid w:val="006C7334"/>
    <w:rsid w:val="006C7927"/>
    <w:rsid w:val="006C7F20"/>
    <w:rsid w:val="006D0367"/>
    <w:rsid w:val="006D097C"/>
    <w:rsid w:val="006D13DF"/>
    <w:rsid w:val="006D15E2"/>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2C01"/>
    <w:rsid w:val="00742EB9"/>
    <w:rsid w:val="0074380B"/>
    <w:rsid w:val="00745043"/>
    <w:rsid w:val="00747BA1"/>
    <w:rsid w:val="00750A21"/>
    <w:rsid w:val="00750BCA"/>
    <w:rsid w:val="00755592"/>
    <w:rsid w:val="00755953"/>
    <w:rsid w:val="00756DEC"/>
    <w:rsid w:val="00756F03"/>
    <w:rsid w:val="00757F4B"/>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4896"/>
    <w:rsid w:val="00785538"/>
    <w:rsid w:val="00790B9C"/>
    <w:rsid w:val="0079170F"/>
    <w:rsid w:val="00792121"/>
    <w:rsid w:val="00792C20"/>
    <w:rsid w:val="00793FF7"/>
    <w:rsid w:val="0079504F"/>
    <w:rsid w:val="007958B9"/>
    <w:rsid w:val="00795A96"/>
    <w:rsid w:val="00797017"/>
    <w:rsid w:val="00797980"/>
    <w:rsid w:val="00797C8A"/>
    <w:rsid w:val="00797FCD"/>
    <w:rsid w:val="007A0CAD"/>
    <w:rsid w:val="007A2834"/>
    <w:rsid w:val="007A5046"/>
    <w:rsid w:val="007A6C6C"/>
    <w:rsid w:val="007A6D57"/>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14B1"/>
    <w:rsid w:val="00822389"/>
    <w:rsid w:val="008229B4"/>
    <w:rsid w:val="00823203"/>
    <w:rsid w:val="00825B9C"/>
    <w:rsid w:val="0082601E"/>
    <w:rsid w:val="00826741"/>
    <w:rsid w:val="008275FB"/>
    <w:rsid w:val="0083051D"/>
    <w:rsid w:val="00830A19"/>
    <w:rsid w:val="00831E72"/>
    <w:rsid w:val="00832B7B"/>
    <w:rsid w:val="0083397F"/>
    <w:rsid w:val="00834474"/>
    <w:rsid w:val="008348AE"/>
    <w:rsid w:val="00836831"/>
    <w:rsid w:val="00837C41"/>
    <w:rsid w:val="008401E6"/>
    <w:rsid w:val="008406FF"/>
    <w:rsid w:val="00841773"/>
    <w:rsid w:val="00841B86"/>
    <w:rsid w:val="00842F99"/>
    <w:rsid w:val="008430F9"/>
    <w:rsid w:val="00846509"/>
    <w:rsid w:val="00846709"/>
    <w:rsid w:val="00846DE1"/>
    <w:rsid w:val="00847173"/>
    <w:rsid w:val="008473D2"/>
    <w:rsid w:val="008474AC"/>
    <w:rsid w:val="00853FC3"/>
    <w:rsid w:val="00855096"/>
    <w:rsid w:val="008552FF"/>
    <w:rsid w:val="00856079"/>
    <w:rsid w:val="00857AD2"/>
    <w:rsid w:val="00861D20"/>
    <w:rsid w:val="008623F5"/>
    <w:rsid w:val="008633D9"/>
    <w:rsid w:val="00864045"/>
    <w:rsid w:val="00864E83"/>
    <w:rsid w:val="00865C43"/>
    <w:rsid w:val="00866A4F"/>
    <w:rsid w:val="00866B34"/>
    <w:rsid w:val="00866EAA"/>
    <w:rsid w:val="008670AA"/>
    <w:rsid w:val="0086761C"/>
    <w:rsid w:val="00870BC5"/>
    <w:rsid w:val="00870FE2"/>
    <w:rsid w:val="00873455"/>
    <w:rsid w:val="00873C39"/>
    <w:rsid w:val="00873E53"/>
    <w:rsid w:val="008744F5"/>
    <w:rsid w:val="008774D3"/>
    <w:rsid w:val="00880B2B"/>
    <w:rsid w:val="008817FE"/>
    <w:rsid w:val="00881FA0"/>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5C66"/>
    <w:rsid w:val="008A6211"/>
    <w:rsid w:val="008A64F9"/>
    <w:rsid w:val="008A7515"/>
    <w:rsid w:val="008A788C"/>
    <w:rsid w:val="008B0773"/>
    <w:rsid w:val="008B2204"/>
    <w:rsid w:val="008B249E"/>
    <w:rsid w:val="008B2833"/>
    <w:rsid w:val="008B3C74"/>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44DE"/>
    <w:rsid w:val="008C5406"/>
    <w:rsid w:val="008C7338"/>
    <w:rsid w:val="008C736F"/>
    <w:rsid w:val="008C79F2"/>
    <w:rsid w:val="008D08AC"/>
    <w:rsid w:val="008D0EE1"/>
    <w:rsid w:val="008D2D4B"/>
    <w:rsid w:val="008D39C9"/>
    <w:rsid w:val="008D46B3"/>
    <w:rsid w:val="008D4C19"/>
    <w:rsid w:val="008D5114"/>
    <w:rsid w:val="008D5189"/>
    <w:rsid w:val="008D58A4"/>
    <w:rsid w:val="008E02AD"/>
    <w:rsid w:val="008E10E5"/>
    <w:rsid w:val="008E172C"/>
    <w:rsid w:val="008E1AB5"/>
    <w:rsid w:val="008E1B75"/>
    <w:rsid w:val="008E1C6F"/>
    <w:rsid w:val="008E299C"/>
    <w:rsid w:val="008E2E2C"/>
    <w:rsid w:val="008E558B"/>
    <w:rsid w:val="008E674B"/>
    <w:rsid w:val="008E68B3"/>
    <w:rsid w:val="008F1BEC"/>
    <w:rsid w:val="008F4762"/>
    <w:rsid w:val="008F490E"/>
    <w:rsid w:val="008F4DC2"/>
    <w:rsid w:val="008F5DDF"/>
    <w:rsid w:val="008F63A9"/>
    <w:rsid w:val="008F66CF"/>
    <w:rsid w:val="008F6B4D"/>
    <w:rsid w:val="008F7627"/>
    <w:rsid w:val="008F7C4A"/>
    <w:rsid w:val="00900713"/>
    <w:rsid w:val="00900DCA"/>
    <w:rsid w:val="00902A41"/>
    <w:rsid w:val="00903B3E"/>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16B4"/>
    <w:rsid w:val="00932148"/>
    <w:rsid w:val="00932B23"/>
    <w:rsid w:val="00932BA7"/>
    <w:rsid w:val="00933117"/>
    <w:rsid w:val="00933224"/>
    <w:rsid w:val="009338F1"/>
    <w:rsid w:val="009357E6"/>
    <w:rsid w:val="00936754"/>
    <w:rsid w:val="00936B75"/>
    <w:rsid w:val="00937205"/>
    <w:rsid w:val="00937770"/>
    <w:rsid w:val="009402AD"/>
    <w:rsid w:val="00940BE1"/>
    <w:rsid w:val="009443D4"/>
    <w:rsid w:val="00944519"/>
    <w:rsid w:val="00944E42"/>
    <w:rsid w:val="009460EC"/>
    <w:rsid w:val="00946946"/>
    <w:rsid w:val="00946AD8"/>
    <w:rsid w:val="0094769E"/>
    <w:rsid w:val="00947918"/>
    <w:rsid w:val="00947CE0"/>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E98"/>
    <w:rsid w:val="009B24DC"/>
    <w:rsid w:val="009B34F7"/>
    <w:rsid w:val="009B3FE4"/>
    <w:rsid w:val="009B5519"/>
    <w:rsid w:val="009B63D6"/>
    <w:rsid w:val="009B6756"/>
    <w:rsid w:val="009C03B1"/>
    <w:rsid w:val="009C04BA"/>
    <w:rsid w:val="009C091D"/>
    <w:rsid w:val="009C2519"/>
    <w:rsid w:val="009C287D"/>
    <w:rsid w:val="009C3B0A"/>
    <w:rsid w:val="009C3FF6"/>
    <w:rsid w:val="009C474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5B11"/>
    <w:rsid w:val="00A00C8F"/>
    <w:rsid w:val="00A01144"/>
    <w:rsid w:val="00A018CE"/>
    <w:rsid w:val="00A0286F"/>
    <w:rsid w:val="00A02F83"/>
    <w:rsid w:val="00A03342"/>
    <w:rsid w:val="00A03B3D"/>
    <w:rsid w:val="00A04868"/>
    <w:rsid w:val="00A05D0D"/>
    <w:rsid w:val="00A063AF"/>
    <w:rsid w:val="00A10EE7"/>
    <w:rsid w:val="00A11BD1"/>
    <w:rsid w:val="00A11EAD"/>
    <w:rsid w:val="00A1271D"/>
    <w:rsid w:val="00A12A25"/>
    <w:rsid w:val="00A1488D"/>
    <w:rsid w:val="00A15F37"/>
    <w:rsid w:val="00A16DCF"/>
    <w:rsid w:val="00A20586"/>
    <w:rsid w:val="00A22424"/>
    <w:rsid w:val="00A22438"/>
    <w:rsid w:val="00A22BD8"/>
    <w:rsid w:val="00A26068"/>
    <w:rsid w:val="00A264AA"/>
    <w:rsid w:val="00A2698B"/>
    <w:rsid w:val="00A31546"/>
    <w:rsid w:val="00A31C5F"/>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F19"/>
    <w:rsid w:val="00A41975"/>
    <w:rsid w:val="00A42999"/>
    <w:rsid w:val="00A43992"/>
    <w:rsid w:val="00A43C66"/>
    <w:rsid w:val="00A44959"/>
    <w:rsid w:val="00A44B35"/>
    <w:rsid w:val="00A458F9"/>
    <w:rsid w:val="00A45D83"/>
    <w:rsid w:val="00A46705"/>
    <w:rsid w:val="00A474F3"/>
    <w:rsid w:val="00A47B76"/>
    <w:rsid w:val="00A47F4D"/>
    <w:rsid w:val="00A5193D"/>
    <w:rsid w:val="00A51E7A"/>
    <w:rsid w:val="00A531A8"/>
    <w:rsid w:val="00A537EC"/>
    <w:rsid w:val="00A53F9E"/>
    <w:rsid w:val="00A5480A"/>
    <w:rsid w:val="00A610FD"/>
    <w:rsid w:val="00A619BF"/>
    <w:rsid w:val="00A63E21"/>
    <w:rsid w:val="00A64D3D"/>
    <w:rsid w:val="00A64D87"/>
    <w:rsid w:val="00A659E7"/>
    <w:rsid w:val="00A65D15"/>
    <w:rsid w:val="00A65E82"/>
    <w:rsid w:val="00A65F86"/>
    <w:rsid w:val="00A66845"/>
    <w:rsid w:val="00A669FA"/>
    <w:rsid w:val="00A6789F"/>
    <w:rsid w:val="00A67E4B"/>
    <w:rsid w:val="00A7069B"/>
    <w:rsid w:val="00A70D97"/>
    <w:rsid w:val="00A7188B"/>
    <w:rsid w:val="00A72067"/>
    <w:rsid w:val="00A724C1"/>
    <w:rsid w:val="00A72F69"/>
    <w:rsid w:val="00A734F6"/>
    <w:rsid w:val="00A7387D"/>
    <w:rsid w:val="00A75009"/>
    <w:rsid w:val="00A76C34"/>
    <w:rsid w:val="00A80269"/>
    <w:rsid w:val="00A8074D"/>
    <w:rsid w:val="00A80FDF"/>
    <w:rsid w:val="00A81A80"/>
    <w:rsid w:val="00A820DB"/>
    <w:rsid w:val="00A8217C"/>
    <w:rsid w:val="00A87DC8"/>
    <w:rsid w:val="00A91517"/>
    <w:rsid w:val="00A91F9A"/>
    <w:rsid w:val="00A9221F"/>
    <w:rsid w:val="00A92A58"/>
    <w:rsid w:val="00A92B3C"/>
    <w:rsid w:val="00A92DCB"/>
    <w:rsid w:val="00A96D95"/>
    <w:rsid w:val="00A9785F"/>
    <w:rsid w:val="00AA0112"/>
    <w:rsid w:val="00AA073A"/>
    <w:rsid w:val="00AA32A0"/>
    <w:rsid w:val="00AA38A5"/>
    <w:rsid w:val="00AA449C"/>
    <w:rsid w:val="00AA46DB"/>
    <w:rsid w:val="00AA6C66"/>
    <w:rsid w:val="00AB2165"/>
    <w:rsid w:val="00AB2596"/>
    <w:rsid w:val="00AB43E5"/>
    <w:rsid w:val="00AB4BB1"/>
    <w:rsid w:val="00AB53E4"/>
    <w:rsid w:val="00AB5EE6"/>
    <w:rsid w:val="00AB617A"/>
    <w:rsid w:val="00AC17E1"/>
    <w:rsid w:val="00AC19BB"/>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536B"/>
    <w:rsid w:val="00AE569E"/>
    <w:rsid w:val="00AE64B0"/>
    <w:rsid w:val="00AE6A34"/>
    <w:rsid w:val="00AF0DD0"/>
    <w:rsid w:val="00AF0F8B"/>
    <w:rsid w:val="00AF1AE0"/>
    <w:rsid w:val="00AF20C9"/>
    <w:rsid w:val="00AF39E2"/>
    <w:rsid w:val="00AF4A57"/>
    <w:rsid w:val="00AF525C"/>
    <w:rsid w:val="00AF608A"/>
    <w:rsid w:val="00AF60D0"/>
    <w:rsid w:val="00AF787D"/>
    <w:rsid w:val="00AF7F41"/>
    <w:rsid w:val="00B00FBD"/>
    <w:rsid w:val="00B01220"/>
    <w:rsid w:val="00B01462"/>
    <w:rsid w:val="00B01F2D"/>
    <w:rsid w:val="00B01F3E"/>
    <w:rsid w:val="00B02AD1"/>
    <w:rsid w:val="00B02BB4"/>
    <w:rsid w:val="00B0319D"/>
    <w:rsid w:val="00B050BD"/>
    <w:rsid w:val="00B05C89"/>
    <w:rsid w:val="00B0697D"/>
    <w:rsid w:val="00B07216"/>
    <w:rsid w:val="00B10231"/>
    <w:rsid w:val="00B11EC7"/>
    <w:rsid w:val="00B124F7"/>
    <w:rsid w:val="00B12FDB"/>
    <w:rsid w:val="00B132AF"/>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80796"/>
    <w:rsid w:val="00B81485"/>
    <w:rsid w:val="00B8158B"/>
    <w:rsid w:val="00B8172D"/>
    <w:rsid w:val="00B81E8E"/>
    <w:rsid w:val="00B82EF8"/>
    <w:rsid w:val="00B83309"/>
    <w:rsid w:val="00B875CA"/>
    <w:rsid w:val="00B93C07"/>
    <w:rsid w:val="00B9467A"/>
    <w:rsid w:val="00B94C3A"/>
    <w:rsid w:val="00B96205"/>
    <w:rsid w:val="00B96952"/>
    <w:rsid w:val="00B96D86"/>
    <w:rsid w:val="00B97EBF"/>
    <w:rsid w:val="00BA0330"/>
    <w:rsid w:val="00BA26CD"/>
    <w:rsid w:val="00BA2B44"/>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DD1"/>
    <w:rsid w:val="00BB6F1D"/>
    <w:rsid w:val="00BB71F1"/>
    <w:rsid w:val="00BC1826"/>
    <w:rsid w:val="00BC36BD"/>
    <w:rsid w:val="00BC37AF"/>
    <w:rsid w:val="00BC3826"/>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28E1"/>
    <w:rsid w:val="00C03722"/>
    <w:rsid w:val="00C03E71"/>
    <w:rsid w:val="00C03F70"/>
    <w:rsid w:val="00C046E2"/>
    <w:rsid w:val="00C04A51"/>
    <w:rsid w:val="00C04B9F"/>
    <w:rsid w:val="00C05D1E"/>
    <w:rsid w:val="00C069CA"/>
    <w:rsid w:val="00C06D1F"/>
    <w:rsid w:val="00C10563"/>
    <w:rsid w:val="00C105B9"/>
    <w:rsid w:val="00C10C7A"/>
    <w:rsid w:val="00C1100A"/>
    <w:rsid w:val="00C1400D"/>
    <w:rsid w:val="00C14BFB"/>
    <w:rsid w:val="00C14C1F"/>
    <w:rsid w:val="00C17741"/>
    <w:rsid w:val="00C204A2"/>
    <w:rsid w:val="00C2110F"/>
    <w:rsid w:val="00C21A2A"/>
    <w:rsid w:val="00C22364"/>
    <w:rsid w:val="00C2276F"/>
    <w:rsid w:val="00C22CBD"/>
    <w:rsid w:val="00C23AD4"/>
    <w:rsid w:val="00C23C05"/>
    <w:rsid w:val="00C24DED"/>
    <w:rsid w:val="00C26F9F"/>
    <w:rsid w:val="00C277FD"/>
    <w:rsid w:val="00C32DD4"/>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83C"/>
    <w:rsid w:val="00C76A5C"/>
    <w:rsid w:val="00C779A6"/>
    <w:rsid w:val="00C8205A"/>
    <w:rsid w:val="00C82BD0"/>
    <w:rsid w:val="00C8364C"/>
    <w:rsid w:val="00C84031"/>
    <w:rsid w:val="00C84303"/>
    <w:rsid w:val="00C847E4"/>
    <w:rsid w:val="00C8692B"/>
    <w:rsid w:val="00C86FDB"/>
    <w:rsid w:val="00C90EFE"/>
    <w:rsid w:val="00C94B28"/>
    <w:rsid w:val="00C967F3"/>
    <w:rsid w:val="00C96872"/>
    <w:rsid w:val="00C972EF"/>
    <w:rsid w:val="00C9779B"/>
    <w:rsid w:val="00CA0784"/>
    <w:rsid w:val="00CA14F3"/>
    <w:rsid w:val="00CA1A56"/>
    <w:rsid w:val="00CA4380"/>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5B58"/>
    <w:rsid w:val="00CE5F1A"/>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A67"/>
    <w:rsid w:val="00D2158B"/>
    <w:rsid w:val="00D21624"/>
    <w:rsid w:val="00D22DD1"/>
    <w:rsid w:val="00D23753"/>
    <w:rsid w:val="00D23B58"/>
    <w:rsid w:val="00D23EAC"/>
    <w:rsid w:val="00D2455C"/>
    <w:rsid w:val="00D24C40"/>
    <w:rsid w:val="00D25B65"/>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3FA"/>
    <w:rsid w:val="00D44487"/>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38"/>
    <w:rsid w:val="00D803C6"/>
    <w:rsid w:val="00D8231A"/>
    <w:rsid w:val="00D84165"/>
    <w:rsid w:val="00D84B83"/>
    <w:rsid w:val="00D84E9E"/>
    <w:rsid w:val="00D85207"/>
    <w:rsid w:val="00D85897"/>
    <w:rsid w:val="00D86416"/>
    <w:rsid w:val="00D86BF4"/>
    <w:rsid w:val="00D9401A"/>
    <w:rsid w:val="00D94107"/>
    <w:rsid w:val="00D95BE4"/>
    <w:rsid w:val="00D96C94"/>
    <w:rsid w:val="00D96CF5"/>
    <w:rsid w:val="00DA01C2"/>
    <w:rsid w:val="00DA0295"/>
    <w:rsid w:val="00DA1266"/>
    <w:rsid w:val="00DA1BAF"/>
    <w:rsid w:val="00DA3433"/>
    <w:rsid w:val="00DA37D7"/>
    <w:rsid w:val="00DA38B4"/>
    <w:rsid w:val="00DA4899"/>
    <w:rsid w:val="00DA4A3E"/>
    <w:rsid w:val="00DA5410"/>
    <w:rsid w:val="00DA5C5D"/>
    <w:rsid w:val="00DA6CE1"/>
    <w:rsid w:val="00DA6D32"/>
    <w:rsid w:val="00DA6DDB"/>
    <w:rsid w:val="00DA772A"/>
    <w:rsid w:val="00DB1DFF"/>
    <w:rsid w:val="00DB25F9"/>
    <w:rsid w:val="00DB2D9A"/>
    <w:rsid w:val="00DB2FA2"/>
    <w:rsid w:val="00DB61C4"/>
    <w:rsid w:val="00DB6294"/>
    <w:rsid w:val="00DB644A"/>
    <w:rsid w:val="00DC054F"/>
    <w:rsid w:val="00DC063B"/>
    <w:rsid w:val="00DC393C"/>
    <w:rsid w:val="00DC426F"/>
    <w:rsid w:val="00DC4494"/>
    <w:rsid w:val="00DC4AEC"/>
    <w:rsid w:val="00DC4FD4"/>
    <w:rsid w:val="00DC54DA"/>
    <w:rsid w:val="00DC611E"/>
    <w:rsid w:val="00DC6A6A"/>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5BEE"/>
    <w:rsid w:val="00DE6685"/>
    <w:rsid w:val="00DE6913"/>
    <w:rsid w:val="00DE71B1"/>
    <w:rsid w:val="00DE7461"/>
    <w:rsid w:val="00DE7DA4"/>
    <w:rsid w:val="00DF311E"/>
    <w:rsid w:val="00DF4AE5"/>
    <w:rsid w:val="00DF56C4"/>
    <w:rsid w:val="00DF65DC"/>
    <w:rsid w:val="00DF72D9"/>
    <w:rsid w:val="00DF7528"/>
    <w:rsid w:val="00DF77A7"/>
    <w:rsid w:val="00DF7C11"/>
    <w:rsid w:val="00E01029"/>
    <w:rsid w:val="00E031BE"/>
    <w:rsid w:val="00E03A59"/>
    <w:rsid w:val="00E03C4C"/>
    <w:rsid w:val="00E04E74"/>
    <w:rsid w:val="00E0532F"/>
    <w:rsid w:val="00E064DE"/>
    <w:rsid w:val="00E06D42"/>
    <w:rsid w:val="00E1077D"/>
    <w:rsid w:val="00E108DF"/>
    <w:rsid w:val="00E11826"/>
    <w:rsid w:val="00E11AD6"/>
    <w:rsid w:val="00E123B1"/>
    <w:rsid w:val="00E14072"/>
    <w:rsid w:val="00E166EF"/>
    <w:rsid w:val="00E16E21"/>
    <w:rsid w:val="00E17B65"/>
    <w:rsid w:val="00E22B3D"/>
    <w:rsid w:val="00E24473"/>
    <w:rsid w:val="00E252CC"/>
    <w:rsid w:val="00E27171"/>
    <w:rsid w:val="00E27374"/>
    <w:rsid w:val="00E2768C"/>
    <w:rsid w:val="00E27AEF"/>
    <w:rsid w:val="00E27CE6"/>
    <w:rsid w:val="00E27D7A"/>
    <w:rsid w:val="00E301F5"/>
    <w:rsid w:val="00E30271"/>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4D91"/>
    <w:rsid w:val="00E474FD"/>
    <w:rsid w:val="00E51AB2"/>
    <w:rsid w:val="00E51CF1"/>
    <w:rsid w:val="00E51E2D"/>
    <w:rsid w:val="00E5301C"/>
    <w:rsid w:val="00E5514B"/>
    <w:rsid w:val="00E55D09"/>
    <w:rsid w:val="00E55EDB"/>
    <w:rsid w:val="00E632C3"/>
    <w:rsid w:val="00E64AA4"/>
    <w:rsid w:val="00E64CDE"/>
    <w:rsid w:val="00E64F83"/>
    <w:rsid w:val="00E66248"/>
    <w:rsid w:val="00E66B2C"/>
    <w:rsid w:val="00E67701"/>
    <w:rsid w:val="00E67BE7"/>
    <w:rsid w:val="00E67EC9"/>
    <w:rsid w:val="00E707D9"/>
    <w:rsid w:val="00E70FF7"/>
    <w:rsid w:val="00E7119F"/>
    <w:rsid w:val="00E711A4"/>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845"/>
    <w:rsid w:val="00E879E3"/>
    <w:rsid w:val="00E87CF9"/>
    <w:rsid w:val="00E87FA2"/>
    <w:rsid w:val="00E91602"/>
    <w:rsid w:val="00E93DEA"/>
    <w:rsid w:val="00E959F9"/>
    <w:rsid w:val="00E968BB"/>
    <w:rsid w:val="00E96F98"/>
    <w:rsid w:val="00E97812"/>
    <w:rsid w:val="00EA1B02"/>
    <w:rsid w:val="00EA3B57"/>
    <w:rsid w:val="00EA4AF9"/>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58BB"/>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60D6"/>
    <w:rsid w:val="00F46501"/>
    <w:rsid w:val="00F4650E"/>
    <w:rsid w:val="00F46914"/>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0B5"/>
    <w:rsid w:val="00FE1B25"/>
    <w:rsid w:val="00FE34A5"/>
    <w:rsid w:val="00FE496B"/>
    <w:rsid w:val="00FE65C4"/>
    <w:rsid w:val="00FE7D1B"/>
    <w:rsid w:val="00FF0958"/>
    <w:rsid w:val="00FF0E92"/>
    <w:rsid w:val="00FF2A73"/>
    <w:rsid w:val="00FF32F5"/>
    <w:rsid w:val="00FF3EAD"/>
    <w:rsid w:val="00FF49D3"/>
    <w:rsid w:val="00FF725F"/>
    <w:rsid w:val="00FF7960"/>
    <w:rsid w:val="0132189F"/>
    <w:rsid w:val="02157BAF"/>
    <w:rsid w:val="0242180B"/>
    <w:rsid w:val="024345BA"/>
    <w:rsid w:val="0270349D"/>
    <w:rsid w:val="02964BB7"/>
    <w:rsid w:val="02E0372B"/>
    <w:rsid w:val="02F14E73"/>
    <w:rsid w:val="02F15E61"/>
    <w:rsid w:val="03180CA2"/>
    <w:rsid w:val="037A667A"/>
    <w:rsid w:val="03817B7B"/>
    <w:rsid w:val="03A847B0"/>
    <w:rsid w:val="046271CE"/>
    <w:rsid w:val="04730CD1"/>
    <w:rsid w:val="04765382"/>
    <w:rsid w:val="048831CD"/>
    <w:rsid w:val="048B3C62"/>
    <w:rsid w:val="04B25558"/>
    <w:rsid w:val="04CA2741"/>
    <w:rsid w:val="04CB430C"/>
    <w:rsid w:val="04E36C7A"/>
    <w:rsid w:val="04EE69F2"/>
    <w:rsid w:val="05157BA2"/>
    <w:rsid w:val="055B1674"/>
    <w:rsid w:val="057A0121"/>
    <w:rsid w:val="05C97A79"/>
    <w:rsid w:val="05FA3EFF"/>
    <w:rsid w:val="06142963"/>
    <w:rsid w:val="065244E2"/>
    <w:rsid w:val="068E4CB3"/>
    <w:rsid w:val="069B7985"/>
    <w:rsid w:val="06D51DF7"/>
    <w:rsid w:val="06DA1003"/>
    <w:rsid w:val="06E72879"/>
    <w:rsid w:val="06FB0554"/>
    <w:rsid w:val="07074D68"/>
    <w:rsid w:val="076E2F31"/>
    <w:rsid w:val="0777171E"/>
    <w:rsid w:val="079325A4"/>
    <w:rsid w:val="07EF6563"/>
    <w:rsid w:val="08064312"/>
    <w:rsid w:val="08103F84"/>
    <w:rsid w:val="08412D03"/>
    <w:rsid w:val="08B115BE"/>
    <w:rsid w:val="08C8586E"/>
    <w:rsid w:val="08CD7C2E"/>
    <w:rsid w:val="08EB1904"/>
    <w:rsid w:val="08F73F7E"/>
    <w:rsid w:val="09094D5B"/>
    <w:rsid w:val="092729EC"/>
    <w:rsid w:val="0A661BE4"/>
    <w:rsid w:val="0AB274C1"/>
    <w:rsid w:val="0ABA45C7"/>
    <w:rsid w:val="0B03014E"/>
    <w:rsid w:val="0B4128A5"/>
    <w:rsid w:val="0BC545F0"/>
    <w:rsid w:val="0C451FDB"/>
    <w:rsid w:val="0C51256B"/>
    <w:rsid w:val="0C633EE5"/>
    <w:rsid w:val="0CA7320E"/>
    <w:rsid w:val="0D142B2A"/>
    <w:rsid w:val="0D184B0E"/>
    <w:rsid w:val="0D2A3BCC"/>
    <w:rsid w:val="0D722EC0"/>
    <w:rsid w:val="0E3B3453"/>
    <w:rsid w:val="0E5B21CD"/>
    <w:rsid w:val="0E9B5476"/>
    <w:rsid w:val="0EF0664B"/>
    <w:rsid w:val="0F1371AF"/>
    <w:rsid w:val="0FED083D"/>
    <w:rsid w:val="0FFA439F"/>
    <w:rsid w:val="10363B99"/>
    <w:rsid w:val="10763B40"/>
    <w:rsid w:val="108259CF"/>
    <w:rsid w:val="109444A5"/>
    <w:rsid w:val="10B22749"/>
    <w:rsid w:val="10C33DFD"/>
    <w:rsid w:val="1115697F"/>
    <w:rsid w:val="1196344A"/>
    <w:rsid w:val="11A80BA1"/>
    <w:rsid w:val="120C01BF"/>
    <w:rsid w:val="121D3322"/>
    <w:rsid w:val="12303925"/>
    <w:rsid w:val="12A7742E"/>
    <w:rsid w:val="12E3697C"/>
    <w:rsid w:val="12E61BEF"/>
    <w:rsid w:val="1332616D"/>
    <w:rsid w:val="137E4054"/>
    <w:rsid w:val="13CC0136"/>
    <w:rsid w:val="13DF3613"/>
    <w:rsid w:val="14230E50"/>
    <w:rsid w:val="14315888"/>
    <w:rsid w:val="14662D74"/>
    <w:rsid w:val="146E2403"/>
    <w:rsid w:val="147877F9"/>
    <w:rsid w:val="148443FC"/>
    <w:rsid w:val="14920E1D"/>
    <w:rsid w:val="14C74A66"/>
    <w:rsid w:val="14D54609"/>
    <w:rsid w:val="14FF7E73"/>
    <w:rsid w:val="150C21C4"/>
    <w:rsid w:val="15BB3CEA"/>
    <w:rsid w:val="15BE3E81"/>
    <w:rsid w:val="1609578F"/>
    <w:rsid w:val="16184F77"/>
    <w:rsid w:val="161A4E32"/>
    <w:rsid w:val="16701C3B"/>
    <w:rsid w:val="168D6D15"/>
    <w:rsid w:val="16DC5B04"/>
    <w:rsid w:val="16F42B84"/>
    <w:rsid w:val="171B3F7D"/>
    <w:rsid w:val="171E5244"/>
    <w:rsid w:val="17A530E5"/>
    <w:rsid w:val="17B00BF7"/>
    <w:rsid w:val="17D44BAC"/>
    <w:rsid w:val="181A1258"/>
    <w:rsid w:val="187063AE"/>
    <w:rsid w:val="18927253"/>
    <w:rsid w:val="18BA71DD"/>
    <w:rsid w:val="192F17D1"/>
    <w:rsid w:val="19667B1F"/>
    <w:rsid w:val="197F4058"/>
    <w:rsid w:val="19C174FB"/>
    <w:rsid w:val="19CF2AFA"/>
    <w:rsid w:val="1A23521E"/>
    <w:rsid w:val="1A420707"/>
    <w:rsid w:val="1A432459"/>
    <w:rsid w:val="1A4475B5"/>
    <w:rsid w:val="1A9848EB"/>
    <w:rsid w:val="1B41692D"/>
    <w:rsid w:val="1B4C6B7E"/>
    <w:rsid w:val="1B7F1CF7"/>
    <w:rsid w:val="1BBD4008"/>
    <w:rsid w:val="1C867978"/>
    <w:rsid w:val="1CC205A8"/>
    <w:rsid w:val="1D4E05D6"/>
    <w:rsid w:val="1D8636DA"/>
    <w:rsid w:val="1DBB1483"/>
    <w:rsid w:val="1E2456C9"/>
    <w:rsid w:val="1E2938EB"/>
    <w:rsid w:val="1E4609EC"/>
    <w:rsid w:val="1E5872EF"/>
    <w:rsid w:val="1EA8038F"/>
    <w:rsid w:val="1EB770F2"/>
    <w:rsid w:val="1F6D7D96"/>
    <w:rsid w:val="1FD978B9"/>
    <w:rsid w:val="200B446C"/>
    <w:rsid w:val="20A31D1E"/>
    <w:rsid w:val="20C437D9"/>
    <w:rsid w:val="20E00149"/>
    <w:rsid w:val="21625665"/>
    <w:rsid w:val="21BA6C0D"/>
    <w:rsid w:val="221654BB"/>
    <w:rsid w:val="222E4A42"/>
    <w:rsid w:val="225324DA"/>
    <w:rsid w:val="22543494"/>
    <w:rsid w:val="228D6354"/>
    <w:rsid w:val="22A16615"/>
    <w:rsid w:val="22CD2140"/>
    <w:rsid w:val="2351491E"/>
    <w:rsid w:val="23CD1FB0"/>
    <w:rsid w:val="245437CF"/>
    <w:rsid w:val="246636D5"/>
    <w:rsid w:val="2480166F"/>
    <w:rsid w:val="249B2E25"/>
    <w:rsid w:val="24DE0E06"/>
    <w:rsid w:val="25BB7858"/>
    <w:rsid w:val="25F71B9C"/>
    <w:rsid w:val="26340887"/>
    <w:rsid w:val="266A2071"/>
    <w:rsid w:val="26965A9A"/>
    <w:rsid w:val="269C0C42"/>
    <w:rsid w:val="26DF4F98"/>
    <w:rsid w:val="270B2208"/>
    <w:rsid w:val="27256F7B"/>
    <w:rsid w:val="2732463E"/>
    <w:rsid w:val="27973976"/>
    <w:rsid w:val="27A57918"/>
    <w:rsid w:val="27AC75BE"/>
    <w:rsid w:val="27C44E29"/>
    <w:rsid w:val="27F037AE"/>
    <w:rsid w:val="28226007"/>
    <w:rsid w:val="2828490B"/>
    <w:rsid w:val="28A35CF7"/>
    <w:rsid w:val="28CA251A"/>
    <w:rsid w:val="28D11FA7"/>
    <w:rsid w:val="294B4E23"/>
    <w:rsid w:val="295C2DFA"/>
    <w:rsid w:val="29B92D85"/>
    <w:rsid w:val="2A3E4CE3"/>
    <w:rsid w:val="2A49750E"/>
    <w:rsid w:val="2A896E93"/>
    <w:rsid w:val="2AA56458"/>
    <w:rsid w:val="2AE92E2D"/>
    <w:rsid w:val="2BE0771F"/>
    <w:rsid w:val="2BE15DF0"/>
    <w:rsid w:val="2C1C1298"/>
    <w:rsid w:val="2C1D23AF"/>
    <w:rsid w:val="2C7B7F44"/>
    <w:rsid w:val="2C8C42F8"/>
    <w:rsid w:val="2CA332FA"/>
    <w:rsid w:val="2D022355"/>
    <w:rsid w:val="2D030945"/>
    <w:rsid w:val="2D502392"/>
    <w:rsid w:val="2DB01DAD"/>
    <w:rsid w:val="2E4C45E2"/>
    <w:rsid w:val="2E944D31"/>
    <w:rsid w:val="2EC328A6"/>
    <w:rsid w:val="2F09535D"/>
    <w:rsid w:val="2F412CFF"/>
    <w:rsid w:val="2F8A6913"/>
    <w:rsid w:val="2F8C5D62"/>
    <w:rsid w:val="3044466D"/>
    <w:rsid w:val="304C3669"/>
    <w:rsid w:val="30960AA8"/>
    <w:rsid w:val="30B20423"/>
    <w:rsid w:val="30D51CF2"/>
    <w:rsid w:val="30EC49F0"/>
    <w:rsid w:val="312729F5"/>
    <w:rsid w:val="32563DCD"/>
    <w:rsid w:val="327B5967"/>
    <w:rsid w:val="32942857"/>
    <w:rsid w:val="32D6215C"/>
    <w:rsid w:val="33150AC5"/>
    <w:rsid w:val="33524655"/>
    <w:rsid w:val="33696CE6"/>
    <w:rsid w:val="33DA3FDB"/>
    <w:rsid w:val="33E7277D"/>
    <w:rsid w:val="340C1258"/>
    <w:rsid w:val="341E5108"/>
    <w:rsid w:val="344444DF"/>
    <w:rsid w:val="34517A0F"/>
    <w:rsid w:val="34904536"/>
    <w:rsid w:val="34E30DEB"/>
    <w:rsid w:val="352232E1"/>
    <w:rsid w:val="355F580C"/>
    <w:rsid w:val="35F84942"/>
    <w:rsid w:val="36BF1B52"/>
    <w:rsid w:val="37233C92"/>
    <w:rsid w:val="372F1E31"/>
    <w:rsid w:val="3744211E"/>
    <w:rsid w:val="374B2599"/>
    <w:rsid w:val="374D4BF2"/>
    <w:rsid w:val="3844666B"/>
    <w:rsid w:val="38B92252"/>
    <w:rsid w:val="39242F8A"/>
    <w:rsid w:val="39587C6F"/>
    <w:rsid w:val="3A3B36DD"/>
    <w:rsid w:val="3AC213F1"/>
    <w:rsid w:val="3B0E509C"/>
    <w:rsid w:val="3B696559"/>
    <w:rsid w:val="3B6B1BFD"/>
    <w:rsid w:val="3C012C60"/>
    <w:rsid w:val="3C713E6E"/>
    <w:rsid w:val="3C7921E9"/>
    <w:rsid w:val="3C861606"/>
    <w:rsid w:val="3C9B7E46"/>
    <w:rsid w:val="3CBD0E6B"/>
    <w:rsid w:val="3CD95617"/>
    <w:rsid w:val="3D37433F"/>
    <w:rsid w:val="3DC612C4"/>
    <w:rsid w:val="3DF416E9"/>
    <w:rsid w:val="3DF47616"/>
    <w:rsid w:val="3E05771F"/>
    <w:rsid w:val="3E1D4DF6"/>
    <w:rsid w:val="3ED92ACB"/>
    <w:rsid w:val="3F215B84"/>
    <w:rsid w:val="3F241C50"/>
    <w:rsid w:val="3F6F319B"/>
    <w:rsid w:val="3FD773D8"/>
    <w:rsid w:val="3FFB210A"/>
    <w:rsid w:val="400C0C60"/>
    <w:rsid w:val="403E3D99"/>
    <w:rsid w:val="40BF6320"/>
    <w:rsid w:val="41372A0F"/>
    <w:rsid w:val="41791B6C"/>
    <w:rsid w:val="418E47F1"/>
    <w:rsid w:val="41AE08D9"/>
    <w:rsid w:val="41C00C1C"/>
    <w:rsid w:val="41D61543"/>
    <w:rsid w:val="424718E9"/>
    <w:rsid w:val="42871C78"/>
    <w:rsid w:val="429706CB"/>
    <w:rsid w:val="42C37933"/>
    <w:rsid w:val="42D04B01"/>
    <w:rsid w:val="42DF3C2B"/>
    <w:rsid w:val="43016E8C"/>
    <w:rsid w:val="431D6B70"/>
    <w:rsid w:val="432A19B5"/>
    <w:rsid w:val="433D2A62"/>
    <w:rsid w:val="43645DDD"/>
    <w:rsid w:val="43741014"/>
    <w:rsid w:val="44653FDD"/>
    <w:rsid w:val="449726AA"/>
    <w:rsid w:val="44BB308D"/>
    <w:rsid w:val="44E65610"/>
    <w:rsid w:val="450B01D1"/>
    <w:rsid w:val="45494127"/>
    <w:rsid w:val="454C7DA8"/>
    <w:rsid w:val="45DD1325"/>
    <w:rsid w:val="461C1338"/>
    <w:rsid w:val="465D6FBE"/>
    <w:rsid w:val="46691F4A"/>
    <w:rsid w:val="46AD4235"/>
    <w:rsid w:val="46BE54BF"/>
    <w:rsid w:val="470D128A"/>
    <w:rsid w:val="47B333C0"/>
    <w:rsid w:val="480504D6"/>
    <w:rsid w:val="4865023E"/>
    <w:rsid w:val="48DD49CB"/>
    <w:rsid w:val="49616DA7"/>
    <w:rsid w:val="49785E9C"/>
    <w:rsid w:val="49905AF9"/>
    <w:rsid w:val="49E24A0B"/>
    <w:rsid w:val="4A434EE9"/>
    <w:rsid w:val="4AD93E52"/>
    <w:rsid w:val="4B2652EA"/>
    <w:rsid w:val="4BD10222"/>
    <w:rsid w:val="4C8E0B8F"/>
    <w:rsid w:val="4CD75240"/>
    <w:rsid w:val="4D34390D"/>
    <w:rsid w:val="4D5E7ADB"/>
    <w:rsid w:val="4D654093"/>
    <w:rsid w:val="4D7E7597"/>
    <w:rsid w:val="4D802E64"/>
    <w:rsid w:val="4DC5789B"/>
    <w:rsid w:val="4DD9654B"/>
    <w:rsid w:val="4E437D75"/>
    <w:rsid w:val="4E9433DE"/>
    <w:rsid w:val="4F931398"/>
    <w:rsid w:val="50907598"/>
    <w:rsid w:val="511D1732"/>
    <w:rsid w:val="51257D51"/>
    <w:rsid w:val="512A5CE8"/>
    <w:rsid w:val="516314A7"/>
    <w:rsid w:val="51680AC2"/>
    <w:rsid w:val="516E3F7C"/>
    <w:rsid w:val="518C15DC"/>
    <w:rsid w:val="51943938"/>
    <w:rsid w:val="51B53CD8"/>
    <w:rsid w:val="52596E8A"/>
    <w:rsid w:val="527E2ED8"/>
    <w:rsid w:val="52AD1297"/>
    <w:rsid w:val="52BB41D1"/>
    <w:rsid w:val="52C673A9"/>
    <w:rsid w:val="53047508"/>
    <w:rsid w:val="531D3D91"/>
    <w:rsid w:val="534D301B"/>
    <w:rsid w:val="539E6D82"/>
    <w:rsid w:val="54010E82"/>
    <w:rsid w:val="541E0777"/>
    <w:rsid w:val="546E3E6D"/>
    <w:rsid w:val="54AC6029"/>
    <w:rsid w:val="55453244"/>
    <w:rsid w:val="5552072C"/>
    <w:rsid w:val="55560456"/>
    <w:rsid w:val="55B5297A"/>
    <w:rsid w:val="55C836D8"/>
    <w:rsid w:val="56157587"/>
    <w:rsid w:val="578B7588"/>
    <w:rsid w:val="57E33B36"/>
    <w:rsid w:val="581E7E10"/>
    <w:rsid w:val="58236E9B"/>
    <w:rsid w:val="589C2631"/>
    <w:rsid w:val="58F416D1"/>
    <w:rsid w:val="59A059FB"/>
    <w:rsid w:val="5A3D61AC"/>
    <w:rsid w:val="5A826473"/>
    <w:rsid w:val="5ABB702F"/>
    <w:rsid w:val="5AE55A24"/>
    <w:rsid w:val="5B490159"/>
    <w:rsid w:val="5B5D1586"/>
    <w:rsid w:val="5B8B67A9"/>
    <w:rsid w:val="5BD1246C"/>
    <w:rsid w:val="5C237872"/>
    <w:rsid w:val="5C3B0C6E"/>
    <w:rsid w:val="5C7A3D75"/>
    <w:rsid w:val="5C892EF4"/>
    <w:rsid w:val="5CD01973"/>
    <w:rsid w:val="5D082B9D"/>
    <w:rsid w:val="5D2F66E8"/>
    <w:rsid w:val="5D440E58"/>
    <w:rsid w:val="5D712939"/>
    <w:rsid w:val="5DB95026"/>
    <w:rsid w:val="5DCF35BF"/>
    <w:rsid w:val="5F213580"/>
    <w:rsid w:val="5FB87B5F"/>
    <w:rsid w:val="5FC5273D"/>
    <w:rsid w:val="5FD37C12"/>
    <w:rsid w:val="603D4B61"/>
    <w:rsid w:val="60A31DDB"/>
    <w:rsid w:val="60EA5521"/>
    <w:rsid w:val="61293C60"/>
    <w:rsid w:val="61313249"/>
    <w:rsid w:val="61481C9C"/>
    <w:rsid w:val="61894D8C"/>
    <w:rsid w:val="61B50644"/>
    <w:rsid w:val="622E3C3E"/>
    <w:rsid w:val="627E2877"/>
    <w:rsid w:val="629740A7"/>
    <w:rsid w:val="62D913EF"/>
    <w:rsid w:val="62E736E5"/>
    <w:rsid w:val="630261E5"/>
    <w:rsid w:val="63B77048"/>
    <w:rsid w:val="63D86152"/>
    <w:rsid w:val="63F61158"/>
    <w:rsid w:val="6433054D"/>
    <w:rsid w:val="64692930"/>
    <w:rsid w:val="6481238F"/>
    <w:rsid w:val="64FC2EFB"/>
    <w:rsid w:val="65087432"/>
    <w:rsid w:val="657167CD"/>
    <w:rsid w:val="657F4E32"/>
    <w:rsid w:val="659E1FFE"/>
    <w:rsid w:val="664470E6"/>
    <w:rsid w:val="665C21C9"/>
    <w:rsid w:val="66724C91"/>
    <w:rsid w:val="66FE3D87"/>
    <w:rsid w:val="66FE4072"/>
    <w:rsid w:val="67CD74FC"/>
    <w:rsid w:val="67EF710B"/>
    <w:rsid w:val="68014E2F"/>
    <w:rsid w:val="681F5143"/>
    <w:rsid w:val="686A07D4"/>
    <w:rsid w:val="68B735CD"/>
    <w:rsid w:val="68FD36D6"/>
    <w:rsid w:val="695833C7"/>
    <w:rsid w:val="697446CC"/>
    <w:rsid w:val="69C16178"/>
    <w:rsid w:val="69EA386D"/>
    <w:rsid w:val="69F70FB4"/>
    <w:rsid w:val="6A3E1B0F"/>
    <w:rsid w:val="6A5C430C"/>
    <w:rsid w:val="6AC24FBA"/>
    <w:rsid w:val="6B433A1D"/>
    <w:rsid w:val="6B805CD7"/>
    <w:rsid w:val="6B89056B"/>
    <w:rsid w:val="6B8F13B4"/>
    <w:rsid w:val="6C086943"/>
    <w:rsid w:val="6C304556"/>
    <w:rsid w:val="6C30724E"/>
    <w:rsid w:val="6C5D40D5"/>
    <w:rsid w:val="6C7C5E22"/>
    <w:rsid w:val="6C8F3A70"/>
    <w:rsid w:val="6CC00A85"/>
    <w:rsid w:val="6D8A4C4F"/>
    <w:rsid w:val="6E865317"/>
    <w:rsid w:val="6EB85329"/>
    <w:rsid w:val="6EBE16CC"/>
    <w:rsid w:val="6EC842E3"/>
    <w:rsid w:val="6ED3761B"/>
    <w:rsid w:val="6ED50421"/>
    <w:rsid w:val="6F627BC1"/>
    <w:rsid w:val="6FEC3A28"/>
    <w:rsid w:val="6FFC3846"/>
    <w:rsid w:val="70190A6A"/>
    <w:rsid w:val="70687500"/>
    <w:rsid w:val="70A64A50"/>
    <w:rsid w:val="70DA04B3"/>
    <w:rsid w:val="70DA1BB4"/>
    <w:rsid w:val="71595E71"/>
    <w:rsid w:val="716C72CB"/>
    <w:rsid w:val="71B601F0"/>
    <w:rsid w:val="71BE6245"/>
    <w:rsid w:val="71E02214"/>
    <w:rsid w:val="720C6E38"/>
    <w:rsid w:val="727E45B5"/>
    <w:rsid w:val="72847CAE"/>
    <w:rsid w:val="72920854"/>
    <w:rsid w:val="732A6DF8"/>
    <w:rsid w:val="733D1BBA"/>
    <w:rsid w:val="735A1CDA"/>
    <w:rsid w:val="73644FF7"/>
    <w:rsid w:val="7398442F"/>
    <w:rsid w:val="742E35F3"/>
    <w:rsid w:val="74945A14"/>
    <w:rsid w:val="74D143DF"/>
    <w:rsid w:val="75071EB1"/>
    <w:rsid w:val="75441047"/>
    <w:rsid w:val="754908E9"/>
    <w:rsid w:val="758D193E"/>
    <w:rsid w:val="75AD1FE0"/>
    <w:rsid w:val="763A6DDA"/>
    <w:rsid w:val="765E6AE5"/>
    <w:rsid w:val="768B7B98"/>
    <w:rsid w:val="775171D0"/>
    <w:rsid w:val="775D4F2B"/>
    <w:rsid w:val="77691E72"/>
    <w:rsid w:val="777A57C0"/>
    <w:rsid w:val="77AC166A"/>
    <w:rsid w:val="784748CC"/>
    <w:rsid w:val="786A14B8"/>
    <w:rsid w:val="789A3A8E"/>
    <w:rsid w:val="795A008D"/>
    <w:rsid w:val="79982490"/>
    <w:rsid w:val="79C54B5F"/>
    <w:rsid w:val="79EA1A55"/>
    <w:rsid w:val="79FB41E6"/>
    <w:rsid w:val="79FE376E"/>
    <w:rsid w:val="7ABD0FBC"/>
    <w:rsid w:val="7ADE4CE0"/>
    <w:rsid w:val="7B372EA6"/>
    <w:rsid w:val="7B6E289F"/>
    <w:rsid w:val="7B7E0B78"/>
    <w:rsid w:val="7BC93B65"/>
    <w:rsid w:val="7C2400DE"/>
    <w:rsid w:val="7C51281B"/>
    <w:rsid w:val="7C7439CF"/>
    <w:rsid w:val="7CB117C9"/>
    <w:rsid w:val="7CED38A3"/>
    <w:rsid w:val="7CF86E16"/>
    <w:rsid w:val="7D5E4550"/>
    <w:rsid w:val="7D5F2062"/>
    <w:rsid w:val="7D857823"/>
    <w:rsid w:val="7D8C063D"/>
    <w:rsid w:val="7DD869BC"/>
    <w:rsid w:val="7E2838DC"/>
    <w:rsid w:val="7E457578"/>
    <w:rsid w:val="7E8B4E88"/>
    <w:rsid w:val="7E8E30AC"/>
    <w:rsid w:val="7EA42A65"/>
    <w:rsid w:val="7EB55A9A"/>
    <w:rsid w:val="7EFE65C8"/>
    <w:rsid w:val="7F1F758D"/>
    <w:rsid w:val="7F2E11CA"/>
    <w:rsid w:val="7F403833"/>
    <w:rsid w:val="7F897F2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99"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Document Map"/>
    <w:basedOn w:val="1"/>
    <w:link w:val="27"/>
    <w:semiHidden/>
    <w:unhideWhenUsed/>
    <w:qFormat/>
    <w:uiPriority w:val="0"/>
    <w:rPr>
      <w:rFonts w:ascii="宋体"/>
      <w:sz w:val="18"/>
      <w:szCs w:val="18"/>
    </w:rPr>
  </w:style>
  <w:style w:type="paragraph" w:styleId="3">
    <w:name w:val="annotation text"/>
    <w:basedOn w:val="1"/>
    <w:link w:val="21"/>
    <w:unhideWhenUsed/>
    <w:qFormat/>
    <w:uiPriority w:val="99"/>
    <w:pPr>
      <w:jc w:val="left"/>
    </w:pPr>
  </w:style>
  <w:style w:type="paragraph" w:styleId="4">
    <w:name w:val="Date"/>
    <w:basedOn w:val="1"/>
    <w:next w:val="1"/>
    <w:link w:val="20"/>
    <w:qFormat/>
    <w:uiPriority w:val="0"/>
    <w:rPr>
      <w:rFonts w:ascii="CG Times" w:hAnsi="CG Times" w:eastAsia="楷体_GB2312"/>
      <w:sz w:val="28"/>
      <w:szCs w:val="20"/>
    </w:rPr>
  </w:style>
  <w:style w:type="paragraph" w:styleId="5">
    <w:name w:val="Balloon Text"/>
    <w:basedOn w:val="1"/>
    <w:link w:val="23"/>
    <w:unhideWhenUsed/>
    <w:qFormat/>
    <w:uiPriority w:val="99"/>
    <w:rPr>
      <w:sz w:val="18"/>
      <w:szCs w:val="18"/>
    </w:rPr>
  </w:style>
  <w:style w:type="paragraph" w:styleId="6">
    <w:name w:val="footer"/>
    <w:basedOn w:val="1"/>
    <w:link w:val="25"/>
    <w:unhideWhenUsed/>
    <w:qFormat/>
    <w:uiPriority w:val="99"/>
    <w:pPr>
      <w:tabs>
        <w:tab w:val="center" w:pos="4153"/>
        <w:tab w:val="right" w:pos="8306"/>
      </w:tabs>
      <w:snapToGrid w:val="0"/>
      <w:jc w:val="left"/>
    </w:pPr>
    <w:rPr>
      <w:sz w:val="18"/>
      <w:szCs w:val="18"/>
    </w:rPr>
  </w:style>
  <w:style w:type="paragraph" w:styleId="7">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spacing w:beforeAutospacing="1" w:afterAutospacing="1"/>
      <w:jc w:val="left"/>
    </w:pPr>
    <w:rPr>
      <w:kern w:val="0"/>
      <w:sz w:val="24"/>
    </w:rPr>
  </w:style>
  <w:style w:type="paragraph" w:styleId="9">
    <w:name w:val="annotation subject"/>
    <w:basedOn w:val="3"/>
    <w:next w:val="3"/>
    <w:link w:val="22"/>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basedOn w:val="12"/>
    <w:unhideWhenUsed/>
    <w:qFormat/>
    <w:uiPriority w:val="0"/>
  </w:style>
  <w:style w:type="character" w:styleId="15">
    <w:name w:val="FollowedHyperlink"/>
    <w:basedOn w:val="12"/>
    <w:semiHidden/>
    <w:unhideWhenUsed/>
    <w:qFormat/>
    <w:uiPriority w:val="0"/>
    <w:rPr>
      <w:color w:val="800080" w:themeColor="followedHyperlink"/>
      <w:u w:val="single"/>
      <w14:textFill>
        <w14:solidFill>
          <w14:schemeClr w14:val="folHlink"/>
        </w14:solidFill>
      </w14:textFill>
    </w:rPr>
  </w:style>
  <w:style w:type="character" w:styleId="16">
    <w:name w:val="Hyperlink"/>
    <w:basedOn w:val="12"/>
    <w:qFormat/>
    <w:uiPriority w:val="0"/>
    <w:rPr>
      <w:color w:val="0000FF"/>
      <w:u w:val="single"/>
    </w:rPr>
  </w:style>
  <w:style w:type="character" w:styleId="17">
    <w:name w:val="annotation reference"/>
    <w:basedOn w:val="12"/>
    <w:unhideWhenUsed/>
    <w:qFormat/>
    <w:uiPriority w:val="99"/>
    <w:rPr>
      <w:sz w:val="21"/>
      <w:szCs w:val="21"/>
    </w:rPr>
  </w:style>
  <w:style w:type="paragraph" w:customStyle="1" w:styleId="18">
    <w:name w:val="列出段落1"/>
    <w:basedOn w:val="1"/>
    <w:qFormat/>
    <w:uiPriority w:val="34"/>
    <w:pPr>
      <w:ind w:firstLine="420" w:firstLineChars="200"/>
    </w:pPr>
  </w:style>
  <w:style w:type="paragraph" w:customStyle="1" w:styleId="19">
    <w:name w:val="p0"/>
    <w:basedOn w:val="1"/>
    <w:qFormat/>
    <w:uiPriority w:val="0"/>
    <w:pPr>
      <w:widowControl/>
      <w:jc w:val="left"/>
    </w:pPr>
    <w:rPr>
      <w:rFonts w:ascii="宋体" w:hAnsi="宋体" w:cs="宋体"/>
      <w:kern w:val="0"/>
      <w:sz w:val="24"/>
    </w:rPr>
  </w:style>
  <w:style w:type="character" w:customStyle="1" w:styleId="20">
    <w:name w:val="日期 Char"/>
    <w:basedOn w:val="12"/>
    <w:link w:val="4"/>
    <w:qFormat/>
    <w:uiPriority w:val="0"/>
    <w:rPr>
      <w:rFonts w:ascii="CG Times" w:hAnsi="CG Times" w:eastAsia="楷体_GB2312" w:cs="Times New Roman"/>
      <w:sz w:val="28"/>
      <w:szCs w:val="20"/>
    </w:rPr>
  </w:style>
  <w:style w:type="character" w:customStyle="1" w:styleId="21">
    <w:name w:val="批注文字 Char"/>
    <w:basedOn w:val="12"/>
    <w:link w:val="3"/>
    <w:semiHidden/>
    <w:qFormat/>
    <w:uiPriority w:val="99"/>
    <w:rPr>
      <w:rFonts w:ascii="Times New Roman" w:hAnsi="Times New Roman" w:eastAsia="宋体" w:cs="Times New Roman"/>
      <w:szCs w:val="24"/>
    </w:rPr>
  </w:style>
  <w:style w:type="character" w:customStyle="1" w:styleId="22">
    <w:name w:val="批注主题 Char"/>
    <w:basedOn w:val="21"/>
    <w:link w:val="9"/>
    <w:semiHidden/>
    <w:qFormat/>
    <w:uiPriority w:val="99"/>
    <w:rPr>
      <w:rFonts w:ascii="Times New Roman" w:hAnsi="Times New Roman" w:eastAsia="宋体" w:cs="Times New Roman"/>
      <w:b/>
      <w:bCs/>
      <w:szCs w:val="24"/>
    </w:rPr>
  </w:style>
  <w:style w:type="character" w:customStyle="1" w:styleId="23">
    <w:name w:val="批注框文本 Char"/>
    <w:basedOn w:val="12"/>
    <w:link w:val="5"/>
    <w:semiHidden/>
    <w:qFormat/>
    <w:uiPriority w:val="99"/>
    <w:rPr>
      <w:rFonts w:ascii="Times New Roman" w:hAnsi="Times New Roman" w:eastAsia="宋体" w:cs="Times New Roman"/>
      <w:sz w:val="18"/>
      <w:szCs w:val="18"/>
    </w:rPr>
  </w:style>
  <w:style w:type="character" w:customStyle="1" w:styleId="24">
    <w:name w:val="页眉 Char"/>
    <w:basedOn w:val="12"/>
    <w:link w:val="7"/>
    <w:qFormat/>
    <w:uiPriority w:val="99"/>
    <w:rPr>
      <w:rFonts w:ascii="Times New Roman" w:hAnsi="Times New Roman" w:eastAsia="宋体" w:cs="Times New Roman"/>
      <w:sz w:val="18"/>
      <w:szCs w:val="18"/>
    </w:rPr>
  </w:style>
  <w:style w:type="character" w:customStyle="1" w:styleId="25">
    <w:name w:val="页脚 Char"/>
    <w:basedOn w:val="12"/>
    <w:link w:val="6"/>
    <w:qFormat/>
    <w:uiPriority w:val="99"/>
    <w:rPr>
      <w:rFonts w:ascii="Times New Roman" w:hAnsi="Times New Roman" w:eastAsia="宋体" w:cs="Times New Roman"/>
      <w:sz w:val="18"/>
      <w:szCs w:val="18"/>
    </w:rPr>
  </w:style>
  <w:style w:type="paragraph" w:styleId="26">
    <w:name w:val="List Paragraph"/>
    <w:basedOn w:val="1"/>
    <w:qFormat/>
    <w:uiPriority w:val="34"/>
    <w:pPr>
      <w:ind w:firstLine="420" w:firstLineChars="200"/>
    </w:pPr>
    <w:rPr>
      <w:rFonts w:ascii="Calibri" w:hAnsi="Calibri"/>
      <w:szCs w:val="22"/>
    </w:rPr>
  </w:style>
  <w:style w:type="character" w:customStyle="1" w:styleId="27">
    <w:name w:val="文档结构图 Char"/>
    <w:basedOn w:val="12"/>
    <w:link w:val="2"/>
    <w:semiHidden/>
    <w:qFormat/>
    <w:uiPriority w:val="0"/>
    <w:rPr>
      <w:rFonts w:ascii="宋体" w:hAnsi="Times New Roman" w:eastAsia="宋体" w:cs="Times New Roman"/>
      <w:kern w:val="2"/>
      <w:sz w:val="18"/>
      <w:szCs w:val="18"/>
    </w:rPr>
  </w:style>
  <w:style w:type="paragraph" w:customStyle="1" w:styleId="28">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29">
    <w:name w:val="网格型1"/>
    <w:basedOn w:val="10"/>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0">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1">
    <w:name w:val="fontstyle01"/>
    <w:basedOn w:val="12"/>
    <w:qFormat/>
    <w:uiPriority w:val="0"/>
    <w:rPr>
      <w:rFonts w:ascii="仿宋" w:hAnsi="仿宋" w:eastAsia="仿宋" w:cs="仿宋"/>
      <w:color w:val="000000"/>
      <w:sz w:val="22"/>
      <w:szCs w:val="22"/>
    </w:rPr>
  </w:style>
  <w:style w:type="paragraph" w:customStyle="1" w:styleId="32">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3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B8DD10-B480-4AFC-A6BF-D8F773D6192D}">
  <ds:schemaRefs/>
</ds:datastoreItem>
</file>

<file path=customXml/itemProps3.xml><?xml version="1.0" encoding="utf-8"?>
<ds:datastoreItem xmlns:ds="http://schemas.openxmlformats.org/officeDocument/2006/customXml" ds:itemID="{6C05BEAC-8154-4189-A088-32B56E43F4AB}">
  <ds:schemaRefs/>
</ds:datastoreItem>
</file>

<file path=customXml/itemProps4.xml><?xml version="1.0" encoding="utf-8"?>
<ds:datastoreItem xmlns:ds="http://schemas.openxmlformats.org/officeDocument/2006/customXml" ds:itemID="{D6F6D9CF-A22B-4E31-AADD-E7318153BC3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736</Words>
  <Characters>4196</Characters>
  <Lines>34</Lines>
  <Paragraphs>9</Paragraphs>
  <TotalTime>18</TotalTime>
  <ScaleCrop>false</ScaleCrop>
  <LinksUpToDate>false</LinksUpToDate>
  <CharactersWithSpaces>4923</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2022-05-18T00:50:00Z</dcterms:created>
  <dc:creator>LocalAccount</dc:creator>
  <cp:lastModifiedBy>somadmin</cp:lastModifiedBy>
  <cp:lastPrinted>2022-05-17T11:52:00Z</cp:lastPrinted>
  <dcterms:modified xsi:type="dcterms:W3CDTF">2022-06-28T12:07:45Z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2052-11.8.2.9022</vt:lpwstr>
  </property>
  <property fmtid="{D5CDD505-2E9C-101B-9397-08002B2CF9AE}" pid="4" name="ICV">
    <vt:lpwstr>9DAE75C066CD40219E8D053A83A5C280</vt:lpwstr>
  </property>
</Properties>
</file>