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widowControl/>
        <w:shd w:val="clear"/>
        <w:spacing w:after="156" w:line="360" w:lineRule="atLeast"/>
        <w:jc w:val="center"/>
        <w:outlineLvl w:val="0"/>
        <w:rPr>
          <w:rFonts w:hint="eastAsia" w:ascii="楷体_GB2312" w:hAnsi="楷体_GB2312" w:cs="楷体_GB2312"/>
          <w:b/>
          <w:sz w:val="32"/>
          <w:szCs w:val="32"/>
        </w:rPr>
      </w:pPr>
      <w:r>
        <w:rPr>
          <w:rFonts w:hint="eastAsia" w:ascii="楷体_GB2312" w:hAnsi="楷体_GB2312" w:cs="楷体_GB2312"/>
          <w:b/>
          <w:sz w:val="32"/>
          <w:szCs w:val="32"/>
        </w:rPr>
        <w:t>深市港股通</w:t>
      </w:r>
      <w:r>
        <w:rPr>
          <w:rFonts w:hint="eastAsia" w:ascii="楷体_GB2312" w:hAnsi="楷体_GB2312" w:cs="楷体_GB2312"/>
          <w:b/>
          <w:sz w:val="32"/>
          <w:szCs w:val="32"/>
          <w:lang w:eastAsia="zh-CN"/>
        </w:rPr>
        <w:t>交易日历优化</w:t>
      </w:r>
      <w:r>
        <w:rPr>
          <w:rFonts w:hint="eastAsia" w:ascii="楷体_GB2312" w:hAnsi="楷体_GB2312" w:cs="楷体_GB2312"/>
          <w:b/>
          <w:sz w:val="32"/>
          <w:szCs w:val="32"/>
        </w:rPr>
        <w:t>业务</w:t>
      </w:r>
    </w:p>
    <w:p>
      <w:pPr>
        <w:pStyle w:val="4"/>
        <w:widowControl/>
        <w:shd w:val="clear"/>
        <w:spacing w:after="156" w:line="360" w:lineRule="atLeast"/>
        <w:jc w:val="center"/>
        <w:outlineLvl w:val="0"/>
        <w:rPr>
          <w:rFonts w:hint="eastAsia" w:ascii="楷体_GB2312" w:hAnsi="楷体_GB2312" w:cs="楷体_GB2312"/>
          <w:b/>
          <w:sz w:val="32"/>
          <w:szCs w:val="32"/>
        </w:rPr>
      </w:pPr>
      <w:r>
        <w:rPr>
          <w:rFonts w:hint="eastAsia" w:ascii="楷体_GB2312" w:hAnsi="楷体_GB2312" w:eastAsia="楷体_GB2312" w:cs="楷体_GB2312"/>
          <w:b/>
          <w:sz w:val="32"/>
          <w:szCs w:val="32"/>
        </w:rPr>
        <w:t>202</w:t>
      </w:r>
      <w:r>
        <w:rPr>
          <w:rFonts w:hint="eastAsia" w:ascii="楷体_GB2312" w:hAnsi="楷体_GB2312" w:eastAsia="楷体_GB2312" w:cs="楷体_GB2312"/>
          <w:b/>
          <w:sz w:val="32"/>
          <w:szCs w:val="32"/>
          <w:lang w:val="en-US"/>
        </w:rPr>
        <w:t>3</w:t>
      </w:r>
      <w:r>
        <w:rPr>
          <w:rFonts w:hint="eastAsia" w:ascii="楷体_GB2312" w:hAnsi="楷体_GB2312" w:eastAsia="楷体_GB2312" w:cs="楷体_GB2312"/>
          <w:b/>
          <w:sz w:val="32"/>
          <w:szCs w:val="32"/>
        </w:rPr>
        <w:t>年</w:t>
      </w:r>
      <w:r>
        <w:rPr>
          <w:rFonts w:hint="eastAsia" w:ascii="楷体_GB2312" w:hAnsi="楷体_GB2312" w:eastAsia="楷体_GB2312" w:cs="楷体_GB2312"/>
          <w:b/>
          <w:sz w:val="32"/>
          <w:szCs w:val="32"/>
          <w:lang w:val="en-US"/>
        </w:rPr>
        <w:t>2</w:t>
      </w:r>
      <w:r>
        <w:rPr>
          <w:rFonts w:hint="eastAsia" w:ascii="楷体_GB2312" w:hAnsi="楷体_GB2312" w:eastAsia="楷体_GB2312" w:cs="楷体_GB2312"/>
          <w:b/>
          <w:sz w:val="32"/>
          <w:szCs w:val="32"/>
        </w:rPr>
        <w:t>月11日</w:t>
      </w:r>
      <w:r>
        <w:rPr>
          <w:rFonts w:hint="eastAsia" w:ascii="楷体_GB2312" w:hAnsi="楷体_GB2312" w:cs="楷体_GB2312"/>
          <w:b/>
          <w:sz w:val="32"/>
          <w:szCs w:val="32"/>
        </w:rPr>
        <w:t>全网测试方案</w:t>
      </w:r>
    </w:p>
    <w:p>
      <w:pPr>
        <w:numPr>
          <w:ilvl w:val="0"/>
          <w:numId w:val="1"/>
        </w:numPr>
        <w:ind w:left="0" w:firstLine="0"/>
        <w:outlineLvl w:val="0"/>
        <w:rPr>
          <w:rFonts w:hint="eastAsia" w:ascii="楷体_GB2312" w:hAnsi="楷体_GB2312" w:eastAsia="楷体_GB2312" w:cs="楷体_GB2312"/>
          <w:b/>
          <w:sz w:val="28"/>
          <w:szCs w:val="28"/>
        </w:rPr>
      </w:pPr>
      <w:r>
        <w:rPr>
          <w:rFonts w:hint="eastAsia" w:ascii="楷体_GB2312" w:hAnsi="楷体_GB2312" w:eastAsia="楷体_GB2312" w:cs="楷体_GB2312"/>
          <w:b/>
          <w:sz w:val="28"/>
          <w:szCs w:val="28"/>
        </w:rPr>
        <w:t>测试目的</w:t>
      </w:r>
    </w:p>
    <w:p>
      <w:pPr>
        <w:widowControl/>
        <w:spacing w:line="360" w:lineRule="atLeast"/>
        <w:ind w:firstLine="560" w:firstLineChars="200"/>
        <w:jc w:val="left"/>
        <w:rPr>
          <w:rFonts w:hint="eastAsia"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中国证券登记结算有限责任公司深圳分公司（以下简称中国结算深圳分公司）已于2022年</w:t>
      </w:r>
      <w:r>
        <w:rPr>
          <w:rFonts w:hint="eastAsia" w:ascii="楷体_GB2312" w:hAnsi="楷体_GB2312" w:eastAsia="楷体_GB2312" w:cs="楷体_GB2312"/>
          <w:color w:val="auto"/>
          <w:sz w:val="28"/>
          <w:szCs w:val="28"/>
          <w:lang w:val="en-US"/>
        </w:rPr>
        <w:t>9</w:t>
      </w:r>
      <w:r>
        <w:rPr>
          <w:rFonts w:hint="eastAsia" w:ascii="楷体_GB2312" w:hAnsi="楷体_GB2312" w:eastAsia="楷体_GB2312" w:cs="楷体_GB2312"/>
          <w:color w:val="auto"/>
          <w:sz w:val="28"/>
          <w:szCs w:val="28"/>
        </w:rPr>
        <w:t>月</w:t>
      </w:r>
      <w:r>
        <w:rPr>
          <w:rFonts w:hint="eastAsia" w:ascii="楷体_GB2312" w:hAnsi="楷体_GB2312" w:eastAsia="楷体_GB2312" w:cs="楷体_GB2312"/>
          <w:color w:val="auto"/>
          <w:sz w:val="28"/>
          <w:szCs w:val="28"/>
          <w:lang w:val="en-US"/>
        </w:rPr>
        <w:t>2</w:t>
      </w:r>
      <w:r>
        <w:rPr>
          <w:rFonts w:hint="eastAsia" w:ascii="楷体_GB2312" w:hAnsi="楷体_GB2312" w:eastAsia="楷体_GB2312" w:cs="楷体_GB2312"/>
          <w:color w:val="auto"/>
          <w:sz w:val="28"/>
          <w:szCs w:val="28"/>
        </w:rPr>
        <w:t>日发布《关于做好深市港股通交易日历优化技术准备的通知》。为确保相关业务的顺利开展，深圳证券交易所（以下简称深交所）联合中国结算深圳分公司定于202</w:t>
      </w:r>
      <w:r>
        <w:rPr>
          <w:rFonts w:hint="eastAsia" w:ascii="楷体_GB2312" w:hAnsi="楷体_GB2312" w:eastAsia="楷体_GB2312" w:cs="楷体_GB2312"/>
          <w:color w:val="auto"/>
          <w:sz w:val="28"/>
          <w:szCs w:val="28"/>
          <w:lang w:val="en-US"/>
        </w:rPr>
        <w:t>3</w:t>
      </w:r>
      <w:r>
        <w:rPr>
          <w:rFonts w:hint="eastAsia" w:ascii="楷体_GB2312" w:hAnsi="楷体_GB2312" w:eastAsia="楷体_GB2312" w:cs="楷体_GB2312"/>
          <w:color w:val="auto"/>
          <w:sz w:val="28"/>
          <w:szCs w:val="28"/>
        </w:rPr>
        <w:t>年</w:t>
      </w:r>
      <w:r>
        <w:rPr>
          <w:rFonts w:hint="eastAsia" w:ascii="楷体_GB2312" w:hAnsi="楷体_GB2312" w:eastAsia="楷体_GB2312" w:cs="楷体_GB2312"/>
          <w:color w:val="auto"/>
          <w:sz w:val="28"/>
          <w:szCs w:val="28"/>
          <w:lang w:val="en-US"/>
        </w:rPr>
        <w:t>2</w:t>
      </w:r>
      <w:r>
        <w:rPr>
          <w:rFonts w:hint="eastAsia" w:ascii="楷体_GB2312" w:hAnsi="楷体_GB2312" w:eastAsia="楷体_GB2312" w:cs="楷体_GB2312"/>
          <w:color w:val="auto"/>
          <w:sz w:val="28"/>
          <w:szCs w:val="28"/>
        </w:rPr>
        <w:t>月11日</w:t>
      </w:r>
      <w:r>
        <w:rPr>
          <w:rFonts w:hint="eastAsia" w:ascii="楷体_GB2312" w:hAnsi="楷体_GB2312" w:eastAsia="楷体_GB2312" w:cs="楷体_GB2312"/>
          <w:color w:val="auto"/>
          <w:sz w:val="28"/>
          <w:szCs w:val="28"/>
          <w:lang w:eastAsia="zh-CN"/>
        </w:rPr>
        <w:t>组织全网测试</w:t>
      </w:r>
      <w:r>
        <w:rPr>
          <w:rFonts w:hint="eastAsia" w:ascii="楷体_GB2312" w:hAnsi="楷体_GB2312" w:eastAsia="楷体_GB2312" w:cs="楷体_GB2312"/>
          <w:color w:val="auto"/>
          <w:sz w:val="28"/>
          <w:szCs w:val="28"/>
        </w:rPr>
        <w:t>，通过模拟深港通下的港股通（以下简称港股通）</w:t>
      </w:r>
      <w:r>
        <w:rPr>
          <w:rFonts w:hint="eastAsia" w:ascii="楷体_GB2312" w:hAnsi="楷体_GB2312" w:eastAsia="楷体_GB2312" w:cs="楷体_GB2312"/>
          <w:color w:val="auto"/>
          <w:sz w:val="28"/>
          <w:szCs w:val="28"/>
          <w:lang w:eastAsia="zh-CN"/>
        </w:rPr>
        <w:t>证券在新增交易日</w:t>
      </w:r>
      <w:r>
        <w:rPr>
          <w:rFonts w:hint="eastAsia" w:ascii="楷体_GB2312" w:hAnsi="楷体_GB2312" w:eastAsia="楷体_GB2312" w:cs="楷体_GB2312"/>
          <w:color w:val="auto"/>
          <w:sz w:val="28"/>
          <w:szCs w:val="28"/>
        </w:rPr>
        <w:t>交易</w:t>
      </w:r>
      <w:r>
        <w:rPr>
          <w:rFonts w:hint="eastAsia" w:ascii="楷体_GB2312" w:hAnsi="楷体_GB2312" w:eastAsia="楷体_GB2312" w:cs="楷体_GB2312"/>
          <w:color w:val="auto"/>
          <w:sz w:val="28"/>
          <w:szCs w:val="28"/>
          <w:lang w:eastAsia="zh-CN"/>
        </w:rPr>
        <w:t>的</w:t>
      </w:r>
      <w:r>
        <w:rPr>
          <w:rFonts w:hint="eastAsia" w:ascii="楷体_GB2312" w:hAnsi="楷体_GB2312" w:eastAsia="楷体_GB2312" w:cs="楷体_GB2312"/>
          <w:color w:val="auto"/>
          <w:sz w:val="28"/>
          <w:szCs w:val="28"/>
        </w:rPr>
        <w:t>委托申报、成交回报、清算</w:t>
      </w:r>
      <w:r>
        <w:rPr>
          <w:rFonts w:hint="eastAsia" w:ascii="楷体_GB2312" w:hAnsi="楷体_GB2312" w:eastAsia="楷体_GB2312" w:cs="楷体_GB2312"/>
          <w:color w:val="auto"/>
          <w:sz w:val="28"/>
          <w:szCs w:val="28"/>
          <w:lang w:eastAsia="zh-CN"/>
        </w:rPr>
        <w:t>交收</w:t>
      </w:r>
      <w:r>
        <w:rPr>
          <w:rFonts w:hint="eastAsia" w:ascii="楷体_GB2312" w:hAnsi="楷体_GB2312" w:eastAsia="楷体_GB2312" w:cs="楷体_GB2312"/>
          <w:color w:val="auto"/>
          <w:sz w:val="28"/>
          <w:szCs w:val="28"/>
        </w:rPr>
        <w:t>、风险管理等业务处理过程，检验市场参与各方技术系统的正确性。</w:t>
      </w:r>
    </w:p>
    <w:p>
      <w:pPr>
        <w:widowControl/>
        <w:spacing w:line="360" w:lineRule="atLeast"/>
        <w:ind w:firstLine="560" w:firstLineChars="200"/>
        <w:jc w:val="left"/>
        <w:rPr>
          <w:rFonts w:hint="eastAsia"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深交所已于2023年1月31日发布《关于调整Level 1行情发送带宽的通知》，本次测试将模拟</w:t>
      </w:r>
      <w:r>
        <w:rPr>
          <w:rFonts w:hint="eastAsia" w:ascii="楷体_GB2312" w:hAnsi="楷体_GB2312" w:eastAsia="楷体_GB2312" w:cs="楷体_GB2312"/>
          <w:color w:val="auto"/>
          <w:sz w:val="28"/>
          <w:szCs w:val="28"/>
          <w:lang w:eastAsia="zh-CN"/>
        </w:rPr>
        <w:t>为所有参与人的</w:t>
      </w:r>
      <w:r>
        <w:rPr>
          <w:rFonts w:hint="eastAsia" w:ascii="楷体_GB2312" w:hAnsi="楷体_GB2312" w:eastAsia="楷体_GB2312" w:cs="楷体_GB2312"/>
          <w:color w:val="auto"/>
          <w:sz w:val="28"/>
          <w:szCs w:val="28"/>
        </w:rPr>
        <w:t>Level 1地面行情网关</w:t>
      </w:r>
      <w:r>
        <w:rPr>
          <w:rFonts w:hint="eastAsia" w:ascii="楷体_GB2312" w:hAnsi="楷体_GB2312" w:eastAsia="楷体_GB2312" w:cs="楷体_GB2312"/>
          <w:color w:val="auto"/>
          <w:sz w:val="28"/>
          <w:szCs w:val="28"/>
          <w:lang w:eastAsia="zh-CN"/>
        </w:rPr>
        <w:t>增加</w:t>
      </w:r>
      <w:r>
        <w:rPr>
          <w:rFonts w:hint="eastAsia" w:ascii="楷体_GB2312" w:hAnsi="楷体_GB2312" w:eastAsia="楷体_GB2312" w:cs="楷体_GB2312"/>
          <w:color w:val="auto"/>
          <w:sz w:val="28"/>
          <w:szCs w:val="28"/>
        </w:rPr>
        <w:t>股票期权行情订阅功能</w:t>
      </w:r>
      <w:r>
        <w:rPr>
          <w:rFonts w:hint="eastAsia" w:ascii="楷体_GB2312" w:hAnsi="楷体_GB2312" w:eastAsia="楷体_GB2312" w:cs="楷体_GB2312"/>
          <w:color w:val="auto"/>
          <w:sz w:val="28"/>
          <w:szCs w:val="28"/>
          <w:lang w:eastAsia="zh-CN"/>
        </w:rPr>
        <w:t>，会员单位、期货公司和深圳证券信息有限公司（以下简称“深证信”）授权股票期权展示许可的行情服务商的Level 1地面行情网关将自动获取股票期权行情订阅权限。</w:t>
      </w:r>
      <w:r>
        <w:rPr>
          <w:rFonts w:hint="eastAsia" w:ascii="楷体_GB2312" w:hAnsi="楷体_GB2312" w:eastAsia="楷体_GB2312" w:cs="楷体_GB2312"/>
          <w:color w:val="auto"/>
          <w:sz w:val="28"/>
          <w:szCs w:val="28"/>
        </w:rPr>
        <w:t>本次测试</w:t>
      </w:r>
      <w:r>
        <w:rPr>
          <w:rFonts w:hint="eastAsia" w:ascii="楷体_GB2312" w:hAnsi="楷体_GB2312" w:eastAsia="楷体_GB2312" w:cs="楷体_GB2312"/>
          <w:color w:val="auto"/>
          <w:sz w:val="28"/>
          <w:szCs w:val="28"/>
          <w:lang w:eastAsia="zh-CN"/>
        </w:rPr>
        <w:t>期间，其他参与人将无法收到股票期权行情。</w:t>
      </w:r>
    </w:p>
    <w:p>
      <w:pPr>
        <w:widowControl/>
        <w:spacing w:line="360" w:lineRule="atLeast"/>
        <w:ind w:firstLine="560" w:firstLineChars="200"/>
        <w:jc w:val="left"/>
        <w:rPr>
          <w:rFonts w:hint="eastAsia" w:ascii="楷体_GB2312" w:hAnsi="楷体_GB2312" w:eastAsia="楷体_GB2312" w:cs="楷体_GB2312"/>
          <w:color w:val="FF0000"/>
          <w:sz w:val="28"/>
          <w:szCs w:val="28"/>
          <w:lang w:val="en-US" w:eastAsia="zh-CN"/>
        </w:rPr>
      </w:pPr>
    </w:p>
    <w:p>
      <w:pPr>
        <w:numPr>
          <w:ilvl w:val="0"/>
          <w:numId w:val="1"/>
        </w:numPr>
        <w:outlineLvl w:val="0"/>
        <w:rPr>
          <w:rFonts w:hint="eastAsia" w:ascii="楷体_GB2312" w:hAnsi="楷体_GB2312" w:eastAsia="楷体_GB2312" w:cs="楷体_GB2312"/>
          <w:b/>
          <w:sz w:val="28"/>
          <w:szCs w:val="28"/>
        </w:rPr>
      </w:pPr>
      <w:r>
        <w:rPr>
          <w:rFonts w:hint="eastAsia" w:ascii="楷体_GB2312" w:hAnsi="楷体_GB2312" w:eastAsia="楷体_GB2312" w:cs="楷体_GB2312"/>
          <w:b/>
          <w:sz w:val="28"/>
          <w:szCs w:val="28"/>
        </w:rPr>
        <w:t>参测单位</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lang w:eastAsia="zh-CN"/>
        </w:rPr>
        <w:t>深交所</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中国结算深圳分公司</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香港联合交易所</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香港中央结算公司</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深圳证券通信</w:t>
      </w:r>
      <w:r>
        <w:rPr>
          <w:rFonts w:hint="eastAsia" w:ascii="楷体_GB2312" w:hAnsi="楷体_GB2312" w:eastAsia="楷体_GB2312" w:cs="楷体_GB2312"/>
          <w:kern w:val="0"/>
          <w:sz w:val="28"/>
          <w:szCs w:val="28"/>
          <w:lang w:eastAsia="zh-CN"/>
        </w:rPr>
        <w:t>有限</w:t>
      </w:r>
      <w:r>
        <w:rPr>
          <w:rFonts w:hint="eastAsia" w:ascii="楷体_GB2312" w:hAnsi="楷体_GB2312" w:eastAsia="楷体_GB2312" w:cs="楷体_GB2312"/>
          <w:kern w:val="0"/>
          <w:sz w:val="28"/>
          <w:szCs w:val="28"/>
        </w:rPr>
        <w:t>公司</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lang w:eastAsia="zh-CN"/>
        </w:rPr>
        <w:t>会员单位</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基金</w:t>
      </w:r>
      <w:r>
        <w:rPr>
          <w:rFonts w:hint="eastAsia" w:ascii="楷体_GB2312" w:hAnsi="楷体_GB2312" w:eastAsia="楷体_GB2312" w:cs="楷体_GB2312"/>
          <w:kern w:val="0"/>
          <w:sz w:val="28"/>
          <w:szCs w:val="28"/>
          <w:lang w:eastAsia="zh-CN"/>
        </w:rPr>
        <w:t>管理</w:t>
      </w:r>
      <w:r>
        <w:rPr>
          <w:rFonts w:hint="eastAsia" w:ascii="楷体_GB2312" w:hAnsi="楷体_GB2312" w:eastAsia="楷体_GB2312" w:cs="楷体_GB2312"/>
          <w:kern w:val="0"/>
          <w:sz w:val="28"/>
          <w:szCs w:val="28"/>
        </w:rPr>
        <w:t>公司</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lang w:eastAsia="zh-CN"/>
        </w:rPr>
        <w:t>托管人</w:t>
      </w:r>
    </w:p>
    <w:p>
      <w:pPr>
        <w:pStyle w:val="27"/>
        <w:numPr>
          <w:ilvl w:val="0"/>
          <w:numId w:val="2"/>
        </w:numPr>
        <w:ind w:firstLine="560" w:firstLineChars="0"/>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结算参与机构</w:t>
      </w:r>
    </w:p>
    <w:p>
      <w:pPr>
        <w:pStyle w:val="27"/>
        <w:numPr>
          <w:ilvl w:val="0"/>
          <w:numId w:val="2"/>
        </w:numPr>
        <w:ind w:firstLine="560" w:firstLineChars="0"/>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lang w:eastAsia="zh-CN"/>
        </w:rPr>
        <w:t>行情服务商</w:t>
      </w:r>
    </w:p>
    <w:p>
      <w:pPr>
        <w:pStyle w:val="27"/>
        <w:numPr>
          <w:ilvl w:val="0"/>
          <w:numId w:val="2"/>
        </w:numPr>
        <w:spacing w:line="560" w:lineRule="exact"/>
        <w:ind w:firstLine="560" w:firstLineChars="0"/>
        <w:outlineLvl w:val="1"/>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其他相关单位</w:t>
      </w:r>
    </w:p>
    <w:p>
      <w:pPr>
        <w:widowControl/>
        <w:tabs>
          <w:tab w:val="left" w:pos="840"/>
        </w:tabs>
        <w:spacing w:line="360" w:lineRule="atLeast"/>
        <w:jc w:val="left"/>
        <w:rPr>
          <w:rFonts w:hint="eastAsia" w:ascii="楷体_GB2312" w:hAnsi="楷体_GB2312" w:eastAsia="楷体_GB2312" w:cs="楷体_GB2312"/>
          <w:sz w:val="28"/>
          <w:szCs w:val="28"/>
        </w:rPr>
      </w:pPr>
    </w:p>
    <w:p>
      <w:pPr>
        <w:numPr>
          <w:ilvl w:val="0"/>
          <w:numId w:val="1"/>
        </w:numPr>
        <w:outlineLvl w:val="0"/>
        <w:rPr>
          <w:rFonts w:hint="eastAsia" w:ascii="楷体_GB2312" w:hAnsi="楷体_GB2312" w:eastAsia="楷体_GB2312" w:cs="楷体_GB2312"/>
          <w:b/>
          <w:sz w:val="28"/>
          <w:szCs w:val="28"/>
        </w:rPr>
      </w:pPr>
      <w:r>
        <w:rPr>
          <w:rFonts w:hint="eastAsia" w:ascii="楷体_GB2312" w:hAnsi="楷体_GB2312" w:eastAsia="楷体_GB2312" w:cs="楷体_GB2312"/>
          <w:b/>
          <w:sz w:val="28"/>
          <w:szCs w:val="28"/>
        </w:rPr>
        <w:t>测试内容</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深市证券交易系统、结算系统模拟1个业务日的交易、结算，港股通证券模拟半日市交易和1个结算日的结算。</w:t>
      </w:r>
    </w:p>
    <w:p>
      <w:pPr>
        <w:widowControl/>
        <w:numPr>
          <w:ilvl w:val="0"/>
          <w:numId w:val="3"/>
        </w:numPr>
        <w:spacing w:line="360" w:lineRule="atLeast"/>
        <w:ind w:left="0" w:leftChars="0" w:firstLine="420" w:firstLineChars="0"/>
        <w:jc w:val="left"/>
        <w:rPr>
          <w:rFonts w:hint="eastAsia" w:ascii="楷体_GB2312" w:hAnsi="楷体_GB2312" w:eastAsia="楷体_GB2312" w:cs="楷体_GB2312"/>
          <w:b/>
          <w:bCs/>
          <w:kern w:val="0"/>
          <w:sz w:val="28"/>
          <w:szCs w:val="28"/>
        </w:rPr>
      </w:pPr>
      <w:r>
        <w:rPr>
          <w:rFonts w:hint="eastAsia" w:ascii="楷体_GB2312" w:hAnsi="楷体_GB2312" w:eastAsia="楷体_GB2312" w:cs="楷体_GB2312"/>
          <w:b/>
          <w:bCs/>
          <w:kern w:val="0"/>
          <w:sz w:val="28"/>
          <w:szCs w:val="28"/>
          <w:lang w:val="en-US" w:eastAsia="zh-CN"/>
        </w:rPr>
        <w:t>测试重点</w:t>
      </w:r>
    </w:p>
    <w:p>
      <w:pPr>
        <w:pStyle w:val="27"/>
        <w:numPr>
          <w:ilvl w:val="0"/>
          <w:numId w:val="4"/>
        </w:numPr>
        <w:ind w:left="420" w:firstLineChars="0"/>
        <w:rPr>
          <w:rFonts w:hint="eastAsia"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新增交易日交易的委托申报、成交回报</w:t>
      </w:r>
      <w:r>
        <w:rPr>
          <w:rFonts w:hint="eastAsia" w:ascii="楷体_GB2312" w:hAnsi="楷体_GB2312" w:eastAsia="楷体_GB2312" w:cs="楷体_GB2312"/>
          <w:color w:val="auto"/>
          <w:sz w:val="28"/>
          <w:szCs w:val="28"/>
          <w:lang w:eastAsia="zh-CN"/>
        </w:rPr>
        <w:t>、</w:t>
      </w:r>
      <w:r>
        <w:rPr>
          <w:rFonts w:hint="eastAsia" w:ascii="楷体_GB2312" w:hAnsi="楷体_GB2312" w:eastAsia="楷体_GB2312" w:cs="楷体_GB2312"/>
          <w:color w:val="auto"/>
          <w:sz w:val="28"/>
          <w:szCs w:val="28"/>
        </w:rPr>
        <w:t>清算</w:t>
      </w:r>
      <w:r>
        <w:rPr>
          <w:rFonts w:hint="eastAsia" w:ascii="楷体_GB2312" w:hAnsi="楷体_GB2312" w:eastAsia="楷体_GB2312" w:cs="楷体_GB2312"/>
          <w:color w:val="auto"/>
          <w:sz w:val="28"/>
          <w:szCs w:val="28"/>
          <w:lang w:eastAsia="zh-CN"/>
        </w:rPr>
        <w:t>交收处理</w:t>
      </w:r>
      <w:r>
        <w:rPr>
          <w:rFonts w:hint="eastAsia" w:ascii="楷体_GB2312" w:hAnsi="楷体_GB2312" w:eastAsia="楷体_GB2312" w:cs="楷体_GB2312"/>
          <w:color w:val="auto"/>
          <w:sz w:val="28"/>
          <w:szCs w:val="28"/>
        </w:rPr>
        <w:t>；</w:t>
      </w:r>
    </w:p>
    <w:p>
      <w:pPr>
        <w:pStyle w:val="27"/>
        <w:numPr>
          <w:ilvl w:val="0"/>
          <w:numId w:val="4"/>
        </w:numPr>
        <w:ind w:left="420" w:firstLineChars="0"/>
        <w:rPr>
          <w:rFonts w:hint="eastAsia"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新增交易日预清算资金汇总参考</w:t>
      </w:r>
      <w:r>
        <w:rPr>
          <w:rFonts w:hint="eastAsia" w:ascii="楷体_GB2312" w:hAnsi="楷体_GB2312" w:eastAsia="楷体_GB2312" w:cs="楷体_GB2312"/>
          <w:color w:val="auto"/>
          <w:sz w:val="28"/>
          <w:szCs w:val="28"/>
          <w:lang w:eastAsia="zh-CN"/>
        </w:rPr>
        <w:t>文件</w:t>
      </w:r>
      <w:r>
        <w:rPr>
          <w:rFonts w:hint="eastAsia" w:ascii="楷体_GB2312" w:hAnsi="楷体_GB2312" w:eastAsia="楷体_GB2312" w:cs="楷体_GB2312"/>
          <w:color w:val="auto"/>
          <w:sz w:val="28"/>
          <w:szCs w:val="28"/>
        </w:rPr>
        <w:t>接收</w:t>
      </w:r>
      <w:r>
        <w:rPr>
          <w:rFonts w:hint="eastAsia" w:ascii="楷体_GB2312" w:hAnsi="楷体_GB2312" w:eastAsia="楷体_GB2312" w:cs="楷体_GB2312"/>
          <w:color w:val="auto"/>
          <w:sz w:val="28"/>
          <w:szCs w:val="28"/>
          <w:lang w:eastAsia="zh-CN"/>
        </w:rPr>
        <w:t>与处理</w:t>
      </w:r>
      <w:r>
        <w:rPr>
          <w:rFonts w:hint="eastAsia" w:ascii="楷体_GB2312" w:hAnsi="楷体_GB2312" w:eastAsia="楷体_GB2312" w:cs="楷体_GB2312"/>
          <w:color w:val="auto"/>
          <w:sz w:val="28"/>
          <w:szCs w:val="28"/>
        </w:rPr>
        <w:t>；</w:t>
      </w:r>
    </w:p>
    <w:p>
      <w:pPr>
        <w:widowControl/>
        <w:numPr>
          <w:ilvl w:val="0"/>
          <w:numId w:val="4"/>
        </w:numPr>
        <w:spacing w:line="360" w:lineRule="atLeast"/>
        <w:ind w:left="420" w:leftChars="0" w:firstLineChars="0"/>
        <w:jc w:val="left"/>
        <w:rPr>
          <w:rFonts w:hint="eastAsia"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新增交易日</w:t>
      </w:r>
      <w:r>
        <w:rPr>
          <w:rFonts w:hint="eastAsia" w:ascii="楷体_GB2312" w:hAnsi="楷体_GB2312" w:eastAsia="楷体_GB2312" w:cs="楷体_GB2312"/>
          <w:color w:val="auto"/>
          <w:sz w:val="28"/>
          <w:szCs w:val="28"/>
          <w:lang w:eastAsia="zh-CN"/>
        </w:rPr>
        <w:t>参与人资金提前到账处理（资金足额到账或资金不足违约）；</w:t>
      </w:r>
    </w:p>
    <w:p>
      <w:pPr>
        <w:widowControl/>
        <w:numPr>
          <w:ilvl w:val="0"/>
          <w:numId w:val="4"/>
        </w:numPr>
        <w:spacing w:line="360" w:lineRule="atLeast"/>
        <w:ind w:left="420" w:leftChars="0" w:firstLineChars="0"/>
        <w:jc w:val="left"/>
        <w:rPr>
          <w:rFonts w:hint="eastAsia"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rPr>
        <w:t>新增交易日</w:t>
      </w:r>
      <w:r>
        <w:rPr>
          <w:rFonts w:hint="eastAsia" w:ascii="楷体_GB2312" w:hAnsi="楷体_GB2312" w:eastAsia="楷体_GB2312" w:cs="楷体_GB2312"/>
          <w:color w:val="auto"/>
          <w:sz w:val="28"/>
          <w:szCs w:val="28"/>
          <w:lang w:eastAsia="zh-CN"/>
        </w:rPr>
        <w:t>参与人未满足提前到账义务导致的</w:t>
      </w:r>
      <w:r>
        <w:rPr>
          <w:rFonts w:hint="eastAsia" w:ascii="楷体_GB2312" w:hAnsi="楷体_GB2312" w:eastAsia="楷体_GB2312" w:cs="楷体_GB2312"/>
          <w:color w:val="auto"/>
          <w:sz w:val="28"/>
          <w:szCs w:val="28"/>
        </w:rPr>
        <w:t>提前到账违约金</w:t>
      </w:r>
      <w:r>
        <w:rPr>
          <w:rFonts w:hint="eastAsia" w:ascii="楷体_GB2312" w:hAnsi="楷体_GB2312" w:eastAsia="楷体_GB2312" w:cs="楷体_GB2312"/>
          <w:color w:val="auto"/>
          <w:sz w:val="28"/>
          <w:szCs w:val="28"/>
          <w:lang w:eastAsia="zh-CN"/>
        </w:rPr>
        <w:t>及</w:t>
      </w:r>
      <w:r>
        <w:rPr>
          <w:rFonts w:hint="eastAsia" w:ascii="楷体_GB2312" w:hAnsi="楷体_GB2312" w:eastAsia="楷体_GB2312" w:cs="楷体_GB2312"/>
          <w:color w:val="auto"/>
          <w:sz w:val="28"/>
          <w:szCs w:val="28"/>
        </w:rPr>
        <w:t>垫息</w:t>
      </w:r>
      <w:r>
        <w:rPr>
          <w:rFonts w:hint="eastAsia" w:ascii="楷体_GB2312" w:hAnsi="楷体_GB2312" w:eastAsia="楷体_GB2312" w:cs="楷体_GB2312"/>
          <w:color w:val="auto"/>
          <w:sz w:val="28"/>
          <w:szCs w:val="28"/>
          <w:lang w:eastAsia="zh-CN"/>
        </w:rPr>
        <w:t>清算处理；</w:t>
      </w:r>
    </w:p>
    <w:p>
      <w:pPr>
        <w:widowControl/>
        <w:numPr>
          <w:ilvl w:val="0"/>
          <w:numId w:val="4"/>
        </w:numPr>
        <w:spacing w:line="360" w:lineRule="atLeast"/>
        <w:ind w:left="420" w:leftChars="0" w:firstLineChars="0"/>
        <w:jc w:val="left"/>
        <w:rPr>
          <w:rFonts w:hint="eastAsia"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lang w:val="en-US" w:eastAsia="zh-CN"/>
        </w:rPr>
        <w:t>资金提前到账违约导致的授信利息分摊清算处理；</w:t>
      </w:r>
    </w:p>
    <w:p>
      <w:pPr>
        <w:widowControl/>
        <w:numPr>
          <w:ilvl w:val="0"/>
          <w:numId w:val="4"/>
        </w:numPr>
        <w:spacing w:line="360" w:lineRule="atLeast"/>
        <w:ind w:left="420" w:leftChars="0" w:firstLineChars="0"/>
        <w:jc w:val="left"/>
        <w:rPr>
          <w:rFonts w:hint="eastAsia" w:ascii="楷体_GB2312" w:hAnsi="楷体_GB2312" w:eastAsia="楷体_GB2312" w:cs="楷体_GB2312"/>
          <w:color w:val="auto"/>
          <w:sz w:val="28"/>
          <w:szCs w:val="28"/>
        </w:rPr>
      </w:pPr>
      <w:r>
        <w:rPr>
          <w:rFonts w:hint="eastAsia" w:ascii="楷体_GB2312" w:hAnsi="楷体_GB2312" w:eastAsia="楷体_GB2312" w:cs="楷体_GB2312"/>
          <w:color w:val="auto"/>
          <w:sz w:val="28"/>
          <w:szCs w:val="28"/>
          <w:lang w:eastAsia="zh-CN"/>
        </w:rPr>
        <w:t>非对称假期期间在</w:t>
      </w:r>
      <w:r>
        <w:rPr>
          <w:rFonts w:hint="eastAsia" w:ascii="楷体_GB2312" w:hAnsi="楷体_GB2312" w:eastAsia="楷体_GB2312" w:cs="楷体_GB2312"/>
          <w:color w:val="auto"/>
          <w:sz w:val="28"/>
          <w:szCs w:val="28"/>
        </w:rPr>
        <w:t>香港银行留存资金</w:t>
      </w:r>
      <w:r>
        <w:rPr>
          <w:rFonts w:hint="eastAsia" w:ascii="楷体_GB2312" w:hAnsi="楷体_GB2312" w:eastAsia="楷体_GB2312" w:cs="楷体_GB2312"/>
          <w:color w:val="auto"/>
          <w:sz w:val="28"/>
          <w:szCs w:val="28"/>
          <w:lang w:eastAsia="zh-CN"/>
        </w:rPr>
        <w:t>产生的</w:t>
      </w:r>
      <w:r>
        <w:rPr>
          <w:rFonts w:hint="eastAsia" w:ascii="楷体_GB2312" w:hAnsi="楷体_GB2312" w:eastAsia="楷体_GB2312" w:cs="楷体_GB2312"/>
          <w:color w:val="auto"/>
          <w:sz w:val="28"/>
          <w:szCs w:val="28"/>
        </w:rPr>
        <w:t>利息</w:t>
      </w:r>
      <w:r>
        <w:rPr>
          <w:rFonts w:hint="eastAsia" w:ascii="楷体_GB2312" w:hAnsi="楷体_GB2312" w:eastAsia="楷体_GB2312" w:cs="楷体_GB2312"/>
          <w:color w:val="auto"/>
          <w:sz w:val="28"/>
          <w:szCs w:val="28"/>
          <w:lang w:eastAsia="zh-CN"/>
        </w:rPr>
        <w:t>分摊清算处理；</w:t>
      </w:r>
    </w:p>
    <w:p>
      <w:pPr>
        <w:numPr>
          <w:ilvl w:val="0"/>
          <w:numId w:val="4"/>
        </w:numPr>
        <w:ind w:left="420" w:firstLineChars="0"/>
        <w:rPr>
          <w:rFonts w:hint="eastAsia" w:ascii="楷体_GB2312" w:hAnsi="楷体_GB2312" w:eastAsia="楷体_GB2312" w:cs="楷体_GB2312"/>
          <w:color w:val="auto"/>
          <w:sz w:val="28"/>
          <w:szCs w:val="28"/>
          <w:lang w:val="en-US" w:eastAsia="zh-CN"/>
        </w:rPr>
      </w:pPr>
      <w:r>
        <w:rPr>
          <w:rFonts w:hint="eastAsia" w:ascii="楷体_GB2312" w:hAnsi="楷体_GB2312" w:eastAsia="楷体_GB2312" w:cs="楷体_GB2312"/>
          <w:color w:val="auto"/>
          <w:sz w:val="28"/>
          <w:szCs w:val="28"/>
          <w:lang w:val="en-US" w:eastAsia="zh-CN"/>
        </w:rPr>
        <w:t>资金余额查询（可提款金额）</w:t>
      </w:r>
      <w:r>
        <w:rPr>
          <w:rFonts w:hint="eastAsia" w:ascii="楷体_GB2312" w:hAnsi="楷体_GB2312" w:eastAsia="楷体_GB2312" w:cs="楷体_GB2312"/>
          <w:lang w:eastAsia="zh-CN"/>
        </w:rPr>
        <w:t>。</w:t>
      </w:r>
    </w:p>
    <w:p>
      <w:pPr>
        <w:widowControl/>
        <w:numPr>
          <w:ilvl w:val="0"/>
          <w:numId w:val="3"/>
        </w:numPr>
        <w:spacing w:line="360" w:lineRule="atLeast"/>
        <w:ind w:left="0" w:leftChars="0" w:firstLine="420" w:firstLineChars="0"/>
        <w:jc w:val="left"/>
        <w:rPr>
          <w:rFonts w:hint="eastAsia" w:ascii="楷体_GB2312" w:hAnsi="楷体_GB2312" w:eastAsia="楷体_GB2312" w:cs="楷体_GB2312"/>
          <w:b/>
          <w:bCs/>
          <w:kern w:val="0"/>
          <w:sz w:val="28"/>
          <w:szCs w:val="28"/>
          <w:lang w:val="en-US" w:eastAsia="zh-CN"/>
        </w:rPr>
      </w:pPr>
      <w:r>
        <w:rPr>
          <w:rFonts w:hint="eastAsia" w:ascii="楷体_GB2312" w:hAnsi="楷体_GB2312" w:eastAsia="楷体_GB2312" w:cs="楷体_GB2312"/>
          <w:b/>
          <w:bCs/>
          <w:kern w:val="0"/>
          <w:sz w:val="28"/>
          <w:szCs w:val="28"/>
          <w:lang w:val="en-US" w:eastAsia="zh-CN"/>
        </w:rPr>
        <w:t>T日测试内容（模拟2023年2月11日）</w:t>
      </w:r>
    </w:p>
    <w:p>
      <w:pPr>
        <w:pStyle w:val="8"/>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楷体_GB2312" w:hAnsi="楷体_GB2312" w:eastAsia="楷体_GB2312" w:cs="楷体_GB2312"/>
          <w:bCs/>
          <w:szCs w:val="28"/>
        </w:rPr>
      </w:pPr>
      <w:r>
        <w:rPr>
          <w:rFonts w:hint="eastAsia" w:ascii="楷体_GB2312" w:hAnsi="楷体_GB2312" w:eastAsia="楷体_GB2312" w:cs="楷体_GB2312"/>
          <w:b/>
          <w:color w:val="000000"/>
          <w:szCs w:val="28"/>
        </w:rPr>
        <w:t>市场参与人技术系统：</w:t>
      </w:r>
      <w:r>
        <w:rPr>
          <w:rFonts w:hint="eastAsia" w:ascii="楷体_GB2312" w:hAnsi="楷体_GB2312" w:eastAsia="楷体_GB2312" w:cs="楷体_GB2312"/>
          <w:bCs/>
          <w:szCs w:val="28"/>
        </w:rPr>
        <w:t>模拟深市证券、港股通证券</w:t>
      </w:r>
      <w:r>
        <w:rPr>
          <w:rFonts w:hint="eastAsia" w:ascii="楷体_GB2312" w:hAnsi="楷体_GB2312" w:eastAsia="楷体_GB2312" w:cs="楷体_GB2312"/>
          <w:bCs/>
          <w:szCs w:val="28"/>
          <w:lang w:eastAsia="zh-CN"/>
        </w:rPr>
        <w:t>（</w:t>
      </w:r>
      <w:r>
        <w:rPr>
          <w:rFonts w:hint="eastAsia" w:ascii="楷体_GB2312" w:hAnsi="楷体_GB2312" w:eastAsia="楷体_GB2312" w:cs="楷体_GB2312"/>
          <w:bCs/>
          <w:szCs w:val="28"/>
          <w:lang w:val="en-US" w:eastAsia="zh-CN"/>
        </w:rPr>
        <w:t>测试重点</w:t>
      </w:r>
      <w:r>
        <w:rPr>
          <w:rFonts w:hint="eastAsia" w:ascii="楷体_GB2312" w:hAnsi="楷体_GB2312" w:eastAsia="楷体_GB2312" w:cs="楷体_GB2312"/>
          <w:bCs/>
          <w:szCs w:val="28"/>
          <w:lang w:eastAsia="zh-CN"/>
        </w:rPr>
        <w:t>）</w:t>
      </w:r>
      <w:r>
        <w:rPr>
          <w:rFonts w:hint="eastAsia" w:ascii="楷体_GB2312" w:hAnsi="楷体_GB2312" w:eastAsia="楷体_GB2312" w:cs="楷体_GB2312"/>
          <w:bCs/>
          <w:szCs w:val="28"/>
        </w:rPr>
        <w:t>日常交易、非交易等业务的委托申报，接收成交回报与实时行情。</w:t>
      </w:r>
    </w:p>
    <w:p>
      <w:pPr>
        <w:pStyle w:val="8"/>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楷体_GB2312" w:hAnsi="楷体_GB2312" w:eastAsia="楷体_GB2312" w:cs="楷体_GB2312"/>
          <w:szCs w:val="28"/>
        </w:rPr>
      </w:pPr>
      <w:r>
        <w:rPr>
          <w:rFonts w:hint="eastAsia" w:ascii="楷体_GB2312" w:hAnsi="楷体_GB2312" w:eastAsia="楷体_GB2312" w:cs="楷体_GB2312"/>
          <w:szCs w:val="28"/>
        </w:rPr>
        <w:t>模拟深市证券、港股通证券的股份及资金清算交收等业务处理。</w:t>
      </w:r>
    </w:p>
    <w:p>
      <w:pPr>
        <w:widowControl/>
        <w:numPr>
          <w:ilvl w:val="-1"/>
          <w:numId w:val="0"/>
        </w:numPr>
        <w:spacing w:line="240" w:lineRule="auto"/>
        <w:ind w:left="330" w:firstLine="0"/>
        <w:jc w:val="left"/>
        <w:rPr>
          <w:rFonts w:hint="eastAsia" w:ascii="楷体_GB2312" w:hAnsi="楷体_GB2312" w:eastAsia="楷体_GB2312" w:cs="楷体_GB2312"/>
          <w:color w:val="2E2E2E"/>
          <w:kern w:val="0"/>
          <w:sz w:val="28"/>
          <w:szCs w:val="28"/>
        </w:rPr>
      </w:pPr>
    </w:p>
    <w:p>
      <w:pPr>
        <w:numPr>
          <w:ilvl w:val="0"/>
          <w:numId w:val="1"/>
        </w:numPr>
        <w:outlineLvl w:val="0"/>
        <w:rPr>
          <w:rFonts w:hint="eastAsia" w:ascii="楷体_GB2312" w:hAnsi="楷体_GB2312" w:eastAsia="楷体_GB2312" w:cs="楷体_GB2312"/>
          <w:b/>
          <w:sz w:val="28"/>
          <w:szCs w:val="28"/>
        </w:rPr>
      </w:pPr>
      <w:r>
        <w:rPr>
          <w:rFonts w:hint="eastAsia" w:ascii="楷体_GB2312" w:hAnsi="楷体_GB2312" w:eastAsia="楷体_GB2312" w:cs="楷体_GB2312"/>
          <w:b/>
          <w:sz w:val="28"/>
          <w:szCs w:val="28"/>
        </w:rPr>
        <w:t>测试时间</w:t>
      </w:r>
    </w:p>
    <w:p>
      <w:pPr>
        <w:ind w:firstLine="562" w:firstLineChars="200"/>
        <w:rPr>
          <w:rFonts w:hint="eastAsia" w:ascii="楷体_GB2312" w:hAnsi="楷体_GB2312" w:eastAsia="楷体_GB2312" w:cs="楷体_GB2312"/>
          <w:b/>
          <w:color w:val="000000"/>
          <w:sz w:val="28"/>
          <w:szCs w:val="28"/>
        </w:rPr>
      </w:pPr>
      <w:r>
        <w:rPr>
          <w:rFonts w:hint="eastAsia" w:ascii="楷体_GB2312" w:hAnsi="楷体_GB2312" w:eastAsia="楷体_GB2312" w:cs="楷体_GB2312"/>
          <w:b/>
          <w:color w:val="000000"/>
          <w:sz w:val="28"/>
          <w:szCs w:val="28"/>
        </w:rPr>
        <w:t>测试时间为202</w:t>
      </w:r>
      <w:r>
        <w:rPr>
          <w:rFonts w:hint="eastAsia" w:ascii="楷体_GB2312" w:hAnsi="楷体_GB2312" w:eastAsia="楷体_GB2312" w:cs="楷体_GB2312"/>
          <w:b/>
          <w:color w:val="000000"/>
          <w:sz w:val="28"/>
          <w:szCs w:val="28"/>
          <w:lang w:val="en-US"/>
        </w:rPr>
        <w:t>3</w:t>
      </w:r>
      <w:r>
        <w:rPr>
          <w:rFonts w:hint="eastAsia" w:ascii="楷体_GB2312" w:hAnsi="楷体_GB2312" w:eastAsia="楷体_GB2312" w:cs="楷体_GB2312"/>
          <w:b/>
          <w:color w:val="000000"/>
          <w:sz w:val="28"/>
          <w:szCs w:val="28"/>
        </w:rPr>
        <w:t>年</w:t>
      </w:r>
      <w:r>
        <w:rPr>
          <w:rFonts w:hint="eastAsia" w:ascii="楷体_GB2312" w:hAnsi="楷体_GB2312" w:eastAsia="楷体_GB2312" w:cs="楷体_GB2312"/>
          <w:b/>
          <w:color w:val="000000"/>
          <w:sz w:val="28"/>
          <w:szCs w:val="28"/>
          <w:lang w:val="en-US"/>
        </w:rPr>
        <w:t>2</w:t>
      </w:r>
      <w:r>
        <w:rPr>
          <w:rFonts w:hint="eastAsia" w:ascii="楷体_GB2312" w:hAnsi="楷体_GB2312" w:eastAsia="楷体_GB2312" w:cs="楷体_GB2312"/>
          <w:b/>
          <w:color w:val="000000"/>
          <w:sz w:val="28"/>
          <w:szCs w:val="28"/>
        </w:rPr>
        <w:t>月11日（星期六）8:30至</w:t>
      </w:r>
      <w:r>
        <w:rPr>
          <w:rFonts w:hint="eastAsia" w:ascii="楷体_GB2312" w:hAnsi="楷体_GB2312" w:eastAsia="楷体_GB2312" w:cs="楷体_GB2312"/>
          <w:b/>
          <w:color w:val="000000"/>
          <w:sz w:val="28"/>
          <w:szCs w:val="28"/>
          <w:lang w:val="en-US" w:eastAsia="zh-CN"/>
        </w:rPr>
        <w:t>14</w:t>
      </w:r>
      <w:r>
        <w:rPr>
          <w:rFonts w:hint="eastAsia" w:ascii="楷体_GB2312" w:hAnsi="楷体_GB2312" w:eastAsia="楷体_GB2312" w:cs="楷体_GB2312"/>
          <w:b/>
          <w:color w:val="000000"/>
          <w:sz w:val="28"/>
          <w:szCs w:val="28"/>
        </w:rPr>
        <w:t>:</w:t>
      </w:r>
      <w:r>
        <w:rPr>
          <w:rFonts w:hint="eastAsia" w:ascii="楷体_GB2312" w:hAnsi="楷体_GB2312" w:eastAsia="楷体_GB2312" w:cs="楷体_GB2312"/>
          <w:b/>
          <w:color w:val="000000"/>
          <w:sz w:val="28"/>
          <w:szCs w:val="28"/>
          <w:lang w:val="en-US" w:eastAsia="zh-CN"/>
        </w:rPr>
        <w:t>00</w:t>
      </w:r>
      <w:r>
        <w:rPr>
          <w:rFonts w:hint="eastAsia" w:ascii="楷体_GB2312" w:hAnsi="楷体_GB2312" w:eastAsia="楷体_GB2312" w:cs="楷体_GB2312"/>
          <w:b/>
          <w:color w:val="000000"/>
          <w:sz w:val="28"/>
          <w:szCs w:val="28"/>
        </w:rPr>
        <w:t>。</w:t>
      </w:r>
    </w:p>
    <w:p>
      <w:pPr>
        <w:numPr>
          <w:ilvl w:val="255"/>
          <w:numId w:val="0"/>
        </w:numPr>
        <w:ind w:firstLine="560" w:firstLineChars="200"/>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color w:val="000000"/>
          <w:sz w:val="28"/>
          <w:szCs w:val="28"/>
        </w:rPr>
        <w:t>深市证券交易及结算业务的具体安排请见下表：</w:t>
      </w:r>
    </w:p>
    <w:tbl>
      <w:tblPr>
        <w:tblStyle w:val="11"/>
        <w:tblW w:w="8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6"/>
        <w:gridCol w:w="3401"/>
        <w:gridCol w:w="3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899"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int="eastAsia" w:ascii="楷体_GB2312" w:hAnsi="楷体_GB2312" w:eastAsia="楷体_GB2312" w:cs="楷体_GB2312"/>
                <w:b/>
                <w:color w:val="000000"/>
                <w:szCs w:val="21"/>
              </w:rPr>
            </w:pPr>
            <w:r>
              <w:rPr>
                <w:rFonts w:hint="eastAsia" w:ascii="楷体_GB2312" w:hAnsi="楷体_GB2312" w:eastAsia="楷体_GB2312" w:cs="楷体_GB2312"/>
                <w:b/>
                <w:bCs/>
                <w:color w:val="000000"/>
                <w:sz w:val="21"/>
                <w:szCs w:val="21"/>
              </w:rPr>
              <w:t>T日测试事项（模拟日期：2023年</w:t>
            </w:r>
            <w:r>
              <w:rPr>
                <w:rFonts w:hint="eastAsia" w:ascii="楷体_GB2312" w:hAnsi="楷体_GB2312" w:eastAsia="楷体_GB2312" w:cs="楷体_GB2312"/>
                <w:b/>
                <w:bCs/>
                <w:color w:val="000000"/>
                <w:sz w:val="21"/>
                <w:szCs w:val="21"/>
                <w:lang w:eastAsia="zh-CN"/>
              </w:rPr>
              <w:t>2月11日</w:t>
            </w:r>
            <w:r>
              <w:rPr>
                <w:rFonts w:hint="eastAsia" w:ascii="楷体_GB2312" w:hAnsi="楷体_GB2312" w:eastAsia="楷体_GB2312" w:cs="楷体_GB2312"/>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hint="eastAsia" w:ascii="楷体_GB2312" w:hAnsi="楷体_GB2312" w:eastAsia="楷体_GB2312" w:cs="楷体_GB2312"/>
                <w:b/>
                <w:bCs/>
                <w:color w:val="000000"/>
                <w:sz w:val="21"/>
                <w:szCs w:val="21"/>
              </w:rPr>
            </w:pPr>
            <w:r>
              <w:rPr>
                <w:rFonts w:hint="eastAsia" w:ascii="楷体_GB2312" w:hAnsi="楷体_GB2312" w:eastAsia="楷体_GB2312" w:cs="楷体_GB2312"/>
                <w:b/>
                <w:bCs/>
                <w:color w:val="000000"/>
                <w:sz w:val="21"/>
                <w:szCs w:val="21"/>
              </w:rPr>
              <w:t>实际时间</w:t>
            </w:r>
          </w:p>
          <w:p>
            <w:pPr>
              <w:spacing w:line="300" w:lineRule="exact"/>
              <w:jc w:val="center"/>
              <w:rPr>
                <w:rFonts w:hint="eastAsia" w:ascii="楷体_GB2312" w:hAnsi="楷体_GB2312" w:eastAsia="楷体_GB2312" w:cs="楷体_GB2312"/>
                <w:b/>
                <w:bCs/>
                <w:color w:val="000000"/>
                <w:sz w:val="21"/>
                <w:szCs w:val="21"/>
              </w:rPr>
            </w:pPr>
            <w:r>
              <w:rPr>
                <w:rFonts w:hint="eastAsia" w:ascii="楷体_GB2312" w:hAnsi="楷体_GB2312" w:eastAsia="楷体_GB2312" w:cs="楷体_GB2312"/>
                <w:b/>
                <w:bCs/>
                <w:color w:val="000000"/>
                <w:sz w:val="21"/>
                <w:szCs w:val="21"/>
              </w:rPr>
              <w:t>(</w:t>
            </w:r>
            <w:r>
              <w:rPr>
                <w:rFonts w:hint="eastAsia" w:ascii="楷体_GB2312" w:hAnsi="楷体_GB2312" w:eastAsia="楷体_GB2312" w:cs="楷体_GB2312"/>
                <w:b/>
                <w:bCs/>
                <w:color w:val="000000"/>
                <w:sz w:val="21"/>
                <w:szCs w:val="21"/>
                <w:lang w:eastAsia="zh-CN"/>
              </w:rPr>
              <w:t>2月11日</w:t>
            </w:r>
            <w:r>
              <w:rPr>
                <w:rFonts w:hint="eastAsia" w:ascii="楷体_GB2312" w:hAnsi="楷体_GB2312" w:eastAsia="楷体_GB2312" w:cs="楷体_GB2312"/>
                <w:b/>
                <w:bCs/>
                <w:color w:val="000000"/>
                <w:sz w:val="21"/>
                <w:szCs w:val="21"/>
              </w:rPr>
              <w:t>)</w:t>
            </w:r>
          </w:p>
        </w:tc>
        <w:tc>
          <w:tcPr>
            <w:tcW w:w="3401"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hint="eastAsia" w:ascii="楷体_GB2312" w:hAnsi="楷体_GB2312" w:eastAsia="楷体_GB2312" w:cs="楷体_GB2312"/>
                <w:b/>
                <w:bCs/>
                <w:color w:val="000000"/>
                <w:sz w:val="21"/>
                <w:szCs w:val="21"/>
              </w:rPr>
            </w:pPr>
            <w:r>
              <w:rPr>
                <w:rFonts w:hint="eastAsia" w:ascii="楷体_GB2312" w:hAnsi="楷体_GB2312" w:eastAsia="楷体_GB2312" w:cs="楷体_GB2312"/>
                <w:b/>
                <w:bCs/>
                <w:color w:val="000000"/>
                <w:sz w:val="21"/>
                <w:szCs w:val="21"/>
              </w:rPr>
              <w:t>主要测试事项</w:t>
            </w:r>
          </w:p>
        </w:tc>
        <w:tc>
          <w:tcPr>
            <w:tcW w:w="3342"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hint="eastAsia" w:ascii="楷体_GB2312" w:hAnsi="楷体_GB2312" w:eastAsia="楷体_GB2312" w:cs="楷体_GB2312"/>
                <w:b/>
                <w:bCs/>
                <w:color w:val="000000"/>
                <w:sz w:val="21"/>
                <w:szCs w:val="21"/>
              </w:rPr>
            </w:pPr>
            <w:r>
              <w:rPr>
                <w:rFonts w:hint="eastAsia" w:ascii="楷体_GB2312" w:hAnsi="楷体_GB2312" w:eastAsia="楷体_GB2312" w:cs="楷体_GB2312"/>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9:00前</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早间下发T日静态交易参考信息文件（包括pre*文件）、PCF文件、信息公告、股东大会信息文件</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接收并加载静态交易参考信息文件（包括pre*文件）、PCF文件、信息公告、股东大会信息文件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9:00-12:00</w:t>
            </w:r>
          </w:p>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（10:30-10:35中午休市）</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设置福田中心为主中心、南方中心为备中心运行，接收日常交易、非交易等委托</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模拟现货、期权等品种交易、非交易业务的委托申报，并接收成交回报，接收实时行情并展示</w:t>
            </w:r>
          </w:p>
          <w:p>
            <w:pPr>
              <w:spacing w:line="300" w:lineRule="exact"/>
              <w:jc w:val="left"/>
              <w:rPr>
                <w:rFonts w:hint="eastAsia" w:ascii="楷体_GB2312" w:hAnsi="楷体_GB2312" w:eastAsia="楷体_GB2312" w:cs="楷体_GB2312"/>
                <w:sz w:val="21"/>
                <w:szCs w:val="21"/>
              </w:rPr>
            </w:pPr>
          </w:p>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i w:val="0"/>
                <w:iCs w:val="0"/>
                <w:caps w:val="0"/>
                <w:color w:val="FF0000"/>
                <w:spacing w:val="0"/>
                <w:sz w:val="21"/>
                <w:szCs w:val="21"/>
              </w:rPr>
              <w:t>深交所将于</w:t>
            </w:r>
            <w:r>
              <w:rPr>
                <w:rFonts w:hint="eastAsia" w:ascii="楷体_GB2312" w:hAnsi="楷体_GB2312" w:eastAsia="楷体_GB2312" w:cs="楷体_GB2312"/>
                <w:i w:val="0"/>
                <w:iCs w:val="0"/>
                <w:caps w:val="0"/>
                <w:color w:val="FF0000"/>
                <w:spacing w:val="0"/>
                <w:sz w:val="21"/>
                <w:szCs w:val="21"/>
                <w:lang w:val="en-US" w:eastAsia="zh-CN"/>
              </w:rPr>
              <w:t>10</w:t>
            </w:r>
            <w:r>
              <w:rPr>
                <w:rFonts w:hint="eastAsia" w:ascii="楷体_GB2312" w:hAnsi="楷体_GB2312" w:eastAsia="楷体_GB2312" w:cs="楷体_GB2312"/>
                <w:i w:val="0"/>
                <w:iCs w:val="0"/>
                <w:caps w:val="0"/>
                <w:color w:val="FF0000"/>
                <w:spacing w:val="0"/>
                <w:sz w:val="21"/>
                <w:szCs w:val="21"/>
              </w:rPr>
              <w:t>:</w:t>
            </w:r>
            <w:r>
              <w:rPr>
                <w:rFonts w:hint="eastAsia" w:ascii="楷体_GB2312" w:hAnsi="楷体_GB2312" w:eastAsia="楷体_GB2312" w:cs="楷体_GB2312"/>
                <w:i w:val="0"/>
                <w:iCs w:val="0"/>
                <w:caps w:val="0"/>
                <w:color w:val="FF0000"/>
                <w:spacing w:val="0"/>
                <w:sz w:val="21"/>
                <w:szCs w:val="21"/>
                <w:lang w:val="en-US" w:eastAsia="zh-CN"/>
              </w:rPr>
              <w:t>00</w:t>
            </w:r>
            <w:r>
              <w:rPr>
                <w:rFonts w:hint="eastAsia" w:ascii="楷体_GB2312" w:hAnsi="楷体_GB2312" w:eastAsia="楷体_GB2312" w:cs="楷体_GB2312"/>
                <w:i w:val="0"/>
                <w:iCs w:val="0"/>
                <w:caps w:val="0"/>
                <w:color w:val="FF0000"/>
                <w:spacing w:val="0"/>
                <w:sz w:val="21"/>
                <w:szCs w:val="21"/>
              </w:rPr>
              <w:t>左右模拟福田数据中心故障，由南方中心单中心运行至收市。请注意观察并记录现象。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12:00-13:00</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发送网络投票回报文件</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接收网络投票回报文件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12:00-13:30</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中国结算深圳分公司模拟T日股份资金清算交收</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13:30后</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T日结算数据发送</w:t>
            </w:r>
          </w:p>
        </w:tc>
        <w:tc>
          <w:tcPr>
            <w:tcW w:w="3342"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899"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9"/>
              <w:widowControl/>
              <w:jc w:val="center"/>
              <w:rPr>
                <w:rFonts w:hint="eastAsia" w:ascii="楷体_GB2312" w:hAnsi="楷体_GB2312" w:eastAsia="楷体_GB2312" w:cs="楷体_GB2312"/>
                <w:b/>
                <w:color w:val="000000"/>
                <w:sz w:val="21"/>
                <w:szCs w:val="21"/>
              </w:rPr>
            </w:pPr>
            <w:r>
              <w:rPr>
                <w:rFonts w:hint="eastAsia" w:ascii="楷体_GB2312" w:hAnsi="楷体_GB2312" w:eastAsia="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int="eastAsia" w:ascii="楷体_GB2312" w:hAnsi="楷体_GB2312" w:eastAsia="楷体_GB2312" w:cs="楷体_GB2312"/>
                <w:b/>
                <w:color w:val="000000"/>
                <w:sz w:val="21"/>
                <w:szCs w:val="21"/>
              </w:rPr>
            </w:pPr>
            <w:r>
              <w:rPr>
                <w:rFonts w:hint="eastAsia" w:ascii="楷体_GB2312" w:hAnsi="楷体_GB2312" w:eastAsia="楷体_GB2312" w:cs="楷体_GB2312"/>
                <w:b/>
                <w:color w:val="000000"/>
                <w:sz w:val="21"/>
                <w:szCs w:val="21"/>
              </w:rPr>
              <w:t>平台</w:t>
            </w:r>
          </w:p>
        </w:tc>
        <w:tc>
          <w:tcPr>
            <w:tcW w:w="3401"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int="eastAsia" w:ascii="楷体_GB2312" w:hAnsi="楷体_GB2312" w:eastAsia="楷体_GB2312" w:cs="楷体_GB2312"/>
                <w:b/>
                <w:color w:val="000000"/>
                <w:sz w:val="21"/>
                <w:szCs w:val="21"/>
              </w:rPr>
            </w:pPr>
            <w:r>
              <w:rPr>
                <w:rFonts w:hint="eastAsia" w:ascii="楷体_GB2312" w:hAnsi="楷体_GB2312" w:eastAsia="楷体_GB2312" w:cs="楷体_GB2312"/>
                <w:b/>
                <w:color w:val="000000"/>
                <w:sz w:val="21"/>
                <w:szCs w:val="21"/>
              </w:rPr>
              <w:t>委托申报时间</w:t>
            </w:r>
          </w:p>
        </w:tc>
        <w:tc>
          <w:tcPr>
            <w:tcW w:w="3342"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int="eastAsia" w:ascii="楷体_GB2312" w:hAnsi="楷体_GB2312" w:eastAsia="楷体_GB2312" w:cs="楷体_GB2312"/>
                <w:b/>
                <w:color w:val="000000"/>
                <w:sz w:val="21"/>
                <w:szCs w:val="21"/>
              </w:rPr>
            </w:pPr>
            <w:r>
              <w:rPr>
                <w:rFonts w:hint="eastAsia" w:ascii="楷体_GB2312" w:hAnsi="楷体_GB2312" w:eastAsia="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现货集中竞价交易平台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9:15-9:25,9:30-10:30,10:35-11:30</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综合金融服务平台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9:15-10:30,10:35-12:00</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衍生品集中竞价交易平台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与现货集中竞价交易平台相同</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非交易处理平台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9:15-10:30,10:35-11:30</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固定收益交易平台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9:00-10:30,10:35-12:00</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156"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场外业务平台</w:t>
            </w:r>
          </w:p>
        </w:tc>
        <w:tc>
          <w:tcPr>
            <w:tcW w:w="340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hint="default" w:ascii="楷体_GB2312" w:hAnsi="楷体_GB2312" w:eastAsia="楷体_GB2312" w:cs="楷体_GB2312"/>
                <w:sz w:val="21"/>
                <w:szCs w:val="21"/>
                <w:lang w:val="en-US" w:eastAsia="zh-CN"/>
              </w:rPr>
            </w:pPr>
            <w:r>
              <w:rPr>
                <w:rFonts w:hint="eastAsia" w:ascii="楷体_GB2312" w:hAnsi="楷体_GB2312" w:eastAsia="楷体_GB2312" w:cs="楷体_GB2312"/>
                <w:sz w:val="21"/>
                <w:szCs w:val="21"/>
              </w:rPr>
              <w:t>9:</w:t>
            </w:r>
            <w:r>
              <w:rPr>
                <w:rFonts w:hint="eastAsia" w:ascii="楷体_GB2312" w:hAnsi="楷体_GB2312" w:eastAsia="楷体_GB2312" w:cs="楷体_GB2312"/>
                <w:sz w:val="21"/>
                <w:szCs w:val="21"/>
                <w:lang w:val="en-US" w:eastAsia="zh-CN"/>
              </w:rPr>
              <w:t>30</w:t>
            </w:r>
            <w:r>
              <w:rPr>
                <w:rFonts w:hint="eastAsia" w:ascii="楷体_GB2312" w:hAnsi="楷体_GB2312" w:eastAsia="楷体_GB2312" w:cs="楷体_GB2312"/>
                <w:sz w:val="21"/>
                <w:szCs w:val="21"/>
              </w:rPr>
              <w:t>-10:30,10:35-</w:t>
            </w:r>
            <w:r>
              <w:rPr>
                <w:rFonts w:hint="eastAsia" w:ascii="楷体_GB2312" w:hAnsi="楷体_GB2312" w:eastAsia="楷体_GB2312" w:cs="楷体_GB2312"/>
                <w:sz w:val="21"/>
                <w:szCs w:val="21"/>
                <w:lang w:val="en-US" w:eastAsia="zh-CN"/>
              </w:rPr>
              <w:t>11</w:t>
            </w:r>
            <w:r>
              <w:rPr>
                <w:rFonts w:hint="eastAsia" w:ascii="楷体_GB2312" w:hAnsi="楷体_GB2312" w:eastAsia="楷体_GB2312" w:cs="楷体_GB2312"/>
                <w:sz w:val="21"/>
                <w:szCs w:val="21"/>
              </w:rPr>
              <w:t>:</w:t>
            </w:r>
            <w:r>
              <w:rPr>
                <w:rFonts w:hint="eastAsia" w:ascii="楷体_GB2312" w:hAnsi="楷体_GB2312" w:eastAsia="楷体_GB2312" w:cs="楷体_GB2312"/>
                <w:sz w:val="21"/>
                <w:szCs w:val="21"/>
                <w:lang w:val="en-US" w:eastAsia="zh-CN"/>
              </w:rPr>
              <w:t>30</w:t>
            </w:r>
          </w:p>
        </w:tc>
        <w:tc>
          <w:tcPr>
            <w:tcW w:w="3342"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楷体_GB2312" w:hAnsi="楷体_GB2312" w:eastAsia="楷体_GB2312" w:cs="楷体_GB2312"/>
                <w:sz w:val="21"/>
                <w:szCs w:val="21"/>
              </w:rPr>
            </w:pPr>
          </w:p>
        </w:tc>
      </w:tr>
    </w:tbl>
    <w:p>
      <w:pPr>
        <w:ind w:firstLine="480"/>
        <w:rPr>
          <w:rFonts w:hint="eastAsia" w:ascii="楷体_GB2312" w:hAnsi="楷体_GB2312" w:eastAsia="楷体_GB2312" w:cs="楷体_GB2312"/>
          <w:color w:val="000000"/>
          <w:sz w:val="28"/>
          <w:szCs w:val="28"/>
        </w:rPr>
      </w:pPr>
      <w:r>
        <w:rPr>
          <w:rFonts w:hint="eastAsia" w:ascii="楷体_GB2312" w:hAnsi="楷体_GB2312" w:eastAsia="楷体_GB2312" w:cs="楷体_GB2312"/>
          <w:b/>
          <w:bCs/>
          <w:color w:val="000000"/>
          <w:sz w:val="28"/>
          <w:szCs w:val="28"/>
          <w:highlight w:val="none"/>
        </w:rPr>
        <w:t>港股通</w:t>
      </w:r>
      <w:r>
        <w:rPr>
          <w:rFonts w:hint="eastAsia" w:ascii="楷体_GB2312" w:hAnsi="楷体_GB2312" w:eastAsia="楷体_GB2312" w:cs="楷体_GB2312"/>
          <w:b/>
          <w:bCs/>
          <w:color w:val="000000"/>
          <w:sz w:val="28"/>
          <w:szCs w:val="28"/>
        </w:rPr>
        <w:t>交易结算业务测试</w:t>
      </w:r>
      <w:r>
        <w:rPr>
          <w:rFonts w:hint="eastAsia" w:ascii="楷体_GB2312" w:hAnsi="楷体_GB2312" w:eastAsia="楷体_GB2312" w:cs="楷体_GB2312"/>
          <w:bCs/>
          <w:color w:val="000000"/>
          <w:sz w:val="28"/>
          <w:szCs w:val="28"/>
        </w:rPr>
        <w:t>的</w:t>
      </w:r>
      <w:r>
        <w:rPr>
          <w:rFonts w:hint="eastAsia" w:ascii="楷体_GB2312" w:hAnsi="楷体_GB2312" w:eastAsia="楷体_GB2312" w:cs="楷体_GB2312"/>
          <w:color w:val="000000"/>
          <w:sz w:val="28"/>
          <w:szCs w:val="28"/>
        </w:rPr>
        <w:t>具体安排请见下表：</w:t>
      </w:r>
    </w:p>
    <w:tbl>
      <w:tblPr>
        <w:tblStyle w:val="11"/>
        <w:tblW w:w="8875" w:type="dxa"/>
        <w:jc w:val="center"/>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测试内容</w:t>
            </w:r>
          </w:p>
        </w:tc>
      </w:tr>
      <w:tr>
        <w:tblPrEx>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4"/>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sz w:val="21"/>
                <w:szCs w:val="24"/>
              </w:rPr>
              <w:t>深交所港股通T日测试安排（模拟T日202</w:t>
            </w:r>
            <w:r>
              <w:rPr>
                <w:rFonts w:hint="eastAsia" w:ascii="楷体_GB2312" w:hAnsi="楷体_GB2312" w:cs="楷体_GB2312"/>
                <w:b/>
                <w:bCs/>
                <w:sz w:val="21"/>
                <w:szCs w:val="24"/>
                <w:lang w:val="en-US"/>
              </w:rPr>
              <w:t>3</w:t>
            </w:r>
            <w:r>
              <w:rPr>
                <w:rFonts w:hint="eastAsia" w:ascii="楷体_GB2312" w:hAnsi="楷体_GB2312" w:eastAsia="楷体_GB2312" w:cs="楷体_GB2312"/>
                <w:b/>
                <w:bCs/>
                <w:sz w:val="21"/>
                <w:szCs w:val="24"/>
              </w:rPr>
              <w:t>年</w:t>
            </w:r>
            <w:r>
              <w:rPr>
                <w:rFonts w:hint="eastAsia" w:ascii="楷体_GB2312" w:hAnsi="楷体_GB2312" w:cs="楷体_GB2312"/>
                <w:b/>
                <w:bCs/>
                <w:sz w:val="21"/>
                <w:szCs w:val="24"/>
                <w:lang w:val="en-US"/>
              </w:rPr>
              <w:t>2</w:t>
            </w:r>
            <w:r>
              <w:rPr>
                <w:rFonts w:hint="eastAsia" w:ascii="楷体_GB2312" w:hAnsi="楷体_GB2312" w:eastAsia="楷体_GB2312" w:cs="楷体_GB2312"/>
                <w:b/>
                <w:bCs/>
                <w:sz w:val="21"/>
                <w:szCs w:val="24"/>
              </w:rPr>
              <w:t>月1</w:t>
            </w:r>
            <w:r>
              <w:rPr>
                <w:rFonts w:hint="eastAsia" w:ascii="楷体_GB2312" w:hAnsi="楷体_GB2312" w:eastAsia="楷体_GB2312" w:cs="楷体_GB2312"/>
                <w:b/>
                <w:bCs/>
                <w:sz w:val="21"/>
                <w:szCs w:val="24"/>
                <w:lang w:val="en-US"/>
              </w:rPr>
              <w:t>1</w:t>
            </w:r>
            <w:r>
              <w:rPr>
                <w:rFonts w:hint="eastAsia" w:ascii="楷体_GB2312" w:hAnsi="楷体_GB2312" w:eastAsia="楷体_GB2312" w:cs="楷体_GB2312"/>
                <w:b/>
                <w:bCs/>
                <w:sz w:val="21"/>
                <w:szCs w:val="24"/>
              </w:rPr>
              <w:t>日的交易）</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9:00开始</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模拟港股通交易业务的委托申报，并接收成交回报；实时行情的接收与展示。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hint="eastAsia" w:ascii="楷体_GB2312" w:hAnsi="楷体_GB2312" w:eastAsia="楷体_GB2312" w:cs="楷体_GB2312"/>
                <w:color w:val="2E2E2E"/>
                <w:kern w:val="0"/>
                <w:szCs w:val="24"/>
              </w:rPr>
            </w:pPr>
            <w:r>
              <w:rPr>
                <w:rFonts w:hint="eastAsia" w:ascii="楷体_GB2312" w:hAnsi="楷体_GB2312" w:eastAsia="楷体_GB2312" w:cs="楷体_GB2312"/>
                <w:b/>
                <w:bCs/>
                <w:szCs w:val="24"/>
              </w:rPr>
              <w:t>中国结算深圳分公司T日测试安排（模拟T日202</w:t>
            </w:r>
            <w:r>
              <w:rPr>
                <w:rFonts w:hint="eastAsia" w:ascii="楷体_GB2312" w:hAnsi="楷体_GB2312" w:eastAsia="楷体_GB2312" w:cs="楷体_GB2312"/>
                <w:b/>
                <w:bCs/>
                <w:szCs w:val="24"/>
                <w:lang w:val="en-US"/>
              </w:rPr>
              <w:t>3</w:t>
            </w:r>
            <w:r>
              <w:rPr>
                <w:rFonts w:hint="eastAsia" w:ascii="楷体_GB2312" w:hAnsi="楷体_GB2312" w:eastAsia="楷体_GB2312" w:cs="楷体_GB2312"/>
                <w:b/>
                <w:bCs/>
                <w:szCs w:val="24"/>
              </w:rPr>
              <w:t>年</w:t>
            </w:r>
            <w:r>
              <w:rPr>
                <w:rFonts w:hint="eastAsia" w:ascii="楷体_GB2312" w:hAnsi="楷体_GB2312" w:eastAsia="楷体_GB2312" w:cs="楷体_GB2312"/>
                <w:b/>
                <w:bCs/>
                <w:szCs w:val="24"/>
                <w:lang w:val="en-US"/>
              </w:rPr>
              <w:t>2</w:t>
            </w:r>
            <w:r>
              <w:rPr>
                <w:rFonts w:hint="eastAsia" w:ascii="楷体_GB2312" w:hAnsi="楷体_GB2312" w:eastAsia="楷体_GB2312" w:cs="楷体_GB2312"/>
                <w:b/>
                <w:bCs/>
                <w:szCs w:val="24"/>
              </w:rPr>
              <w:t>月1</w:t>
            </w:r>
            <w:r>
              <w:rPr>
                <w:rFonts w:hint="eastAsia" w:ascii="楷体_GB2312" w:hAnsi="楷体_GB2312" w:eastAsia="楷体_GB2312" w:cs="楷体_GB2312"/>
                <w:b/>
                <w:bCs/>
                <w:szCs w:val="24"/>
                <w:lang w:val="en-US"/>
              </w:rPr>
              <w:t>1</w:t>
            </w:r>
            <w:r>
              <w:rPr>
                <w:rFonts w:hint="eastAsia" w:ascii="楷体_GB2312" w:hAnsi="楷体_GB2312" w:eastAsia="楷体_GB2312" w:cs="楷体_GB2312"/>
                <w:b/>
                <w:bCs/>
                <w:szCs w:val="24"/>
              </w:rPr>
              <w:t>日的结算）</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8:30-12:</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w:t>
            </w:r>
            <w:r>
              <w:rPr>
                <w:rFonts w:hint="eastAsia" w:ascii="楷体_GB2312" w:hAnsi="楷体_GB2312" w:eastAsia="楷体_GB2312" w:cs="楷体_GB2312"/>
                <w:color w:val="000000"/>
                <w:sz w:val="21"/>
                <w:szCs w:val="21"/>
                <w:lang w:val="en-US"/>
              </w:rPr>
              <w:t>4</w:t>
            </w:r>
            <w:r>
              <w:rPr>
                <w:rFonts w:hint="eastAsia" w:ascii="楷体_GB2312" w:hAnsi="楷体_GB2312" w:eastAsia="楷体_GB2312" w:cs="楷体_GB2312"/>
                <w:color w:val="000000"/>
                <w:sz w:val="21"/>
                <w:szCs w:val="21"/>
              </w:rPr>
              <w:t>:</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r>
              <w:rPr>
                <w:rFonts w:hint="eastAsia" w:ascii="楷体_GB2312" w:hAnsi="楷体_GB2312" w:eastAsia="楷体_GB2312" w:cs="楷体_GB2312"/>
                <w:color w:val="000000"/>
                <w:sz w:val="21"/>
                <w:szCs w:val="21"/>
                <w:lang w:val="en-US"/>
              </w:rPr>
              <w:t>4</w:t>
            </w:r>
            <w:r>
              <w:rPr>
                <w:rFonts w:hint="eastAsia" w:ascii="楷体_GB2312" w:hAnsi="楷体_GB2312" w:eastAsia="楷体_GB2312" w:cs="楷体_GB2312"/>
                <w:color w:val="000000"/>
                <w:sz w:val="21"/>
                <w:szCs w:val="21"/>
              </w:rPr>
              <w:t>:</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0后</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bl>
    <w:p>
      <w:pPr>
        <w:widowControl/>
        <w:spacing w:line="408" w:lineRule="auto"/>
        <w:jc w:val="left"/>
        <w:rPr>
          <w:rFonts w:hint="eastAsia" w:ascii="楷体_GB2312" w:hAnsi="楷体_GB2312" w:eastAsia="楷体_GB2312" w:cs="楷体_GB2312"/>
          <w:kern w:val="0"/>
          <w:sz w:val="28"/>
          <w:szCs w:val="28"/>
        </w:rPr>
      </w:pPr>
    </w:p>
    <w:p>
      <w:pPr>
        <w:numPr>
          <w:ilvl w:val="0"/>
          <w:numId w:val="1"/>
        </w:numPr>
        <w:outlineLvl w:val="0"/>
        <w:rPr>
          <w:rFonts w:hint="eastAsia" w:ascii="楷体_GB2312" w:hAnsi="楷体_GB2312" w:eastAsia="楷体_GB2312" w:cs="楷体_GB2312"/>
          <w:color w:val="000000"/>
          <w:sz w:val="28"/>
          <w:szCs w:val="28"/>
        </w:rPr>
      </w:pPr>
      <w:r>
        <w:rPr>
          <w:rFonts w:hint="eastAsia" w:ascii="楷体_GB2312" w:hAnsi="楷体_GB2312" w:eastAsia="楷体_GB2312" w:cs="楷体_GB2312"/>
          <w:b/>
          <w:sz w:val="28"/>
          <w:szCs w:val="28"/>
        </w:rPr>
        <w:t>测试数据</w:t>
      </w:r>
    </w:p>
    <w:p>
      <w:pPr>
        <w:pStyle w:val="27"/>
        <w:keepNext w:val="0"/>
        <w:keepLines w:val="0"/>
        <w:pageBreakBefore w:val="0"/>
        <w:widowControl w:val="0"/>
        <w:numPr>
          <w:ilvl w:val="0"/>
          <w:numId w:val="5"/>
        </w:numPr>
        <w:kinsoku/>
        <w:wordWrap/>
        <w:overflowPunct/>
        <w:topLinePunct w:val="0"/>
        <w:autoSpaceDE/>
        <w:autoSpaceDN/>
        <w:bidi w:val="0"/>
        <w:adjustRightInd/>
        <w:snapToGrid/>
        <w:spacing w:line="240" w:lineRule="auto"/>
        <w:ind w:left="70" w:leftChars="0" w:firstLine="560" w:firstLineChars="0"/>
        <w:textAlignment w:val="auto"/>
        <w:outlineLvl w:val="1"/>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测试</w:t>
      </w:r>
      <w:r>
        <w:rPr>
          <w:rFonts w:hint="eastAsia" w:ascii="楷体_GB2312" w:hAnsi="楷体_GB2312" w:eastAsia="楷体_GB2312" w:cs="楷体_GB2312"/>
          <w:color w:val="000000"/>
          <w:sz w:val="28"/>
          <w:szCs w:val="28"/>
          <w:lang w:eastAsia="zh-CN"/>
        </w:rPr>
        <w:t>数据</w:t>
      </w:r>
      <w:r>
        <w:rPr>
          <w:rFonts w:hint="eastAsia" w:ascii="楷体_GB2312" w:hAnsi="楷体_GB2312" w:eastAsia="楷体_GB2312" w:cs="楷体_GB2312"/>
          <w:color w:val="000000"/>
          <w:sz w:val="28"/>
          <w:szCs w:val="28"/>
        </w:rPr>
        <w:t>以202</w:t>
      </w:r>
      <w:r>
        <w:rPr>
          <w:rFonts w:hint="eastAsia" w:ascii="楷体_GB2312" w:hAnsi="楷体_GB2312" w:eastAsia="楷体_GB2312" w:cs="楷体_GB2312"/>
          <w:color w:val="000000"/>
          <w:sz w:val="28"/>
          <w:szCs w:val="28"/>
          <w:lang w:val="en-US" w:eastAsia="zh-CN"/>
        </w:rPr>
        <w:t>3</w:t>
      </w:r>
      <w:r>
        <w:rPr>
          <w:rFonts w:hint="eastAsia" w:ascii="楷体_GB2312" w:hAnsi="楷体_GB2312" w:eastAsia="楷体_GB2312" w:cs="楷体_GB2312"/>
          <w:color w:val="000000"/>
          <w:sz w:val="28"/>
          <w:szCs w:val="28"/>
        </w:rPr>
        <w:t>年</w:t>
      </w:r>
      <w:r>
        <w:rPr>
          <w:rFonts w:hint="eastAsia" w:ascii="楷体_GB2312" w:hAnsi="楷体_GB2312" w:eastAsia="楷体_GB2312" w:cs="楷体_GB2312"/>
          <w:color w:val="000000"/>
          <w:sz w:val="28"/>
          <w:szCs w:val="28"/>
          <w:lang w:val="en-US" w:eastAsia="zh-CN"/>
        </w:rPr>
        <w:t>2</w:t>
      </w:r>
      <w:r>
        <w:rPr>
          <w:rFonts w:hint="eastAsia" w:ascii="楷体_GB2312" w:hAnsi="楷体_GB2312" w:eastAsia="楷体_GB2312" w:cs="楷体_GB2312"/>
          <w:color w:val="000000"/>
          <w:sz w:val="28"/>
          <w:szCs w:val="28"/>
        </w:rPr>
        <w:t>月</w:t>
      </w:r>
      <w:r>
        <w:rPr>
          <w:rFonts w:hint="eastAsia" w:ascii="楷体_GB2312" w:hAnsi="楷体_GB2312" w:eastAsia="楷体_GB2312" w:cs="楷体_GB2312"/>
          <w:color w:val="000000"/>
          <w:sz w:val="28"/>
          <w:szCs w:val="28"/>
          <w:lang w:val="en-US" w:eastAsia="zh-CN"/>
        </w:rPr>
        <w:t>10</w:t>
      </w:r>
      <w:r>
        <w:rPr>
          <w:rFonts w:hint="eastAsia" w:ascii="楷体_GB2312" w:hAnsi="楷体_GB2312" w:eastAsia="楷体_GB2312" w:cs="楷体_GB2312"/>
          <w:color w:val="000000"/>
          <w:sz w:val="28"/>
          <w:szCs w:val="28"/>
        </w:rPr>
        <w:t>日</w:t>
      </w:r>
      <w:r>
        <w:rPr>
          <w:rFonts w:hint="eastAsia" w:ascii="楷体_GB2312" w:hAnsi="楷体_GB2312" w:eastAsia="楷体_GB2312" w:cs="楷体_GB2312"/>
          <w:color w:val="000000"/>
          <w:sz w:val="28"/>
          <w:szCs w:val="28"/>
          <w:lang w:eastAsia="zh-CN"/>
        </w:rPr>
        <w:t>深市</w:t>
      </w:r>
      <w:r>
        <w:rPr>
          <w:rFonts w:hint="eastAsia" w:ascii="楷体_GB2312" w:hAnsi="楷体_GB2312" w:eastAsia="楷体_GB2312" w:cs="楷体_GB2312"/>
          <w:color w:val="000000"/>
          <w:sz w:val="28"/>
          <w:szCs w:val="28"/>
        </w:rPr>
        <w:t>所有证券收盘行情、收市后的股份数据作为交易、结算的起始数据。</w:t>
      </w:r>
    </w:p>
    <w:p>
      <w:pPr>
        <w:pStyle w:val="27"/>
        <w:keepNext w:val="0"/>
        <w:keepLines w:val="0"/>
        <w:pageBreakBefore w:val="0"/>
        <w:widowControl w:val="0"/>
        <w:numPr>
          <w:ilvl w:val="0"/>
          <w:numId w:val="5"/>
        </w:numPr>
        <w:kinsoku/>
        <w:wordWrap/>
        <w:overflowPunct/>
        <w:topLinePunct w:val="0"/>
        <w:autoSpaceDE/>
        <w:autoSpaceDN/>
        <w:bidi w:val="0"/>
        <w:adjustRightInd/>
        <w:snapToGrid/>
        <w:spacing w:line="240" w:lineRule="auto"/>
        <w:ind w:left="70" w:leftChars="0" w:firstLine="560" w:firstLineChars="0"/>
        <w:textAlignment w:val="auto"/>
        <w:outlineLvl w:val="1"/>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hAnsi="楷体_GB2312" w:eastAsia="楷体_GB2312" w:cs="楷体_GB2312"/>
          <w:color w:val="000000"/>
          <w:sz w:val="28"/>
          <w:szCs w:val="28"/>
          <w:lang w:val="en-US" w:eastAsia="zh-CN"/>
        </w:rPr>
        <w:t>2</w:t>
      </w:r>
      <w:r>
        <w:rPr>
          <w:rFonts w:hint="eastAsia" w:ascii="楷体_GB2312" w:hAnsi="楷体_GB2312" w:eastAsia="楷体_GB2312" w:cs="楷体_GB2312"/>
          <w:color w:val="000000"/>
          <w:sz w:val="28"/>
          <w:szCs w:val="28"/>
        </w:rPr>
        <w:t>月</w:t>
      </w:r>
      <w:r>
        <w:rPr>
          <w:rFonts w:hint="eastAsia" w:ascii="楷体_GB2312" w:hAnsi="楷体_GB2312" w:eastAsia="楷体_GB2312" w:cs="楷体_GB2312"/>
          <w:color w:val="000000"/>
          <w:sz w:val="28"/>
          <w:szCs w:val="28"/>
          <w:lang w:eastAsia="zh-CN"/>
        </w:rPr>
        <w:t>1</w:t>
      </w:r>
      <w:r>
        <w:rPr>
          <w:rFonts w:hint="eastAsia" w:ascii="楷体_GB2312" w:hAnsi="楷体_GB2312" w:eastAsia="楷体_GB2312" w:cs="楷体_GB2312"/>
          <w:color w:val="000000"/>
          <w:sz w:val="28"/>
          <w:szCs w:val="28"/>
          <w:lang w:val="en-US" w:eastAsia="zh-CN"/>
        </w:rPr>
        <w:t>3</w:t>
      </w:r>
      <w:r>
        <w:rPr>
          <w:rFonts w:hint="eastAsia" w:ascii="楷体_GB2312" w:hAnsi="楷体_GB2312" w:eastAsia="楷体_GB2312" w:cs="楷体_GB2312"/>
          <w:color w:val="000000"/>
          <w:sz w:val="28"/>
          <w:szCs w:val="28"/>
        </w:rPr>
        <w:t>日生产系统保持一致。</w:t>
      </w:r>
    </w:p>
    <w:p>
      <w:pPr>
        <w:pStyle w:val="27"/>
        <w:keepNext w:val="0"/>
        <w:keepLines w:val="0"/>
        <w:pageBreakBefore w:val="0"/>
        <w:widowControl w:val="0"/>
        <w:numPr>
          <w:ilvl w:val="0"/>
          <w:numId w:val="5"/>
        </w:numPr>
        <w:kinsoku/>
        <w:wordWrap/>
        <w:overflowPunct/>
        <w:topLinePunct w:val="0"/>
        <w:autoSpaceDE/>
        <w:autoSpaceDN/>
        <w:bidi w:val="0"/>
        <w:adjustRightInd/>
        <w:snapToGrid/>
        <w:spacing w:line="240" w:lineRule="auto"/>
        <w:ind w:left="70" w:leftChars="0" w:firstLine="560" w:firstLineChars="0"/>
        <w:textAlignment w:val="auto"/>
        <w:outlineLvl w:val="1"/>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ETF的PCF/IOPV文件</w:t>
      </w:r>
    </w:p>
    <w:p>
      <w:pPr>
        <w:numPr>
          <w:ilvl w:val="255"/>
          <w:numId w:val="0"/>
        </w:numPr>
        <w:spacing w:line="560" w:lineRule="exact"/>
        <w:ind w:firstLine="560" w:firstLineChars="200"/>
        <w:outlineLvl w:val="1"/>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所有ETF测试使用的PCF/IOPV文件与2023年</w:t>
      </w:r>
      <w:r>
        <w:rPr>
          <w:rFonts w:hint="eastAsia" w:ascii="楷体_GB2312" w:hAnsi="楷体_GB2312" w:eastAsia="楷体_GB2312" w:cs="楷体_GB2312"/>
          <w:color w:val="000000"/>
          <w:sz w:val="28"/>
          <w:szCs w:val="28"/>
          <w:lang w:val="en-US" w:eastAsia="zh-CN"/>
        </w:rPr>
        <w:t>2</w:t>
      </w:r>
      <w:r>
        <w:rPr>
          <w:rFonts w:hint="eastAsia" w:ascii="楷体_GB2312" w:hAnsi="楷体_GB2312" w:eastAsia="楷体_GB2312" w:cs="楷体_GB2312"/>
          <w:color w:val="000000"/>
          <w:sz w:val="28"/>
          <w:szCs w:val="28"/>
        </w:rPr>
        <w:t>月</w:t>
      </w:r>
      <w:r>
        <w:rPr>
          <w:rFonts w:hint="eastAsia" w:ascii="楷体_GB2312" w:hAnsi="楷体_GB2312" w:eastAsia="楷体_GB2312" w:cs="楷体_GB2312"/>
          <w:color w:val="000000"/>
          <w:sz w:val="28"/>
          <w:szCs w:val="28"/>
          <w:lang w:val="en-US" w:eastAsia="zh-CN"/>
        </w:rPr>
        <w:t>10</w:t>
      </w:r>
      <w:r>
        <w:rPr>
          <w:rFonts w:hint="eastAsia" w:ascii="楷体_GB2312" w:hAnsi="楷体_GB2312" w:eastAsia="楷体_GB2312" w:cs="楷体_GB2312"/>
          <w:color w:val="000000"/>
          <w:sz w:val="28"/>
          <w:szCs w:val="28"/>
        </w:rPr>
        <w:t>日交易生产系统保持一致，所有基金管理人均无需上传通关测试使用的PCF/IOPV文件。</w:t>
      </w:r>
    </w:p>
    <w:p>
      <w:pPr>
        <w:pStyle w:val="27"/>
        <w:keepNext w:val="0"/>
        <w:keepLines w:val="0"/>
        <w:pageBreakBefore w:val="0"/>
        <w:widowControl w:val="0"/>
        <w:numPr>
          <w:ilvl w:val="0"/>
          <w:numId w:val="5"/>
        </w:numPr>
        <w:kinsoku/>
        <w:wordWrap/>
        <w:overflowPunct/>
        <w:topLinePunct w:val="0"/>
        <w:autoSpaceDE/>
        <w:autoSpaceDN/>
        <w:bidi w:val="0"/>
        <w:adjustRightInd/>
        <w:snapToGrid/>
        <w:spacing w:line="240" w:lineRule="auto"/>
        <w:ind w:left="70" w:leftChars="0" w:firstLine="560" w:firstLineChars="0"/>
        <w:textAlignment w:val="auto"/>
        <w:outlineLvl w:val="1"/>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新增测试专用证券账户</w:t>
      </w:r>
    </w:p>
    <w:p>
      <w:pPr>
        <w:ind w:firstLine="560" w:firstLineChars="200"/>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新增测试专用证券账户0199900000—0199900001（个人）、0809900000—0809900001（法人）。</w:t>
      </w:r>
    </w:p>
    <w:p>
      <w:pPr>
        <w:ind w:firstLine="560" w:firstLineChars="200"/>
        <w:rPr>
          <w:rFonts w:hint="eastAsia" w:ascii="楷体_GB2312" w:hAnsi="楷体_GB2312" w:eastAsia="楷体_GB2312" w:cs="楷体_GB2312"/>
          <w:color w:val="000000"/>
          <w:sz w:val="28"/>
          <w:szCs w:val="28"/>
          <w:lang w:eastAsia="zh-CN"/>
        </w:rPr>
      </w:pPr>
      <w:r>
        <w:rPr>
          <w:rFonts w:hint="eastAsia" w:ascii="楷体_GB2312" w:hAnsi="楷体_GB2312" w:eastAsia="楷体_GB2312" w:cs="楷体_GB2312"/>
          <w:color w:val="000000"/>
          <w:sz w:val="28"/>
          <w:szCs w:val="28"/>
        </w:rPr>
        <w:t>上述测试专用证券账户无需向中国结算报送，可直接开通相关权限</w:t>
      </w:r>
      <w:r>
        <w:rPr>
          <w:rFonts w:hint="eastAsia" w:ascii="楷体_GB2312" w:hAnsi="楷体_GB2312" w:eastAsia="楷体_GB2312" w:cs="楷体_GB2312"/>
          <w:color w:val="000000"/>
          <w:sz w:val="28"/>
          <w:szCs w:val="28"/>
          <w:lang w:eastAsia="zh-CN"/>
        </w:rPr>
        <w:t>。</w:t>
      </w:r>
    </w:p>
    <w:p>
      <w:pPr>
        <w:pStyle w:val="27"/>
        <w:keepNext w:val="0"/>
        <w:keepLines w:val="0"/>
        <w:pageBreakBefore w:val="0"/>
        <w:widowControl w:val="0"/>
        <w:numPr>
          <w:ilvl w:val="0"/>
          <w:numId w:val="5"/>
        </w:numPr>
        <w:kinsoku/>
        <w:wordWrap/>
        <w:overflowPunct/>
        <w:topLinePunct w:val="0"/>
        <w:autoSpaceDE/>
        <w:autoSpaceDN/>
        <w:bidi w:val="0"/>
        <w:adjustRightInd/>
        <w:snapToGrid/>
        <w:spacing w:line="240" w:lineRule="auto"/>
        <w:ind w:left="70" w:leftChars="0" w:firstLine="560" w:firstLineChars="0"/>
        <w:textAlignment w:val="auto"/>
        <w:outlineLvl w:val="1"/>
        <w:rPr>
          <w:rFonts w:hint="eastAsia" w:ascii="楷体_GB2312" w:hAnsi="楷体_GB2312" w:eastAsia="楷体_GB2312" w:cs="楷体_GB2312"/>
          <w:color w:val="000000"/>
          <w:sz w:val="28"/>
          <w:szCs w:val="28"/>
          <w:highlight w:val="none"/>
          <w:lang w:val="en-US" w:eastAsia="zh-CN"/>
        </w:rPr>
      </w:pPr>
      <w:r>
        <w:rPr>
          <w:rFonts w:hint="eastAsia" w:ascii="楷体_GB2312" w:hAnsi="楷体_GB2312" w:eastAsia="楷体_GB2312" w:cs="楷体_GB2312"/>
          <w:color w:val="000000"/>
          <w:sz w:val="28"/>
          <w:szCs w:val="28"/>
          <w:highlight w:val="none"/>
          <w:lang w:val="en-US" w:eastAsia="zh-CN"/>
        </w:rPr>
        <w:t>业务安排</w:t>
      </w:r>
    </w:p>
    <w:p>
      <w:pPr>
        <w:pStyle w:val="27"/>
        <w:numPr>
          <w:ilvl w:val="0"/>
          <w:numId w:val="6"/>
        </w:numPr>
        <w:spacing w:line="560" w:lineRule="exact"/>
        <w:ind w:left="630" w:leftChars="0" w:firstLine="0" w:firstLineChars="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交易日历安排</w:t>
      </w:r>
    </w:p>
    <w:tbl>
      <w:tblPr>
        <w:tblStyle w:val="12"/>
        <w:tblW w:w="7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5"/>
        <w:gridCol w:w="2100"/>
        <w:gridCol w:w="2262"/>
        <w:gridCol w:w="19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45" w:type="dxa"/>
            <w:shd w:val="clear" w:color="auto" w:fill="A4A4A4" w:themeFill="background1" w:themeFillShade="A5"/>
          </w:tcPr>
          <w:p>
            <w:pPr>
              <w:widowControl/>
              <w:jc w:val="center"/>
              <w:rPr>
                <w:rFonts w:hint="eastAsia" w:ascii="楷体_GB2312" w:hAnsi="楷体_GB2312" w:eastAsia="楷体_GB2312" w:cs="楷体_GB2312"/>
                <w:b/>
                <w:bCs/>
                <w:color w:val="auto"/>
                <w:kern w:val="0"/>
                <w:sz w:val="22"/>
                <w:szCs w:val="22"/>
              </w:rPr>
            </w:pPr>
            <w:r>
              <w:rPr>
                <w:rFonts w:hint="eastAsia" w:ascii="楷体_GB2312" w:hAnsi="楷体_GB2312" w:eastAsia="楷体_GB2312" w:cs="楷体_GB2312"/>
                <w:b/>
                <w:bCs/>
                <w:color w:val="auto"/>
                <w:kern w:val="0"/>
                <w:sz w:val="22"/>
                <w:szCs w:val="22"/>
              </w:rPr>
              <w:t>日期</w:t>
            </w:r>
          </w:p>
        </w:tc>
        <w:tc>
          <w:tcPr>
            <w:tcW w:w="2100" w:type="dxa"/>
            <w:shd w:val="clear" w:color="auto" w:fill="A4A4A4" w:themeFill="background1" w:themeFillShade="A5"/>
          </w:tcPr>
          <w:p>
            <w:pPr>
              <w:widowControl/>
              <w:jc w:val="center"/>
              <w:rPr>
                <w:rFonts w:hint="eastAsia" w:ascii="楷体_GB2312" w:hAnsi="楷体_GB2312" w:eastAsia="楷体_GB2312" w:cs="楷体_GB2312"/>
                <w:b/>
                <w:bCs/>
                <w:color w:val="auto"/>
                <w:kern w:val="0"/>
                <w:sz w:val="22"/>
                <w:szCs w:val="22"/>
              </w:rPr>
            </w:pPr>
            <w:r>
              <w:rPr>
                <w:rFonts w:hint="eastAsia" w:ascii="楷体_GB2312" w:hAnsi="楷体_GB2312" w:eastAsia="楷体_GB2312" w:cs="楷体_GB2312"/>
                <w:b/>
                <w:bCs/>
                <w:color w:val="auto"/>
                <w:kern w:val="0"/>
                <w:sz w:val="22"/>
                <w:szCs w:val="22"/>
              </w:rPr>
              <w:t>日历安排</w:t>
            </w:r>
          </w:p>
        </w:tc>
        <w:tc>
          <w:tcPr>
            <w:tcW w:w="2262" w:type="dxa"/>
            <w:shd w:val="clear" w:color="auto" w:fill="A4A4A4" w:themeFill="background1" w:themeFillShade="A5"/>
          </w:tcPr>
          <w:p>
            <w:pPr>
              <w:widowControl/>
              <w:jc w:val="center"/>
              <w:rPr>
                <w:rFonts w:hint="eastAsia" w:ascii="楷体_GB2312" w:hAnsi="楷体_GB2312" w:eastAsia="楷体_GB2312" w:cs="楷体_GB2312"/>
                <w:b/>
                <w:bCs/>
                <w:color w:val="auto"/>
                <w:kern w:val="0"/>
                <w:sz w:val="22"/>
                <w:szCs w:val="22"/>
              </w:rPr>
            </w:pPr>
            <w:r>
              <w:rPr>
                <w:rFonts w:hint="eastAsia" w:ascii="楷体_GB2312" w:hAnsi="楷体_GB2312" w:eastAsia="楷体_GB2312" w:cs="楷体_GB2312"/>
                <w:b/>
                <w:bCs/>
                <w:color w:val="auto"/>
                <w:kern w:val="0"/>
                <w:sz w:val="22"/>
                <w:szCs w:val="22"/>
              </w:rPr>
              <w:t>备注</w:t>
            </w:r>
          </w:p>
        </w:tc>
        <w:tc>
          <w:tcPr>
            <w:tcW w:w="1935" w:type="dxa"/>
            <w:shd w:val="clear" w:color="auto" w:fill="A4A4A4" w:themeFill="background1" w:themeFillShade="A5"/>
          </w:tcPr>
          <w:p>
            <w:pPr>
              <w:widowControl/>
              <w:jc w:val="center"/>
              <w:rPr>
                <w:rFonts w:hint="eastAsia" w:ascii="楷体_GB2312" w:hAnsi="楷体_GB2312" w:eastAsia="楷体_GB2312" w:cs="楷体_GB2312"/>
                <w:b/>
                <w:bCs/>
                <w:color w:val="auto"/>
                <w:kern w:val="0"/>
                <w:sz w:val="22"/>
                <w:szCs w:val="22"/>
                <w:lang w:eastAsia="zh-CN"/>
              </w:rPr>
            </w:pPr>
            <w:r>
              <w:rPr>
                <w:rFonts w:hint="eastAsia" w:ascii="楷体_GB2312" w:hAnsi="楷体_GB2312" w:eastAsia="楷体_GB2312" w:cs="楷体_GB2312"/>
                <w:b/>
                <w:bCs/>
                <w:color w:val="auto"/>
                <w:kern w:val="0"/>
                <w:sz w:val="22"/>
                <w:szCs w:val="22"/>
                <w:lang w:eastAsia="zh-CN"/>
              </w:rPr>
              <w:t>交易交收日安排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45" w:type="dxa"/>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eastAsia="zh-CN" w:bidi="ar-SA"/>
              </w:rPr>
            </w:pPr>
            <w:r>
              <w:rPr>
                <w:rFonts w:hint="eastAsia" w:ascii="楷体_GB2312" w:hAnsi="楷体_GB2312" w:eastAsia="楷体_GB2312" w:cs="楷体_GB2312"/>
                <w:b w:val="0"/>
                <w:bCs w:val="0"/>
                <w:color w:val="auto"/>
                <w:kern w:val="2"/>
                <w:sz w:val="20"/>
                <w:szCs w:val="20"/>
              </w:rPr>
              <w:t>202</w:t>
            </w:r>
            <w:r>
              <w:rPr>
                <w:rFonts w:hint="eastAsia" w:ascii="楷体_GB2312" w:hAnsi="楷体_GB2312" w:eastAsia="楷体_GB2312" w:cs="楷体_GB2312"/>
                <w:b w:val="0"/>
                <w:bCs w:val="0"/>
                <w:color w:val="auto"/>
                <w:kern w:val="2"/>
                <w:sz w:val="20"/>
                <w:szCs w:val="20"/>
                <w:lang w:val="en-US"/>
              </w:rPr>
              <w:t>3</w:t>
            </w:r>
            <w:r>
              <w:rPr>
                <w:rFonts w:hint="eastAsia" w:ascii="楷体_GB2312" w:hAnsi="楷体_GB2312" w:eastAsia="楷体_GB2312" w:cs="楷体_GB2312"/>
                <w:b w:val="0"/>
                <w:bCs w:val="0"/>
                <w:color w:val="auto"/>
                <w:kern w:val="2"/>
                <w:sz w:val="20"/>
                <w:szCs w:val="20"/>
              </w:rPr>
              <w:t>/</w:t>
            </w:r>
            <w:r>
              <w:rPr>
                <w:rFonts w:hint="eastAsia" w:ascii="楷体_GB2312" w:hAnsi="楷体_GB2312" w:eastAsia="楷体_GB2312" w:cs="楷体_GB2312"/>
                <w:b w:val="0"/>
                <w:bCs w:val="0"/>
                <w:color w:val="auto"/>
                <w:kern w:val="2"/>
                <w:sz w:val="20"/>
                <w:szCs w:val="20"/>
                <w:lang w:val="en-US"/>
              </w:rPr>
              <w:t>2</w:t>
            </w:r>
            <w:r>
              <w:rPr>
                <w:rFonts w:hint="eastAsia" w:ascii="楷体_GB2312" w:hAnsi="楷体_GB2312" w:eastAsia="楷体_GB2312" w:cs="楷体_GB2312"/>
                <w:b w:val="0"/>
                <w:bCs w:val="0"/>
                <w:color w:val="auto"/>
                <w:kern w:val="2"/>
                <w:sz w:val="20"/>
                <w:szCs w:val="20"/>
              </w:rPr>
              <w:t>/</w:t>
            </w:r>
            <w:r>
              <w:rPr>
                <w:rFonts w:hint="eastAsia" w:ascii="楷体_GB2312" w:hAnsi="楷体_GB2312" w:eastAsia="楷体_GB2312" w:cs="楷体_GB2312"/>
                <w:b w:val="0"/>
                <w:bCs w:val="0"/>
                <w:color w:val="auto"/>
                <w:kern w:val="2"/>
                <w:sz w:val="20"/>
                <w:szCs w:val="20"/>
                <w:lang w:val="en-US"/>
              </w:rPr>
              <w:t>10</w:t>
            </w:r>
          </w:p>
        </w:tc>
        <w:tc>
          <w:tcPr>
            <w:tcW w:w="2100" w:type="dxa"/>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eastAsia="zh-CN" w:bidi="ar-SA"/>
              </w:rPr>
            </w:pPr>
            <w:r>
              <w:rPr>
                <w:rFonts w:hint="eastAsia" w:ascii="楷体_GB2312" w:hAnsi="楷体_GB2312" w:eastAsia="楷体_GB2312" w:cs="楷体_GB2312"/>
                <w:b w:val="0"/>
                <w:bCs w:val="0"/>
                <w:color w:val="auto"/>
                <w:kern w:val="2"/>
                <w:sz w:val="20"/>
                <w:szCs w:val="20"/>
              </w:rPr>
              <w:t>新增交易日</w:t>
            </w:r>
          </w:p>
        </w:tc>
        <w:tc>
          <w:tcPr>
            <w:tcW w:w="2262" w:type="dxa"/>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eastAsia="zh-CN" w:bidi="ar-SA"/>
              </w:rPr>
            </w:pPr>
            <w:r>
              <w:rPr>
                <w:rFonts w:hint="eastAsia" w:ascii="楷体_GB2312" w:hAnsi="楷体_GB2312" w:eastAsia="楷体_GB2312" w:cs="楷体_GB2312"/>
                <w:b w:val="0"/>
                <w:bCs w:val="0"/>
                <w:color w:val="auto"/>
                <w:kern w:val="2"/>
                <w:sz w:val="20"/>
                <w:szCs w:val="20"/>
              </w:rPr>
              <w:t>节前倒数第2天</w:t>
            </w:r>
          </w:p>
        </w:tc>
        <w:tc>
          <w:tcPr>
            <w:tcW w:w="1935" w:type="dxa"/>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eastAsia="zh-CN" w:bidi="ar-SA"/>
              </w:rPr>
            </w:pPr>
            <w:r>
              <w:rPr>
                <w:rFonts w:hint="eastAsia" w:ascii="楷体_GB2312" w:hAnsi="楷体_GB2312" w:eastAsia="楷体_GB2312" w:cs="楷体_GB2312"/>
                <w:b w:val="0"/>
                <w:bCs w:val="0"/>
                <w:color w:val="auto"/>
                <w:kern w:val="2"/>
                <w:sz w:val="20"/>
                <w:szCs w:val="20"/>
                <w:lang w:eastAsia="zh-CN"/>
              </w:rPr>
              <w:t>交易日、交收日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45" w:type="dxa"/>
          </w:tcPr>
          <w:p>
            <w:pPr>
              <w:widowControl/>
              <w:spacing w:line="240" w:lineRule="auto"/>
              <w:ind w:firstLine="0" w:firstLineChars="0"/>
              <w:jc w:val="center"/>
              <w:rPr>
                <w:rFonts w:hint="eastAsia" w:ascii="楷体_GB2312" w:hAnsi="楷体_GB2312" w:eastAsia="楷体_GB2312" w:cs="楷体_GB2312"/>
                <w:b w:val="0"/>
                <w:bCs w:val="0"/>
                <w:color w:val="FF0000"/>
                <w:kern w:val="2"/>
                <w:sz w:val="20"/>
                <w:szCs w:val="20"/>
              </w:rPr>
            </w:pPr>
            <w:r>
              <w:rPr>
                <w:rFonts w:hint="eastAsia" w:ascii="楷体_GB2312" w:hAnsi="楷体_GB2312" w:eastAsia="楷体_GB2312" w:cs="楷体_GB2312"/>
                <w:b w:val="0"/>
                <w:bCs w:val="0"/>
                <w:color w:val="FF0000"/>
                <w:kern w:val="2"/>
                <w:sz w:val="20"/>
                <w:szCs w:val="20"/>
              </w:rPr>
              <w:t>202</w:t>
            </w:r>
            <w:r>
              <w:rPr>
                <w:rFonts w:hint="eastAsia" w:ascii="楷体_GB2312" w:hAnsi="楷体_GB2312" w:eastAsia="楷体_GB2312" w:cs="楷体_GB2312"/>
                <w:b w:val="0"/>
                <w:bCs w:val="0"/>
                <w:color w:val="FF0000"/>
                <w:kern w:val="2"/>
                <w:sz w:val="20"/>
                <w:szCs w:val="20"/>
                <w:lang w:val="en-US"/>
              </w:rPr>
              <w:t>3</w:t>
            </w:r>
            <w:r>
              <w:rPr>
                <w:rFonts w:hint="eastAsia" w:ascii="楷体_GB2312" w:hAnsi="楷体_GB2312" w:eastAsia="楷体_GB2312" w:cs="楷体_GB2312"/>
                <w:b w:val="0"/>
                <w:bCs w:val="0"/>
                <w:color w:val="FF0000"/>
                <w:kern w:val="2"/>
                <w:sz w:val="20"/>
                <w:szCs w:val="20"/>
              </w:rPr>
              <w:t>/</w:t>
            </w:r>
            <w:r>
              <w:rPr>
                <w:rFonts w:hint="eastAsia" w:ascii="楷体_GB2312" w:hAnsi="楷体_GB2312" w:eastAsia="楷体_GB2312" w:cs="楷体_GB2312"/>
                <w:b w:val="0"/>
                <w:bCs w:val="0"/>
                <w:color w:val="FF0000"/>
                <w:kern w:val="2"/>
                <w:sz w:val="20"/>
                <w:szCs w:val="20"/>
                <w:lang w:val="en-US"/>
              </w:rPr>
              <w:t>2</w:t>
            </w:r>
            <w:r>
              <w:rPr>
                <w:rFonts w:hint="eastAsia" w:ascii="楷体_GB2312" w:hAnsi="楷体_GB2312" w:eastAsia="楷体_GB2312" w:cs="楷体_GB2312"/>
                <w:b w:val="0"/>
                <w:bCs w:val="0"/>
                <w:color w:val="FF0000"/>
                <w:kern w:val="2"/>
                <w:sz w:val="20"/>
                <w:szCs w:val="20"/>
              </w:rPr>
              <w:t>/</w:t>
            </w:r>
            <w:r>
              <w:rPr>
                <w:rFonts w:hint="eastAsia" w:ascii="楷体_GB2312" w:hAnsi="楷体_GB2312" w:eastAsia="楷体_GB2312" w:cs="楷体_GB2312"/>
                <w:b w:val="0"/>
                <w:bCs w:val="0"/>
                <w:color w:val="FF0000"/>
                <w:kern w:val="2"/>
                <w:sz w:val="20"/>
                <w:szCs w:val="20"/>
                <w:lang w:val="en-US"/>
              </w:rPr>
              <w:t>11</w:t>
            </w:r>
          </w:p>
        </w:tc>
        <w:tc>
          <w:tcPr>
            <w:tcW w:w="2100" w:type="dxa"/>
          </w:tcPr>
          <w:p>
            <w:pPr>
              <w:widowControl/>
              <w:spacing w:line="240" w:lineRule="auto"/>
              <w:ind w:firstLine="0" w:firstLineChars="0"/>
              <w:jc w:val="center"/>
              <w:rPr>
                <w:rFonts w:hint="eastAsia" w:ascii="楷体_GB2312" w:hAnsi="楷体_GB2312" w:eastAsia="楷体_GB2312" w:cs="楷体_GB2312"/>
                <w:b w:val="0"/>
                <w:bCs w:val="0"/>
                <w:color w:val="FF0000"/>
                <w:kern w:val="2"/>
                <w:sz w:val="20"/>
                <w:szCs w:val="20"/>
              </w:rPr>
            </w:pPr>
            <w:r>
              <w:rPr>
                <w:rFonts w:hint="eastAsia" w:ascii="楷体_GB2312" w:hAnsi="楷体_GB2312" w:eastAsia="楷体_GB2312" w:cs="楷体_GB2312"/>
                <w:b w:val="0"/>
                <w:bCs w:val="0"/>
                <w:color w:val="FF0000"/>
                <w:kern w:val="2"/>
                <w:sz w:val="20"/>
                <w:szCs w:val="20"/>
              </w:rPr>
              <w:t>新增交易日</w:t>
            </w:r>
          </w:p>
        </w:tc>
        <w:tc>
          <w:tcPr>
            <w:tcW w:w="2262" w:type="dxa"/>
            <w:vAlign w:val="top"/>
          </w:tcPr>
          <w:p>
            <w:pPr>
              <w:widowControl/>
              <w:spacing w:line="240" w:lineRule="auto"/>
              <w:ind w:firstLine="0" w:firstLineChars="0"/>
              <w:jc w:val="center"/>
              <w:rPr>
                <w:rFonts w:hint="eastAsia" w:ascii="楷体_GB2312" w:hAnsi="楷体_GB2312" w:eastAsia="楷体_GB2312" w:cs="楷体_GB2312"/>
                <w:b w:val="0"/>
                <w:bCs w:val="0"/>
                <w:color w:val="FF0000"/>
                <w:kern w:val="2"/>
                <w:sz w:val="20"/>
                <w:szCs w:val="20"/>
                <w:lang w:val="en-US" w:eastAsia="zh-CN" w:bidi="ar-SA"/>
              </w:rPr>
            </w:pPr>
            <w:r>
              <w:rPr>
                <w:rFonts w:hint="eastAsia" w:ascii="楷体_GB2312" w:hAnsi="楷体_GB2312" w:eastAsia="楷体_GB2312" w:cs="楷体_GB2312"/>
                <w:b w:val="0"/>
                <w:bCs w:val="0"/>
                <w:color w:val="FF0000"/>
                <w:kern w:val="2"/>
                <w:sz w:val="20"/>
                <w:szCs w:val="20"/>
              </w:rPr>
              <w:t>节前倒数第1天</w:t>
            </w:r>
          </w:p>
        </w:tc>
        <w:tc>
          <w:tcPr>
            <w:tcW w:w="1935" w:type="dxa"/>
          </w:tcPr>
          <w:p>
            <w:pPr>
              <w:widowControl/>
              <w:spacing w:line="240" w:lineRule="auto"/>
              <w:ind w:firstLine="0" w:firstLineChars="0"/>
              <w:jc w:val="center"/>
              <w:rPr>
                <w:rFonts w:hint="eastAsia" w:ascii="楷体_GB2312" w:hAnsi="楷体_GB2312" w:eastAsia="楷体_GB2312" w:cs="楷体_GB2312"/>
                <w:b w:val="0"/>
                <w:bCs w:val="0"/>
                <w:color w:val="FF0000"/>
                <w:kern w:val="2"/>
                <w:sz w:val="20"/>
                <w:szCs w:val="20"/>
              </w:rPr>
            </w:pPr>
            <w:r>
              <w:rPr>
                <w:rFonts w:hint="eastAsia" w:ascii="楷体_GB2312" w:hAnsi="楷体_GB2312" w:eastAsia="楷体_GB2312" w:cs="楷体_GB2312"/>
                <w:b w:val="0"/>
                <w:bCs w:val="0"/>
                <w:color w:val="FF0000"/>
                <w:kern w:val="2"/>
                <w:sz w:val="20"/>
                <w:szCs w:val="20"/>
                <w:lang w:eastAsia="zh-CN"/>
              </w:rPr>
              <w:t>交易日、交收日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45" w:type="dxa"/>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rPr>
            </w:pPr>
            <w:r>
              <w:rPr>
                <w:rFonts w:hint="eastAsia" w:ascii="楷体_GB2312" w:hAnsi="楷体_GB2312" w:eastAsia="楷体_GB2312" w:cs="楷体_GB2312"/>
                <w:b w:val="0"/>
                <w:bCs w:val="0"/>
                <w:color w:val="auto"/>
                <w:kern w:val="2"/>
                <w:sz w:val="20"/>
                <w:szCs w:val="20"/>
              </w:rPr>
              <w:t>202</w:t>
            </w:r>
            <w:r>
              <w:rPr>
                <w:rFonts w:hint="eastAsia" w:ascii="楷体_GB2312" w:hAnsi="楷体_GB2312" w:eastAsia="楷体_GB2312" w:cs="楷体_GB2312"/>
                <w:b w:val="0"/>
                <w:bCs w:val="0"/>
                <w:color w:val="auto"/>
                <w:kern w:val="2"/>
                <w:sz w:val="20"/>
                <w:szCs w:val="20"/>
                <w:lang w:val="en-US"/>
              </w:rPr>
              <w:t>3</w:t>
            </w:r>
            <w:r>
              <w:rPr>
                <w:rFonts w:hint="eastAsia" w:ascii="楷体_GB2312" w:hAnsi="楷体_GB2312" w:eastAsia="楷体_GB2312" w:cs="楷体_GB2312"/>
                <w:b w:val="0"/>
                <w:bCs w:val="0"/>
                <w:color w:val="auto"/>
                <w:kern w:val="2"/>
                <w:sz w:val="20"/>
                <w:szCs w:val="20"/>
              </w:rPr>
              <w:t>/</w:t>
            </w:r>
            <w:r>
              <w:rPr>
                <w:rFonts w:hint="eastAsia" w:ascii="楷体_GB2312" w:hAnsi="楷体_GB2312" w:eastAsia="楷体_GB2312" w:cs="楷体_GB2312"/>
                <w:b w:val="0"/>
                <w:bCs w:val="0"/>
                <w:color w:val="auto"/>
                <w:kern w:val="2"/>
                <w:sz w:val="20"/>
                <w:szCs w:val="20"/>
                <w:lang w:val="en-US"/>
              </w:rPr>
              <w:t>2</w:t>
            </w:r>
            <w:r>
              <w:rPr>
                <w:rFonts w:hint="eastAsia" w:ascii="楷体_GB2312" w:hAnsi="楷体_GB2312" w:eastAsia="楷体_GB2312" w:cs="楷体_GB2312"/>
                <w:b w:val="0"/>
                <w:bCs w:val="0"/>
                <w:color w:val="auto"/>
                <w:kern w:val="2"/>
                <w:sz w:val="20"/>
                <w:szCs w:val="20"/>
              </w:rPr>
              <w:t>/</w:t>
            </w:r>
            <w:r>
              <w:rPr>
                <w:rFonts w:hint="eastAsia" w:ascii="楷体_GB2312" w:hAnsi="楷体_GB2312" w:eastAsia="楷体_GB2312" w:cs="楷体_GB2312"/>
                <w:b w:val="0"/>
                <w:bCs w:val="0"/>
                <w:color w:val="auto"/>
                <w:kern w:val="2"/>
                <w:sz w:val="20"/>
                <w:szCs w:val="20"/>
                <w:lang w:val="en-US"/>
              </w:rPr>
              <w:t>12</w:t>
            </w:r>
          </w:p>
        </w:tc>
        <w:tc>
          <w:tcPr>
            <w:tcW w:w="2100" w:type="dxa"/>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rPr>
            </w:pPr>
            <w:r>
              <w:rPr>
                <w:rFonts w:hint="eastAsia" w:ascii="楷体_GB2312" w:hAnsi="楷体_GB2312" w:eastAsia="楷体_GB2312" w:cs="楷体_GB2312"/>
                <w:b w:val="0"/>
                <w:bCs w:val="0"/>
                <w:color w:val="auto"/>
                <w:kern w:val="2"/>
                <w:sz w:val="20"/>
                <w:szCs w:val="20"/>
              </w:rPr>
              <w:t>境内假期、香港开市</w:t>
            </w:r>
          </w:p>
        </w:tc>
        <w:tc>
          <w:tcPr>
            <w:tcW w:w="2262" w:type="dxa"/>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rPr>
            </w:pPr>
            <w:r>
              <w:rPr>
                <w:rFonts w:hint="eastAsia" w:ascii="楷体_GB2312" w:hAnsi="楷体_GB2312" w:eastAsia="楷体_GB2312" w:cs="楷体_GB2312"/>
                <w:b w:val="0"/>
                <w:bCs w:val="0"/>
                <w:color w:val="auto"/>
                <w:kern w:val="2"/>
                <w:sz w:val="20"/>
                <w:szCs w:val="20"/>
                <w:lang w:eastAsia="zh-CN"/>
              </w:rPr>
              <w:t>非对称假期</w:t>
            </w:r>
          </w:p>
        </w:tc>
        <w:tc>
          <w:tcPr>
            <w:tcW w:w="1935" w:type="dxa"/>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rPr>
            </w:pPr>
            <w:r>
              <w:rPr>
                <w:rFonts w:hint="eastAsia" w:ascii="楷体_GB2312" w:hAnsi="楷体_GB2312" w:eastAsia="楷体_GB2312" w:cs="楷体_GB2312"/>
                <w:b w:val="0"/>
                <w:bCs w:val="0"/>
                <w:color w:val="auto"/>
                <w:kern w:val="2"/>
                <w:sz w:val="20"/>
                <w:szCs w:val="20"/>
                <w:lang w:eastAsia="zh-CN"/>
              </w:rPr>
              <w:t>非交易日、非交收日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45" w:type="dxa"/>
            <w:shd w:val="clear" w:color="auto" w:fill="FFFFFF" w:themeFill="background1"/>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rPr>
            </w:pPr>
            <w:r>
              <w:rPr>
                <w:rFonts w:hint="eastAsia" w:ascii="楷体_GB2312" w:hAnsi="楷体_GB2312" w:eastAsia="楷体_GB2312" w:cs="楷体_GB2312"/>
                <w:b w:val="0"/>
                <w:bCs w:val="0"/>
                <w:color w:val="auto"/>
                <w:kern w:val="2"/>
                <w:sz w:val="20"/>
                <w:szCs w:val="20"/>
              </w:rPr>
              <w:t>202</w:t>
            </w:r>
            <w:r>
              <w:rPr>
                <w:rFonts w:hint="eastAsia" w:ascii="楷体_GB2312" w:hAnsi="楷体_GB2312" w:eastAsia="楷体_GB2312" w:cs="楷体_GB2312"/>
                <w:b w:val="0"/>
                <w:bCs w:val="0"/>
                <w:color w:val="auto"/>
                <w:kern w:val="2"/>
                <w:sz w:val="20"/>
                <w:szCs w:val="20"/>
                <w:lang w:val="en-US"/>
              </w:rPr>
              <w:t>3</w:t>
            </w:r>
            <w:r>
              <w:rPr>
                <w:rFonts w:hint="eastAsia" w:ascii="楷体_GB2312" w:hAnsi="楷体_GB2312" w:eastAsia="楷体_GB2312" w:cs="楷体_GB2312"/>
                <w:b w:val="0"/>
                <w:bCs w:val="0"/>
                <w:color w:val="auto"/>
                <w:kern w:val="2"/>
                <w:sz w:val="20"/>
                <w:szCs w:val="20"/>
              </w:rPr>
              <w:t>/</w:t>
            </w:r>
            <w:r>
              <w:rPr>
                <w:rFonts w:hint="eastAsia" w:ascii="楷体_GB2312" w:hAnsi="楷体_GB2312" w:eastAsia="楷体_GB2312" w:cs="楷体_GB2312"/>
                <w:b w:val="0"/>
                <w:bCs w:val="0"/>
                <w:color w:val="auto"/>
                <w:kern w:val="2"/>
                <w:sz w:val="20"/>
                <w:szCs w:val="20"/>
                <w:lang w:val="en-US"/>
              </w:rPr>
              <w:t>2</w:t>
            </w:r>
            <w:r>
              <w:rPr>
                <w:rFonts w:hint="eastAsia" w:ascii="楷体_GB2312" w:hAnsi="楷体_GB2312" w:eastAsia="楷体_GB2312" w:cs="楷体_GB2312"/>
                <w:b w:val="0"/>
                <w:bCs w:val="0"/>
                <w:color w:val="auto"/>
                <w:kern w:val="2"/>
                <w:sz w:val="20"/>
                <w:szCs w:val="20"/>
              </w:rPr>
              <w:t>/1</w:t>
            </w:r>
            <w:r>
              <w:rPr>
                <w:rFonts w:hint="eastAsia" w:ascii="楷体_GB2312" w:hAnsi="楷体_GB2312" w:eastAsia="楷体_GB2312" w:cs="楷体_GB2312"/>
                <w:b w:val="0"/>
                <w:bCs w:val="0"/>
                <w:color w:val="auto"/>
                <w:kern w:val="2"/>
                <w:sz w:val="20"/>
                <w:szCs w:val="20"/>
                <w:lang w:val="en-US"/>
              </w:rPr>
              <w:t>3</w:t>
            </w:r>
          </w:p>
        </w:tc>
        <w:tc>
          <w:tcPr>
            <w:tcW w:w="2100"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r>
              <w:rPr>
                <w:rFonts w:hint="eastAsia" w:ascii="楷体_GB2312" w:hAnsi="楷体_GB2312" w:eastAsia="楷体_GB2312" w:cs="楷体_GB2312"/>
                <w:b w:val="0"/>
                <w:bCs w:val="0"/>
                <w:color w:val="auto"/>
                <w:kern w:val="2"/>
                <w:sz w:val="20"/>
                <w:szCs w:val="20"/>
                <w:lang w:eastAsia="zh-CN"/>
              </w:rPr>
              <w:t>共同假期</w:t>
            </w:r>
          </w:p>
        </w:tc>
        <w:tc>
          <w:tcPr>
            <w:tcW w:w="2262"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rPr>
            </w:pPr>
          </w:p>
        </w:tc>
        <w:tc>
          <w:tcPr>
            <w:tcW w:w="1935"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r>
              <w:rPr>
                <w:rFonts w:hint="eastAsia" w:ascii="楷体_GB2312" w:hAnsi="楷体_GB2312" w:eastAsia="楷体_GB2312" w:cs="楷体_GB2312"/>
                <w:b w:val="0"/>
                <w:bCs w:val="0"/>
                <w:color w:val="auto"/>
                <w:kern w:val="2"/>
                <w:sz w:val="20"/>
                <w:szCs w:val="20"/>
                <w:lang w:eastAsia="zh-CN"/>
              </w:rPr>
              <w:t>非交易日、非交收日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45" w:type="dxa"/>
            <w:shd w:val="clear" w:color="auto" w:fill="FFFFFF" w:themeFill="background1"/>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rPr>
            </w:pPr>
            <w:r>
              <w:rPr>
                <w:rFonts w:hint="eastAsia" w:ascii="楷体_GB2312" w:hAnsi="楷体_GB2312" w:eastAsia="楷体_GB2312" w:cs="楷体_GB2312"/>
                <w:b w:val="0"/>
                <w:bCs w:val="0"/>
                <w:color w:val="auto"/>
                <w:kern w:val="2"/>
                <w:sz w:val="20"/>
                <w:szCs w:val="20"/>
              </w:rPr>
              <w:t>202</w:t>
            </w:r>
            <w:r>
              <w:rPr>
                <w:rFonts w:hint="eastAsia" w:ascii="楷体_GB2312" w:hAnsi="楷体_GB2312" w:eastAsia="楷体_GB2312" w:cs="楷体_GB2312"/>
                <w:b w:val="0"/>
                <w:bCs w:val="0"/>
                <w:color w:val="auto"/>
                <w:kern w:val="2"/>
                <w:sz w:val="20"/>
                <w:szCs w:val="20"/>
                <w:lang w:val="en-US"/>
              </w:rPr>
              <w:t>3</w:t>
            </w:r>
            <w:r>
              <w:rPr>
                <w:rFonts w:hint="eastAsia" w:ascii="楷体_GB2312" w:hAnsi="楷体_GB2312" w:eastAsia="楷体_GB2312" w:cs="楷体_GB2312"/>
                <w:b w:val="0"/>
                <w:bCs w:val="0"/>
                <w:color w:val="auto"/>
                <w:kern w:val="2"/>
                <w:sz w:val="20"/>
                <w:szCs w:val="20"/>
              </w:rPr>
              <w:t>/</w:t>
            </w:r>
            <w:r>
              <w:rPr>
                <w:rFonts w:hint="eastAsia" w:ascii="楷体_GB2312" w:hAnsi="楷体_GB2312" w:eastAsia="楷体_GB2312" w:cs="楷体_GB2312"/>
                <w:b w:val="0"/>
                <w:bCs w:val="0"/>
                <w:color w:val="auto"/>
                <w:kern w:val="2"/>
                <w:sz w:val="20"/>
                <w:szCs w:val="20"/>
                <w:lang w:val="en-US"/>
              </w:rPr>
              <w:t>2</w:t>
            </w:r>
            <w:r>
              <w:rPr>
                <w:rFonts w:hint="eastAsia" w:ascii="楷体_GB2312" w:hAnsi="楷体_GB2312" w:eastAsia="楷体_GB2312" w:cs="楷体_GB2312"/>
                <w:b w:val="0"/>
                <w:bCs w:val="0"/>
                <w:color w:val="auto"/>
                <w:kern w:val="2"/>
                <w:sz w:val="20"/>
                <w:szCs w:val="20"/>
              </w:rPr>
              <w:t>/1</w:t>
            </w:r>
            <w:r>
              <w:rPr>
                <w:rFonts w:hint="eastAsia" w:ascii="楷体_GB2312" w:hAnsi="楷体_GB2312" w:eastAsia="楷体_GB2312" w:cs="楷体_GB2312"/>
                <w:b w:val="0"/>
                <w:bCs w:val="0"/>
                <w:color w:val="auto"/>
                <w:kern w:val="2"/>
                <w:sz w:val="20"/>
                <w:szCs w:val="20"/>
                <w:lang w:val="en-US"/>
              </w:rPr>
              <w:t>4</w:t>
            </w:r>
          </w:p>
        </w:tc>
        <w:tc>
          <w:tcPr>
            <w:tcW w:w="2100"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rPr>
            </w:pPr>
            <w:r>
              <w:rPr>
                <w:rFonts w:hint="eastAsia" w:ascii="楷体_GB2312" w:hAnsi="楷体_GB2312" w:eastAsia="楷体_GB2312" w:cs="楷体_GB2312"/>
                <w:b w:val="0"/>
                <w:bCs w:val="0"/>
                <w:color w:val="auto"/>
                <w:kern w:val="2"/>
                <w:sz w:val="20"/>
                <w:szCs w:val="20"/>
                <w:lang w:eastAsia="zh-CN"/>
              </w:rPr>
              <w:t>共同假期</w:t>
            </w:r>
          </w:p>
        </w:tc>
        <w:tc>
          <w:tcPr>
            <w:tcW w:w="2262"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rPr>
            </w:pPr>
          </w:p>
        </w:tc>
        <w:tc>
          <w:tcPr>
            <w:tcW w:w="1935"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rPr>
            </w:pPr>
            <w:r>
              <w:rPr>
                <w:rFonts w:hint="eastAsia" w:ascii="楷体_GB2312" w:hAnsi="楷体_GB2312" w:eastAsia="楷体_GB2312" w:cs="楷体_GB2312"/>
                <w:b w:val="0"/>
                <w:bCs w:val="0"/>
                <w:color w:val="auto"/>
                <w:kern w:val="2"/>
                <w:sz w:val="20"/>
                <w:szCs w:val="20"/>
                <w:lang w:eastAsia="zh-CN"/>
              </w:rPr>
              <w:t>非交易日、非交收日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45" w:type="dxa"/>
            <w:shd w:val="clear" w:color="auto" w:fill="FFFFFF" w:themeFill="background1"/>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rPr>
            </w:pPr>
            <w:r>
              <w:rPr>
                <w:rFonts w:hint="eastAsia" w:ascii="楷体_GB2312" w:hAnsi="楷体_GB2312" w:eastAsia="楷体_GB2312" w:cs="楷体_GB2312"/>
                <w:b w:val="0"/>
                <w:bCs w:val="0"/>
                <w:color w:val="auto"/>
                <w:kern w:val="2"/>
                <w:sz w:val="20"/>
                <w:szCs w:val="20"/>
                <w:lang w:val="en-US"/>
              </w:rPr>
              <w:t>2023/2/15</w:t>
            </w:r>
          </w:p>
        </w:tc>
        <w:tc>
          <w:tcPr>
            <w:tcW w:w="2100"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r>
              <w:rPr>
                <w:rFonts w:hint="eastAsia" w:ascii="楷体_GB2312" w:hAnsi="楷体_GB2312" w:eastAsia="楷体_GB2312" w:cs="楷体_GB2312"/>
                <w:b w:val="0"/>
                <w:bCs w:val="0"/>
                <w:color w:val="auto"/>
                <w:kern w:val="2"/>
                <w:sz w:val="20"/>
                <w:szCs w:val="20"/>
                <w:lang w:eastAsia="zh-CN"/>
              </w:rPr>
              <w:t>正常</w:t>
            </w:r>
          </w:p>
        </w:tc>
        <w:tc>
          <w:tcPr>
            <w:tcW w:w="2262"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eastAsia="zh-CN"/>
              </w:rPr>
            </w:pPr>
            <w:r>
              <w:rPr>
                <w:rFonts w:hint="eastAsia" w:ascii="楷体_GB2312" w:hAnsi="楷体_GB2312" w:eastAsia="楷体_GB2312" w:cs="楷体_GB2312"/>
                <w:b w:val="0"/>
                <w:bCs w:val="0"/>
                <w:color w:val="auto"/>
                <w:kern w:val="2"/>
                <w:sz w:val="20"/>
                <w:szCs w:val="20"/>
                <w:lang w:eastAsia="zh-CN"/>
              </w:rPr>
              <w:t>节后第</w:t>
            </w:r>
            <w:r>
              <w:rPr>
                <w:rFonts w:hint="eastAsia" w:ascii="楷体_GB2312" w:hAnsi="楷体_GB2312" w:eastAsia="楷体_GB2312" w:cs="楷体_GB2312"/>
                <w:b w:val="0"/>
                <w:bCs w:val="0"/>
                <w:color w:val="auto"/>
                <w:kern w:val="2"/>
                <w:sz w:val="20"/>
                <w:szCs w:val="20"/>
                <w:lang w:val="en-US" w:eastAsia="zh-CN"/>
              </w:rPr>
              <w:t>1天</w:t>
            </w:r>
          </w:p>
        </w:tc>
        <w:tc>
          <w:tcPr>
            <w:tcW w:w="1935"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r>
              <w:rPr>
                <w:rFonts w:hint="eastAsia" w:ascii="楷体_GB2312" w:hAnsi="楷体_GB2312" w:eastAsia="楷体_GB2312" w:cs="楷体_GB2312"/>
                <w:b w:val="0"/>
                <w:bCs w:val="0"/>
                <w:color w:val="auto"/>
                <w:kern w:val="2"/>
                <w:sz w:val="20"/>
                <w:szCs w:val="20"/>
                <w:lang w:eastAsia="zh-CN"/>
              </w:rPr>
              <w:t>交易日、交收日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45" w:type="dxa"/>
            <w:shd w:val="clear" w:color="auto" w:fill="FFFFFF" w:themeFill="background1"/>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rPr>
            </w:pPr>
            <w:r>
              <w:rPr>
                <w:rFonts w:hint="eastAsia" w:ascii="楷体_GB2312" w:hAnsi="楷体_GB2312" w:eastAsia="楷体_GB2312" w:cs="楷体_GB2312"/>
                <w:b w:val="0"/>
                <w:bCs w:val="0"/>
                <w:color w:val="auto"/>
                <w:kern w:val="2"/>
                <w:sz w:val="20"/>
                <w:szCs w:val="20"/>
                <w:lang w:val="en-US"/>
              </w:rPr>
              <w:t>2023/2/16</w:t>
            </w:r>
          </w:p>
        </w:tc>
        <w:tc>
          <w:tcPr>
            <w:tcW w:w="2100"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r>
              <w:rPr>
                <w:rFonts w:hint="eastAsia" w:ascii="楷体_GB2312" w:hAnsi="楷体_GB2312" w:eastAsia="楷体_GB2312" w:cs="楷体_GB2312"/>
                <w:b w:val="0"/>
                <w:bCs w:val="0"/>
                <w:color w:val="auto"/>
                <w:kern w:val="2"/>
                <w:sz w:val="20"/>
                <w:szCs w:val="20"/>
                <w:lang w:eastAsia="zh-CN"/>
              </w:rPr>
              <w:t>正常</w:t>
            </w:r>
          </w:p>
        </w:tc>
        <w:tc>
          <w:tcPr>
            <w:tcW w:w="2262"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eastAsia="zh-CN"/>
              </w:rPr>
            </w:pPr>
            <w:r>
              <w:rPr>
                <w:rFonts w:hint="eastAsia" w:ascii="楷体_GB2312" w:hAnsi="楷体_GB2312" w:eastAsia="楷体_GB2312" w:cs="楷体_GB2312"/>
                <w:b w:val="0"/>
                <w:bCs w:val="0"/>
                <w:color w:val="auto"/>
                <w:kern w:val="2"/>
                <w:sz w:val="20"/>
                <w:szCs w:val="20"/>
                <w:lang w:eastAsia="zh-CN"/>
              </w:rPr>
              <w:t>节后第</w:t>
            </w:r>
            <w:r>
              <w:rPr>
                <w:rFonts w:hint="eastAsia" w:ascii="楷体_GB2312" w:hAnsi="楷体_GB2312" w:eastAsia="楷体_GB2312" w:cs="楷体_GB2312"/>
                <w:b w:val="0"/>
                <w:bCs w:val="0"/>
                <w:color w:val="auto"/>
                <w:kern w:val="2"/>
                <w:sz w:val="20"/>
                <w:szCs w:val="20"/>
                <w:lang w:val="en-US" w:eastAsia="zh-CN"/>
              </w:rPr>
              <w:t>2天</w:t>
            </w:r>
          </w:p>
        </w:tc>
        <w:tc>
          <w:tcPr>
            <w:tcW w:w="1935"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r>
              <w:rPr>
                <w:rFonts w:hint="eastAsia" w:ascii="楷体_GB2312" w:hAnsi="楷体_GB2312" w:eastAsia="楷体_GB2312" w:cs="楷体_GB2312"/>
                <w:b w:val="0"/>
                <w:bCs w:val="0"/>
                <w:color w:val="auto"/>
                <w:kern w:val="2"/>
                <w:sz w:val="20"/>
                <w:szCs w:val="20"/>
                <w:lang w:eastAsia="zh-CN"/>
              </w:rPr>
              <w:t>交易日、交收日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345" w:type="dxa"/>
            <w:shd w:val="clear" w:color="auto" w:fill="FFFFFF" w:themeFill="background1"/>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val="en-US"/>
              </w:rPr>
            </w:pPr>
            <w:r>
              <w:rPr>
                <w:rFonts w:hint="eastAsia" w:ascii="楷体_GB2312" w:hAnsi="楷体_GB2312" w:eastAsia="楷体_GB2312" w:cs="楷体_GB2312"/>
                <w:b w:val="0"/>
                <w:bCs w:val="0"/>
                <w:color w:val="auto"/>
                <w:kern w:val="2"/>
                <w:sz w:val="20"/>
                <w:szCs w:val="20"/>
                <w:lang w:val="en-US"/>
              </w:rPr>
              <w:t>2023/2/17</w:t>
            </w:r>
          </w:p>
        </w:tc>
        <w:tc>
          <w:tcPr>
            <w:tcW w:w="2100"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r>
              <w:rPr>
                <w:rFonts w:hint="eastAsia" w:ascii="楷体_GB2312" w:hAnsi="楷体_GB2312" w:eastAsia="楷体_GB2312" w:cs="楷体_GB2312"/>
                <w:b w:val="0"/>
                <w:bCs w:val="0"/>
                <w:color w:val="auto"/>
                <w:kern w:val="2"/>
                <w:sz w:val="20"/>
                <w:szCs w:val="20"/>
                <w:lang w:eastAsia="zh-CN"/>
              </w:rPr>
              <w:t>正常</w:t>
            </w:r>
          </w:p>
        </w:tc>
        <w:tc>
          <w:tcPr>
            <w:tcW w:w="2262"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p>
        </w:tc>
        <w:tc>
          <w:tcPr>
            <w:tcW w:w="1935" w:type="dxa"/>
            <w:shd w:val="clear" w:color="auto" w:fill="FFFFFF" w:themeFill="background1"/>
            <w:vAlign w:val="top"/>
          </w:tcPr>
          <w:p>
            <w:pPr>
              <w:widowControl/>
              <w:spacing w:line="240" w:lineRule="auto"/>
              <w:ind w:firstLine="0" w:firstLineChars="0"/>
              <w:jc w:val="center"/>
              <w:rPr>
                <w:rFonts w:hint="eastAsia" w:ascii="楷体_GB2312" w:hAnsi="楷体_GB2312" w:eastAsia="楷体_GB2312" w:cs="楷体_GB2312"/>
                <w:b w:val="0"/>
                <w:bCs w:val="0"/>
                <w:color w:val="auto"/>
                <w:kern w:val="2"/>
                <w:sz w:val="20"/>
                <w:szCs w:val="20"/>
                <w:lang w:eastAsia="zh-CN"/>
              </w:rPr>
            </w:pPr>
            <w:r>
              <w:rPr>
                <w:rFonts w:hint="eastAsia" w:ascii="楷体_GB2312" w:hAnsi="楷体_GB2312" w:eastAsia="楷体_GB2312" w:cs="楷体_GB2312"/>
                <w:b w:val="0"/>
                <w:bCs w:val="0"/>
                <w:color w:val="auto"/>
                <w:kern w:val="2"/>
                <w:sz w:val="20"/>
                <w:szCs w:val="20"/>
                <w:lang w:eastAsia="zh-CN"/>
              </w:rPr>
              <w:t>交易日、交收日</w:t>
            </w:r>
          </w:p>
        </w:tc>
      </w:tr>
    </w:tbl>
    <w:p>
      <w:pPr>
        <w:numPr>
          <w:ilvl w:val="-1"/>
          <w:numId w:val="0"/>
        </w:numPr>
        <w:spacing w:line="560" w:lineRule="exact"/>
        <w:ind w:left="632" w:firstLine="560" w:firstLineChars="20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全网测试当日将模拟非对称假期的第二个新增交易日(2023/2/11)。</w:t>
      </w:r>
    </w:p>
    <w:p>
      <w:pPr>
        <w:pStyle w:val="27"/>
        <w:numPr>
          <w:ilvl w:val="0"/>
          <w:numId w:val="6"/>
        </w:numPr>
        <w:spacing w:line="560" w:lineRule="exact"/>
        <w:ind w:left="630" w:leftChars="0" w:firstLine="0" w:firstLineChars="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参考汇率</w:t>
      </w:r>
    </w:p>
    <w:p>
      <w:pPr>
        <w:ind w:firstLine="560" w:firstLineChars="200"/>
        <w:rPr>
          <w:rFonts w:hint="eastAsia" w:ascii="楷体_GB2312" w:hAnsi="楷体_GB2312" w:eastAsia="楷体_GB2312" w:cs="楷体_GB2312"/>
          <w:color w:val="000000"/>
          <w:sz w:val="28"/>
          <w:szCs w:val="28"/>
          <w:shd w:val="clear"/>
          <w:lang w:val="en-US" w:eastAsia="zh-CN"/>
        </w:rPr>
      </w:pPr>
      <w:r>
        <w:rPr>
          <w:rFonts w:hint="eastAsia" w:ascii="楷体_GB2312" w:hAnsi="楷体_GB2312" w:eastAsia="楷体_GB2312" w:cs="楷体_GB2312"/>
          <w:color w:val="000000"/>
          <w:sz w:val="28"/>
          <w:szCs w:val="28"/>
          <w:lang w:val="en-US" w:eastAsia="zh-CN"/>
        </w:rPr>
        <w:t>全网测试当日参考汇率请参考深交所</w:t>
      </w:r>
      <w:r>
        <w:rPr>
          <w:rFonts w:hint="eastAsia" w:ascii="楷体_GB2312" w:hAnsi="楷体_GB2312" w:eastAsia="楷体_GB2312" w:cs="楷体_GB2312"/>
          <w:color w:val="000000"/>
          <w:sz w:val="28"/>
          <w:szCs w:val="28"/>
          <w:shd w:val="clear"/>
          <w:lang w:val="en-US" w:eastAsia="zh-CN"/>
        </w:rPr>
        <w:t>发布的早间静态交易参考信息文件，用于计算提前到账参考金额。</w:t>
      </w:r>
    </w:p>
    <w:p>
      <w:pPr>
        <w:pStyle w:val="27"/>
        <w:numPr>
          <w:ilvl w:val="0"/>
          <w:numId w:val="6"/>
        </w:numPr>
        <w:spacing w:line="560" w:lineRule="exact"/>
        <w:ind w:left="630" w:leftChars="0" w:firstLine="0" w:firstLineChars="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预清算</w:t>
      </w:r>
      <w:r>
        <w:rPr>
          <w:rFonts w:hint="eastAsia" w:ascii="楷体_GB2312" w:hAnsi="楷体_GB2312" w:eastAsia="楷体_GB2312" w:cs="楷体_GB2312"/>
          <w:color w:val="auto"/>
          <w:sz w:val="28"/>
          <w:szCs w:val="28"/>
        </w:rPr>
        <w:t>资金汇总参考</w:t>
      </w:r>
      <w:r>
        <w:rPr>
          <w:rFonts w:hint="eastAsia" w:ascii="楷体_GB2312" w:hAnsi="楷体_GB2312" w:eastAsia="楷体_GB2312" w:cs="楷体_GB2312"/>
          <w:color w:val="auto"/>
          <w:sz w:val="28"/>
          <w:szCs w:val="28"/>
          <w:lang w:eastAsia="zh-CN"/>
        </w:rPr>
        <w:t>文件安排</w:t>
      </w:r>
    </w:p>
    <w:p>
      <w:pPr>
        <w:ind w:firstLine="560" w:firstLineChars="20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eastAsia="zh-CN"/>
        </w:rPr>
        <w:t>三批次</w:t>
      </w:r>
      <w:r>
        <w:rPr>
          <w:rFonts w:hint="eastAsia" w:ascii="楷体_GB2312" w:hAnsi="楷体_GB2312" w:eastAsia="楷体_GB2312" w:cs="楷体_GB2312"/>
          <w:color w:val="000000"/>
          <w:sz w:val="28"/>
          <w:szCs w:val="28"/>
        </w:rPr>
        <w:t>预清算资金汇总参考</w:t>
      </w:r>
      <w:r>
        <w:rPr>
          <w:rFonts w:hint="eastAsia" w:ascii="楷体_GB2312" w:hAnsi="楷体_GB2312" w:eastAsia="楷体_GB2312" w:cs="楷体_GB2312"/>
          <w:color w:val="000000"/>
          <w:sz w:val="28"/>
          <w:szCs w:val="28"/>
          <w:lang w:eastAsia="zh-CN"/>
        </w:rPr>
        <w:t>文件发送</w:t>
      </w:r>
      <w:r>
        <w:rPr>
          <w:rFonts w:hint="eastAsia" w:ascii="楷体_GB2312" w:hAnsi="楷体_GB2312" w:eastAsia="楷体_GB2312" w:cs="楷体_GB2312"/>
          <w:color w:val="000000"/>
          <w:sz w:val="28"/>
          <w:szCs w:val="28"/>
        </w:rPr>
        <w:t>时间分别为10:00、11:00和12：10</w:t>
      </w:r>
      <w:r>
        <w:rPr>
          <w:rFonts w:hint="eastAsia" w:ascii="楷体_GB2312" w:hAnsi="楷体_GB2312" w:eastAsia="楷体_GB2312" w:cs="楷体_GB2312"/>
          <w:color w:val="000000"/>
          <w:sz w:val="28"/>
          <w:szCs w:val="28"/>
          <w:lang w:eastAsia="zh-CN"/>
        </w:rPr>
        <w:t>。</w:t>
      </w:r>
    </w:p>
    <w:p>
      <w:pPr>
        <w:pStyle w:val="27"/>
        <w:numPr>
          <w:ilvl w:val="0"/>
          <w:numId w:val="6"/>
        </w:numPr>
        <w:spacing w:line="560" w:lineRule="exact"/>
        <w:ind w:left="630" w:leftChars="0" w:firstLine="0" w:firstLineChars="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资金提前到账违约金及垫息</w:t>
      </w:r>
    </w:p>
    <w:p>
      <w:pPr>
        <w:ind w:firstLine="560" w:firstLineChars="200"/>
        <w:rPr>
          <w:rFonts w:hint="eastAsia" w:ascii="楷体_GB2312" w:hAnsi="楷体_GB2312" w:eastAsia="楷体_GB2312" w:cs="楷体_GB2312"/>
          <w:color w:val="auto"/>
          <w:sz w:val="28"/>
          <w:szCs w:val="28"/>
          <w:lang w:val="en-US" w:eastAsia="zh-CN"/>
        </w:rPr>
      </w:pPr>
      <w:r>
        <w:rPr>
          <w:rFonts w:hint="eastAsia" w:ascii="楷体_GB2312" w:hAnsi="楷体_GB2312" w:eastAsia="楷体_GB2312" w:cs="楷体_GB2312"/>
          <w:color w:val="auto"/>
          <w:sz w:val="28"/>
          <w:szCs w:val="28"/>
          <w:lang w:val="en-US" w:eastAsia="zh-CN"/>
        </w:rPr>
        <w:t>全网测试当日净买入的参与人如提前到账金额不足，将触发资金提前到账违约，中国结算深圳分公司将对该部分参与人计收提前到账违约金及垫息。</w:t>
      </w:r>
    </w:p>
    <w:p>
      <w:pPr>
        <w:pStyle w:val="27"/>
        <w:numPr>
          <w:ilvl w:val="0"/>
          <w:numId w:val="6"/>
        </w:numPr>
        <w:spacing w:line="560" w:lineRule="exact"/>
        <w:ind w:left="630" w:leftChars="0" w:firstLine="0" w:firstLineChars="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资金提前到账违约授信成本分摊</w:t>
      </w:r>
    </w:p>
    <w:p>
      <w:pPr>
        <w:ind w:firstLine="560" w:firstLineChars="20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中国结算深圳分公司将模拟某个非对称假期期间所有结算参与人均提前到账违约并动用银行授信的情况。中国结算深圳分公司将在全网测试当日进行授信成本分摊，为所有已开立港股通备付金账户的结算参与人设置资金提前到账违约授信成本分摊数据，方便结算参与人技术系统验证该业务数据的接收与处理。</w:t>
      </w:r>
    </w:p>
    <w:p>
      <w:pPr>
        <w:ind w:firstLine="560" w:firstLineChars="200"/>
        <w:rPr>
          <w:rFonts w:hint="eastAsia" w:ascii="楷体_GB2312" w:hAnsi="楷体_GB2312" w:eastAsia="楷体_GB2312" w:cs="楷体_GB2312"/>
          <w:color w:val="FF0000"/>
          <w:sz w:val="28"/>
          <w:szCs w:val="28"/>
          <w:lang w:val="en-US" w:eastAsia="zh-CN"/>
        </w:rPr>
      </w:pPr>
      <w:r>
        <w:rPr>
          <w:rFonts w:hint="eastAsia" w:ascii="楷体_GB2312" w:hAnsi="楷体_GB2312" w:eastAsia="楷体_GB2312" w:cs="楷体_GB2312"/>
          <w:color w:val="FF0000"/>
          <w:sz w:val="28"/>
          <w:szCs w:val="28"/>
          <w:lang w:val="en-US" w:eastAsia="zh-CN"/>
        </w:rPr>
        <w:t>注意：该资金提前到账违约授信成本分摊数据非本次非对称假期新增交易日产生，与本次新增交易日数据无关。</w:t>
      </w:r>
    </w:p>
    <w:p>
      <w:pPr>
        <w:pStyle w:val="27"/>
        <w:numPr>
          <w:ilvl w:val="0"/>
          <w:numId w:val="6"/>
        </w:numPr>
        <w:spacing w:line="560" w:lineRule="exact"/>
        <w:ind w:left="630" w:leftChars="0" w:firstLine="0" w:firstLineChars="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香港银行利息分摊</w:t>
      </w:r>
    </w:p>
    <w:p>
      <w:pPr>
        <w:ind w:firstLine="560" w:firstLineChars="20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中国结算深圳分公司将模拟某个非对称假期期间在香港银行留存资金产生的利息分摊，在全网测试当日分摊给所有已开立港股通备付金账户的结算参与人，方便结算参与人技术系统验证该业务数据的接收与处理。</w:t>
      </w:r>
    </w:p>
    <w:p>
      <w:pPr>
        <w:ind w:firstLine="560" w:firstLineChars="200"/>
        <w:rPr>
          <w:rFonts w:hint="eastAsia" w:ascii="楷体_GB2312" w:hAnsi="楷体_GB2312" w:eastAsia="楷体_GB2312" w:cs="楷体_GB2312"/>
          <w:color w:val="FF0000"/>
          <w:sz w:val="28"/>
          <w:szCs w:val="28"/>
          <w:lang w:val="en-US" w:eastAsia="zh-CN"/>
        </w:rPr>
      </w:pPr>
      <w:r>
        <w:rPr>
          <w:rFonts w:hint="eastAsia" w:ascii="楷体_GB2312" w:hAnsi="楷体_GB2312" w:eastAsia="楷体_GB2312" w:cs="楷体_GB2312"/>
          <w:color w:val="FF0000"/>
          <w:sz w:val="28"/>
          <w:szCs w:val="28"/>
          <w:lang w:val="en-US" w:eastAsia="zh-CN"/>
        </w:rPr>
        <w:t>注意：该香港银行利息分摊数据非本次非对称假期新增交易日产生，与本次新增交易日数据无关。</w:t>
      </w:r>
    </w:p>
    <w:p>
      <w:pPr>
        <w:pStyle w:val="27"/>
        <w:numPr>
          <w:ilvl w:val="0"/>
          <w:numId w:val="6"/>
        </w:numPr>
        <w:spacing w:line="560" w:lineRule="exact"/>
        <w:ind w:left="630" w:leftChars="0" w:firstLine="0" w:firstLineChars="0"/>
        <w:rPr>
          <w:rFonts w:hint="eastAsia" w:ascii="楷体_GB2312" w:hAnsi="楷体_GB2312" w:eastAsia="楷体_GB2312" w:cs="楷体_GB2312"/>
          <w:color w:val="auto"/>
          <w:sz w:val="28"/>
          <w:szCs w:val="28"/>
          <w:lang w:val="en-US" w:eastAsia="zh-CN"/>
        </w:rPr>
      </w:pPr>
      <w:r>
        <w:rPr>
          <w:rFonts w:hint="eastAsia" w:ascii="楷体_GB2312" w:hAnsi="楷体_GB2312" w:eastAsia="楷体_GB2312" w:cs="楷体_GB2312"/>
          <w:color w:val="auto"/>
          <w:sz w:val="28"/>
          <w:szCs w:val="28"/>
          <w:lang w:val="en-US" w:eastAsia="zh-CN"/>
        </w:rPr>
        <w:t>资金余额查询（可提款金额）</w:t>
      </w:r>
    </w:p>
    <w:p>
      <w:pPr>
        <w:ind w:firstLine="560" w:firstLineChars="20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中国结算深圳分公司将模拟2023年2月10日为非对称假期的第一个新增交易日，所有已开通港股通备付金账户的结算参与人应提前到账金额为100万元，该部分金额在全网测试当日不可提款。参与人可以通过D-COM系统“资金划拨-资金余额查询（可提款金额）”验证。</w:t>
      </w:r>
    </w:p>
    <w:p>
      <w:pPr>
        <w:pStyle w:val="27"/>
        <w:keepNext w:val="0"/>
        <w:keepLines w:val="0"/>
        <w:pageBreakBefore w:val="0"/>
        <w:widowControl w:val="0"/>
        <w:numPr>
          <w:ilvl w:val="0"/>
          <w:numId w:val="5"/>
        </w:numPr>
        <w:kinsoku/>
        <w:wordWrap/>
        <w:overflowPunct/>
        <w:topLinePunct w:val="0"/>
        <w:autoSpaceDE/>
        <w:autoSpaceDN/>
        <w:bidi w:val="0"/>
        <w:adjustRightInd/>
        <w:snapToGrid/>
        <w:spacing w:line="240" w:lineRule="auto"/>
        <w:ind w:left="70" w:leftChars="0" w:firstLine="560" w:firstLineChars="0"/>
        <w:textAlignment w:val="auto"/>
        <w:outlineLvl w:val="1"/>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zh-CN" w:eastAsia="zh-CN"/>
        </w:rPr>
        <w:t>资金账户余额设置</w:t>
      </w:r>
    </w:p>
    <w:p>
      <w:pPr>
        <w:ind w:firstLine="560" w:firstLineChars="200"/>
        <w:rPr>
          <w:rFonts w:hint="eastAsia" w:ascii="楷体_GB2312" w:hAnsi="楷体_GB2312" w:eastAsia="楷体_GB2312" w:cs="楷体_GB2312"/>
          <w:color w:val="000000"/>
          <w:sz w:val="28"/>
          <w:szCs w:val="28"/>
          <w:lang w:val="en-US" w:eastAsia="zh-CN"/>
        </w:rPr>
      </w:pPr>
      <w:r>
        <w:rPr>
          <w:rFonts w:hint="eastAsia" w:ascii="楷体_GB2312" w:hAnsi="楷体_GB2312" w:eastAsia="楷体_GB2312" w:cs="楷体_GB2312"/>
          <w:color w:val="000000"/>
          <w:sz w:val="28"/>
          <w:szCs w:val="28"/>
          <w:lang w:val="en-US" w:eastAsia="zh-CN"/>
        </w:rPr>
        <w:t>如果需要调整，可致电中国结算深圳分公司进行账户余额的调整，联系电话：0755-88666429。</w:t>
      </w:r>
    </w:p>
    <w:p>
      <w:pPr>
        <w:spacing w:line="360" w:lineRule="atLeast"/>
        <w:jc w:val="left"/>
        <w:rPr>
          <w:rFonts w:hint="eastAsia" w:ascii="楷体_GB2312" w:hAnsi="楷体_GB2312" w:eastAsia="楷体_GB2312" w:cs="楷体_GB2312"/>
          <w:color w:val="2E2E2E"/>
          <w:kern w:val="0"/>
          <w:sz w:val="28"/>
          <w:szCs w:val="28"/>
        </w:rPr>
      </w:pPr>
    </w:p>
    <w:p>
      <w:pPr>
        <w:numPr>
          <w:ilvl w:val="0"/>
          <w:numId w:val="1"/>
        </w:numPr>
        <w:outlineLvl w:val="0"/>
        <w:rPr>
          <w:rFonts w:hint="eastAsia" w:ascii="楷体_GB2312" w:hAnsi="楷体_GB2312" w:eastAsia="楷体_GB2312" w:cs="楷体_GB2312"/>
          <w:b/>
          <w:sz w:val="28"/>
          <w:szCs w:val="28"/>
        </w:rPr>
      </w:pPr>
      <w:r>
        <w:rPr>
          <w:rFonts w:hint="eastAsia" w:ascii="楷体_GB2312" w:hAnsi="楷体_GB2312" w:eastAsia="楷体_GB2312" w:cs="楷体_GB2312"/>
          <w:b/>
          <w:sz w:val="28"/>
          <w:szCs w:val="28"/>
        </w:rPr>
        <w:t>注意事项</w:t>
      </w:r>
    </w:p>
    <w:p>
      <w:pPr>
        <w:numPr>
          <w:ilvl w:val="0"/>
          <w:numId w:val="7"/>
        </w:numPr>
        <w:tabs>
          <w:tab w:val="left" w:pos="840"/>
          <w:tab w:val="left" w:pos="928"/>
          <w:tab w:val="left" w:pos="1050"/>
        </w:tabs>
        <w:ind w:left="0" w:firstLine="567"/>
        <w:rPr>
          <w:rFonts w:hint="eastAsia"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深交所已于2023年1月31日发布《关于调整Level 1行情发送带宽的通知》，本次测试将模拟为所有参与人的Level 1地面行情网关</w:t>
      </w:r>
      <w:r>
        <w:rPr>
          <w:rFonts w:hint="eastAsia" w:ascii="楷体_GB2312" w:hAnsi="楷体_GB2312" w:eastAsia="楷体_GB2312" w:cs="楷体_GB2312"/>
          <w:color w:val="FF0000"/>
          <w:sz w:val="28"/>
          <w:szCs w:val="28"/>
          <w:lang w:eastAsia="zh-CN"/>
        </w:rPr>
        <w:t>增加</w:t>
      </w:r>
      <w:r>
        <w:rPr>
          <w:rFonts w:hint="eastAsia" w:ascii="楷体_GB2312" w:hAnsi="楷体_GB2312" w:eastAsia="楷体_GB2312" w:cs="楷体_GB2312"/>
          <w:color w:val="FF0000"/>
          <w:sz w:val="28"/>
          <w:szCs w:val="28"/>
        </w:rPr>
        <w:t>股票期权行情订阅功能，会员单位、期货公司和深证信授权股票期权展示许可的行情服务商的Level 1地面行情网关将自动获取股票期权行情订阅权限。本次测试期间，其他参与人将无法收到股票期权行情。测试完成后，</w:t>
      </w:r>
      <w:r>
        <w:rPr>
          <w:rFonts w:hint="eastAsia" w:ascii="楷体_GB2312" w:hAnsi="楷体_GB2312" w:eastAsia="楷体_GB2312" w:cs="楷体_GB2312"/>
          <w:color w:val="FF0000"/>
          <w:sz w:val="28"/>
          <w:szCs w:val="28"/>
          <w:lang w:val="en-US" w:eastAsia="zh-CN"/>
        </w:rPr>
        <w:t>深市</w:t>
      </w:r>
      <w:r>
        <w:rPr>
          <w:rFonts w:hint="eastAsia" w:ascii="楷体_GB2312" w:hAnsi="楷体_GB2312" w:eastAsia="楷体_GB2312" w:cs="楷体_GB2312"/>
          <w:color w:val="FF0000"/>
          <w:sz w:val="28"/>
          <w:szCs w:val="28"/>
        </w:rPr>
        <w:t>Level 1地面行情网关增加股票期权行情订阅功能暂不启用。</w:t>
      </w:r>
    </w:p>
    <w:p>
      <w:pPr>
        <w:numPr>
          <w:ilvl w:val="0"/>
          <w:numId w:val="7"/>
        </w:numPr>
        <w:tabs>
          <w:tab w:val="left" w:pos="840"/>
          <w:tab w:val="left" w:pos="928"/>
          <w:tab w:val="left" w:pos="1050"/>
        </w:tabs>
        <w:ind w:left="0" w:firstLine="567"/>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本次测试包括交易系统、结算系统、D-COM系统（不包括资金划拨业务）。</w:t>
      </w:r>
    </w:p>
    <w:p>
      <w:pPr>
        <w:numPr>
          <w:ilvl w:val="0"/>
          <w:numId w:val="7"/>
        </w:numPr>
        <w:tabs>
          <w:tab w:val="left" w:pos="840"/>
          <w:tab w:val="left" w:pos="928"/>
          <w:tab w:val="left" w:pos="1050"/>
        </w:tabs>
        <w:ind w:left="0" w:firstLine="567"/>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D-COM系统在202</w:t>
      </w:r>
      <w:r>
        <w:rPr>
          <w:rFonts w:hint="eastAsia" w:ascii="楷体_GB2312" w:hAnsi="楷体_GB2312" w:eastAsia="楷体_GB2312" w:cs="楷体_GB2312"/>
          <w:sz w:val="28"/>
          <w:szCs w:val="28"/>
          <w:lang w:val="en-US"/>
        </w:rPr>
        <w:t>3</w:t>
      </w:r>
      <w:r>
        <w:rPr>
          <w:rFonts w:hint="eastAsia" w:ascii="楷体_GB2312" w:hAnsi="楷体_GB2312" w:eastAsia="楷体_GB2312" w:cs="楷体_GB2312"/>
          <w:sz w:val="28"/>
          <w:szCs w:val="28"/>
        </w:rPr>
        <w:t>年</w:t>
      </w:r>
      <w:r>
        <w:rPr>
          <w:rFonts w:hint="eastAsia" w:ascii="楷体_GB2312" w:hAnsi="楷体_GB2312" w:eastAsia="楷体_GB2312" w:cs="楷体_GB2312"/>
          <w:sz w:val="28"/>
          <w:szCs w:val="28"/>
          <w:lang w:val="en-US" w:eastAsia="zh-CN"/>
        </w:rPr>
        <w:t>2</w:t>
      </w:r>
      <w:r>
        <w:rPr>
          <w:rFonts w:hint="eastAsia" w:ascii="楷体_GB2312" w:hAnsi="楷体_GB2312" w:eastAsia="楷体_GB2312" w:cs="楷体_GB2312"/>
          <w:sz w:val="28"/>
          <w:szCs w:val="28"/>
        </w:rPr>
        <w:t>月</w:t>
      </w:r>
      <w:r>
        <w:rPr>
          <w:rFonts w:hint="eastAsia" w:ascii="楷体_GB2312" w:hAnsi="楷体_GB2312" w:eastAsia="楷体_GB2312" w:cs="楷体_GB2312"/>
          <w:sz w:val="28"/>
          <w:szCs w:val="28"/>
          <w:lang w:val="en-US" w:eastAsia="zh-CN"/>
        </w:rPr>
        <w:t>11</w:t>
      </w:r>
      <w:r>
        <w:rPr>
          <w:rFonts w:hint="eastAsia" w:ascii="楷体_GB2312" w:hAnsi="楷体_GB2312" w:eastAsia="楷体_GB2312" w:cs="楷体_GB2312"/>
          <w:sz w:val="28"/>
          <w:szCs w:val="28"/>
        </w:rPr>
        <w:t>日期间属于测试环境，202</w:t>
      </w:r>
      <w:r>
        <w:rPr>
          <w:rFonts w:hint="eastAsia" w:ascii="楷体_GB2312" w:hAnsi="楷体_GB2312" w:eastAsia="楷体_GB2312" w:cs="楷体_GB2312"/>
          <w:sz w:val="28"/>
          <w:szCs w:val="28"/>
          <w:lang w:val="en-US"/>
        </w:rPr>
        <w:t>3</w:t>
      </w:r>
      <w:r>
        <w:rPr>
          <w:rFonts w:hint="eastAsia" w:ascii="楷体_GB2312" w:hAnsi="楷体_GB2312" w:eastAsia="楷体_GB2312" w:cs="楷体_GB2312"/>
          <w:sz w:val="28"/>
          <w:szCs w:val="28"/>
        </w:rPr>
        <w:t>年</w:t>
      </w:r>
      <w:r>
        <w:rPr>
          <w:rFonts w:hint="eastAsia" w:ascii="楷体_GB2312" w:hAnsi="楷体_GB2312" w:eastAsia="楷体_GB2312" w:cs="楷体_GB2312"/>
          <w:sz w:val="28"/>
          <w:szCs w:val="28"/>
          <w:lang w:val="en-US" w:eastAsia="zh-CN"/>
        </w:rPr>
        <w:t>2</w:t>
      </w:r>
      <w:r>
        <w:rPr>
          <w:rFonts w:hint="eastAsia" w:ascii="楷体_GB2312" w:hAnsi="楷体_GB2312" w:eastAsia="楷体_GB2312" w:cs="楷体_GB2312"/>
          <w:sz w:val="28"/>
          <w:szCs w:val="28"/>
        </w:rPr>
        <w:t>月</w:t>
      </w:r>
      <w:r>
        <w:rPr>
          <w:rFonts w:hint="eastAsia" w:ascii="楷体_GB2312" w:hAnsi="楷体_GB2312" w:eastAsia="楷体_GB2312" w:cs="楷体_GB2312"/>
          <w:sz w:val="28"/>
          <w:szCs w:val="28"/>
          <w:lang w:val="en-US" w:eastAsia="zh-CN"/>
        </w:rPr>
        <w:t>11</w:t>
      </w:r>
      <w:r>
        <w:rPr>
          <w:rFonts w:hint="eastAsia" w:ascii="楷体_GB2312" w:hAnsi="楷体_GB2312" w:eastAsia="楷体_GB2312" w:cs="楷体_GB2312"/>
          <w:sz w:val="28"/>
          <w:szCs w:val="28"/>
        </w:rPr>
        <w:t>日23:45以后将恢复回生产环境。</w:t>
      </w:r>
    </w:p>
    <w:p>
      <w:pPr>
        <w:numPr>
          <w:ilvl w:val="0"/>
          <w:numId w:val="7"/>
        </w:numPr>
        <w:tabs>
          <w:tab w:val="left" w:pos="840"/>
          <w:tab w:val="left" w:pos="928"/>
          <w:tab w:val="left" w:pos="1050"/>
        </w:tabs>
        <w:ind w:left="0" w:firstLine="567"/>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测试期间通过交易终端进行的密码修改、用户添加等用户管理相关操作，仅在测试期间有效，仅适用于202</w:t>
      </w:r>
      <w:r>
        <w:rPr>
          <w:rFonts w:hint="eastAsia" w:ascii="楷体_GB2312" w:hAnsi="楷体_GB2312" w:eastAsia="楷体_GB2312" w:cs="楷体_GB2312"/>
          <w:sz w:val="28"/>
          <w:szCs w:val="28"/>
          <w:lang w:val="en-US"/>
        </w:rPr>
        <w:t>3</w:t>
      </w:r>
      <w:r>
        <w:rPr>
          <w:rFonts w:hint="eastAsia" w:ascii="楷体_GB2312" w:hAnsi="楷体_GB2312" w:eastAsia="楷体_GB2312" w:cs="楷体_GB2312"/>
          <w:sz w:val="28"/>
          <w:szCs w:val="28"/>
        </w:rPr>
        <w:t>年</w:t>
      </w:r>
      <w:r>
        <w:rPr>
          <w:rFonts w:hint="eastAsia" w:ascii="楷体_GB2312" w:hAnsi="楷体_GB2312" w:eastAsia="楷体_GB2312" w:cs="楷体_GB2312"/>
          <w:sz w:val="28"/>
          <w:szCs w:val="28"/>
          <w:lang w:val="en-US" w:eastAsia="zh-CN"/>
        </w:rPr>
        <w:t>2</w:t>
      </w:r>
      <w:r>
        <w:rPr>
          <w:rFonts w:hint="eastAsia" w:ascii="楷体_GB2312" w:hAnsi="楷体_GB2312" w:eastAsia="楷体_GB2312" w:cs="楷体_GB2312"/>
          <w:sz w:val="28"/>
          <w:szCs w:val="28"/>
        </w:rPr>
        <w:t>月</w:t>
      </w:r>
      <w:r>
        <w:rPr>
          <w:rFonts w:hint="eastAsia" w:ascii="楷体_GB2312" w:hAnsi="楷体_GB2312" w:eastAsia="楷体_GB2312" w:cs="楷体_GB2312"/>
          <w:sz w:val="28"/>
          <w:szCs w:val="28"/>
          <w:lang w:val="en-US" w:eastAsia="zh-CN"/>
        </w:rPr>
        <w:t>11</w:t>
      </w:r>
      <w:r>
        <w:rPr>
          <w:rFonts w:hint="eastAsia" w:ascii="楷体_GB2312" w:hAnsi="楷体_GB2312" w:eastAsia="楷体_GB2312" w:cs="楷体_GB2312"/>
          <w:sz w:val="28"/>
          <w:szCs w:val="28"/>
        </w:rPr>
        <w:t>日</w:t>
      </w:r>
      <w:r>
        <w:rPr>
          <w:rFonts w:hint="eastAsia" w:ascii="楷体_GB2312" w:hAnsi="楷体_GB2312" w:eastAsia="楷体_GB2312" w:cs="楷体_GB2312"/>
          <w:sz w:val="28"/>
          <w:szCs w:val="28"/>
          <w:lang w:eastAsia="zh-CN"/>
        </w:rPr>
        <w:t>全网</w:t>
      </w:r>
      <w:r>
        <w:rPr>
          <w:rFonts w:hint="eastAsia" w:ascii="楷体_GB2312" w:hAnsi="楷体_GB2312" w:eastAsia="楷体_GB2312" w:cs="楷体_GB2312"/>
          <w:sz w:val="28"/>
          <w:szCs w:val="28"/>
        </w:rPr>
        <w:t>测试。</w:t>
      </w:r>
    </w:p>
    <w:p>
      <w:pPr>
        <w:numPr>
          <w:ilvl w:val="0"/>
          <w:numId w:val="7"/>
        </w:numPr>
        <w:tabs>
          <w:tab w:val="left" w:pos="840"/>
          <w:tab w:val="left" w:pos="928"/>
          <w:tab w:val="left" w:pos="1050"/>
        </w:tabs>
        <w:ind w:left="0" w:firstLine="567"/>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请各参测单位</w:t>
      </w:r>
      <w:r>
        <w:rPr>
          <w:rFonts w:hint="eastAsia" w:ascii="楷体_GB2312" w:hAnsi="楷体_GB2312" w:eastAsia="楷体_GB2312" w:cs="楷体_GB2312"/>
          <w:color w:val="000000"/>
          <w:sz w:val="28"/>
          <w:szCs w:val="28"/>
        </w:rPr>
        <w:t>根据自身技术系统情况，制定详尽的测试计划和操作流程。测试前</w:t>
      </w:r>
      <w:r>
        <w:rPr>
          <w:rFonts w:hint="eastAsia" w:ascii="楷体_GB2312" w:hAnsi="楷体_GB2312" w:eastAsia="楷体_GB2312" w:cs="楷体_GB2312"/>
          <w:sz w:val="28"/>
          <w:szCs w:val="28"/>
        </w:rPr>
        <w:t>先做好</w:t>
      </w:r>
      <w:r>
        <w:rPr>
          <w:rFonts w:hint="eastAsia" w:ascii="楷体_GB2312" w:hAnsi="楷体_GB2312" w:eastAsia="楷体_GB2312" w:cs="楷体_GB2312"/>
          <w:color w:val="000000"/>
          <w:sz w:val="28"/>
          <w:szCs w:val="28"/>
        </w:rPr>
        <w:t>线上系统和数据环境的保护工作</w:t>
      </w:r>
      <w:r>
        <w:rPr>
          <w:rFonts w:hint="eastAsia" w:ascii="楷体_GB2312" w:hAnsi="楷体_GB2312" w:eastAsia="楷体_GB2312" w:cs="楷体_GB2312"/>
          <w:sz w:val="28"/>
          <w:szCs w:val="28"/>
        </w:rPr>
        <w:t>，再准备202</w:t>
      </w:r>
      <w:r>
        <w:rPr>
          <w:rFonts w:hint="eastAsia" w:ascii="楷体_GB2312" w:hAnsi="楷体_GB2312" w:eastAsia="楷体_GB2312" w:cs="楷体_GB2312"/>
          <w:sz w:val="28"/>
          <w:szCs w:val="28"/>
          <w:lang w:val="en-US"/>
        </w:rPr>
        <w:t>3</w:t>
      </w:r>
      <w:r>
        <w:rPr>
          <w:rFonts w:hint="eastAsia" w:ascii="楷体_GB2312" w:hAnsi="楷体_GB2312" w:eastAsia="楷体_GB2312" w:cs="楷体_GB2312"/>
          <w:sz w:val="28"/>
          <w:szCs w:val="28"/>
        </w:rPr>
        <w:t>年</w:t>
      </w:r>
      <w:r>
        <w:rPr>
          <w:rFonts w:hint="eastAsia" w:ascii="楷体_GB2312" w:hAnsi="楷体_GB2312" w:eastAsia="楷体_GB2312" w:cs="楷体_GB2312"/>
          <w:sz w:val="28"/>
          <w:szCs w:val="28"/>
          <w:lang w:val="en-US" w:eastAsia="zh-CN"/>
        </w:rPr>
        <w:t>2</w:t>
      </w:r>
      <w:r>
        <w:rPr>
          <w:rFonts w:hint="eastAsia" w:ascii="楷体_GB2312" w:hAnsi="楷体_GB2312" w:eastAsia="楷体_GB2312" w:cs="楷体_GB2312"/>
          <w:sz w:val="28"/>
          <w:szCs w:val="28"/>
        </w:rPr>
        <w:t>月</w:t>
      </w:r>
      <w:r>
        <w:rPr>
          <w:rFonts w:hint="eastAsia" w:ascii="楷体_GB2312" w:hAnsi="楷体_GB2312" w:eastAsia="楷体_GB2312" w:cs="楷体_GB2312"/>
          <w:sz w:val="28"/>
          <w:szCs w:val="28"/>
          <w:lang w:val="en-US" w:eastAsia="zh-CN"/>
        </w:rPr>
        <w:t>11</w:t>
      </w:r>
      <w:r>
        <w:rPr>
          <w:rFonts w:hint="eastAsia" w:ascii="楷体_GB2312" w:hAnsi="楷体_GB2312" w:eastAsia="楷体_GB2312" w:cs="楷体_GB2312"/>
          <w:sz w:val="28"/>
          <w:szCs w:val="28"/>
        </w:rPr>
        <w:t>日测试相关数据。</w:t>
      </w:r>
      <w:r>
        <w:rPr>
          <w:rFonts w:hint="eastAsia" w:ascii="楷体_GB2312" w:hAnsi="楷体_GB2312" w:eastAsia="楷体_GB2312" w:cs="楷体_GB2312"/>
          <w:color w:val="000000"/>
          <w:sz w:val="28"/>
          <w:szCs w:val="28"/>
        </w:rPr>
        <w:t>测试完成后做好线上系统和数据环境的恢复工作，确保下一交易日（202</w:t>
      </w:r>
      <w:r>
        <w:rPr>
          <w:rFonts w:hint="eastAsia" w:ascii="楷体_GB2312" w:hAnsi="楷体_GB2312" w:eastAsia="楷体_GB2312" w:cs="楷体_GB2312"/>
          <w:color w:val="000000"/>
          <w:sz w:val="28"/>
          <w:szCs w:val="28"/>
          <w:lang w:val="en-US"/>
        </w:rPr>
        <w:t>3</w:t>
      </w:r>
      <w:r>
        <w:rPr>
          <w:rFonts w:hint="eastAsia" w:ascii="楷体_GB2312" w:hAnsi="楷体_GB2312" w:eastAsia="楷体_GB2312" w:cs="楷体_GB2312"/>
          <w:color w:val="000000"/>
          <w:sz w:val="28"/>
          <w:szCs w:val="28"/>
        </w:rPr>
        <w:t>年</w:t>
      </w:r>
      <w:r>
        <w:rPr>
          <w:rFonts w:hint="eastAsia" w:ascii="楷体_GB2312" w:hAnsi="楷体_GB2312" w:eastAsia="楷体_GB2312" w:cs="楷体_GB2312"/>
          <w:color w:val="000000"/>
          <w:sz w:val="28"/>
          <w:szCs w:val="28"/>
          <w:lang w:val="en-US" w:eastAsia="zh-CN"/>
        </w:rPr>
        <w:t>2</w:t>
      </w:r>
      <w:r>
        <w:rPr>
          <w:rFonts w:hint="eastAsia" w:ascii="楷体_GB2312" w:hAnsi="楷体_GB2312" w:eastAsia="楷体_GB2312" w:cs="楷体_GB2312"/>
          <w:color w:val="000000"/>
          <w:sz w:val="28"/>
          <w:szCs w:val="28"/>
        </w:rPr>
        <w:t>月</w:t>
      </w:r>
      <w:r>
        <w:rPr>
          <w:rFonts w:hint="eastAsia" w:ascii="楷体_GB2312" w:hAnsi="楷体_GB2312" w:eastAsia="楷体_GB2312" w:cs="楷体_GB2312"/>
          <w:color w:val="000000"/>
          <w:sz w:val="28"/>
          <w:szCs w:val="28"/>
          <w:lang w:val="en-US" w:eastAsia="zh-CN"/>
        </w:rPr>
        <w:t>13</w:t>
      </w:r>
      <w:r>
        <w:rPr>
          <w:rFonts w:hint="eastAsia" w:ascii="楷体_GB2312" w:hAnsi="楷体_GB2312" w:eastAsia="楷体_GB2312" w:cs="楷体_GB2312"/>
          <w:color w:val="000000"/>
          <w:sz w:val="28"/>
          <w:szCs w:val="28"/>
        </w:rPr>
        <w:t>日）生产系统的正确运行。</w:t>
      </w:r>
    </w:p>
    <w:p>
      <w:pPr>
        <w:numPr>
          <w:ilvl w:val="0"/>
          <w:numId w:val="7"/>
        </w:numPr>
        <w:tabs>
          <w:tab w:val="left" w:pos="840"/>
          <w:tab w:val="left" w:pos="928"/>
          <w:tab w:val="left" w:pos="1050"/>
        </w:tabs>
        <w:ind w:left="0" w:firstLine="567"/>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本次测试的数据仅为模拟测试数据，与实际业务无任何关系，不能作为生产环境任何交易、非交易、账户等业务的依据。</w:t>
      </w:r>
    </w:p>
    <w:p>
      <w:pPr>
        <w:numPr>
          <w:ilvl w:val="-1"/>
          <w:numId w:val="0"/>
        </w:numPr>
        <w:tabs>
          <w:tab w:val="left" w:pos="840"/>
          <w:tab w:val="left" w:pos="928"/>
          <w:tab w:val="left" w:pos="1050"/>
        </w:tabs>
        <w:ind w:left="567" w:firstLine="0"/>
        <w:rPr>
          <w:rFonts w:hint="eastAsia" w:ascii="楷体_GB2312" w:hAnsi="楷体_GB2312" w:eastAsia="楷体_GB2312" w:cs="楷体_GB2312"/>
          <w:sz w:val="28"/>
          <w:szCs w:val="28"/>
        </w:rPr>
      </w:pPr>
    </w:p>
    <w:p>
      <w:pPr>
        <w:numPr>
          <w:ilvl w:val="0"/>
          <w:numId w:val="1"/>
        </w:numPr>
        <w:ind w:left="0" w:firstLine="0"/>
        <w:outlineLvl w:val="0"/>
        <w:rPr>
          <w:rFonts w:hint="eastAsia" w:ascii="楷体_GB2312" w:hAnsi="楷体_GB2312" w:eastAsia="楷体_GB2312" w:cs="楷体_GB2312"/>
          <w:b/>
          <w:sz w:val="28"/>
          <w:szCs w:val="28"/>
        </w:rPr>
      </w:pPr>
      <w:r>
        <w:rPr>
          <w:rFonts w:hint="eastAsia" w:ascii="楷体_GB2312" w:hAnsi="楷体_GB2312" w:eastAsia="楷体_GB2312" w:cs="楷体_GB2312"/>
          <w:b/>
          <w:sz w:val="28"/>
          <w:szCs w:val="28"/>
          <w:lang w:eastAsia="zh-CN"/>
        </w:rPr>
        <w:t>测试要求</w:t>
      </w:r>
    </w:p>
    <w:p>
      <w:pPr>
        <w:numPr>
          <w:ilvl w:val="0"/>
          <w:numId w:val="8"/>
        </w:numPr>
        <w:tabs>
          <w:tab w:val="left" w:pos="840"/>
          <w:tab w:val="left" w:pos="928"/>
          <w:tab w:val="left" w:pos="1050"/>
        </w:tabs>
        <w:ind w:left="0" w:firstLine="567"/>
        <w:rPr>
          <w:rFonts w:hint="eastAsia" w:ascii="楷体_GB2312" w:hAnsi="楷体_GB2312" w:eastAsia="楷体_GB2312" w:cs="楷体_GB2312"/>
          <w:sz w:val="28"/>
          <w:szCs w:val="28"/>
        </w:rPr>
      </w:pPr>
      <w:r>
        <w:rPr>
          <w:rFonts w:hint="eastAsia" w:ascii="楷体_GB2312" w:hAnsi="楷体_GB2312" w:eastAsia="楷体_GB2312" w:cs="楷体_GB2312"/>
          <w:kern w:val="2"/>
          <w:sz w:val="28"/>
          <w:szCs w:val="28"/>
        </w:rPr>
        <w:t>请各相关单位务必参加测试。</w:t>
      </w:r>
      <w:r>
        <w:rPr>
          <w:rFonts w:hint="eastAsia" w:ascii="楷体_GB2312" w:hAnsi="楷体_GB2312" w:eastAsia="楷体_GB2312" w:cs="楷体_GB2312"/>
          <w:sz w:val="28"/>
          <w:szCs w:val="28"/>
        </w:rPr>
        <w:t>因故不能参加测试者，请务必填写反馈表（参见附件</w:t>
      </w:r>
      <w:r>
        <w:rPr>
          <w:rFonts w:hint="eastAsia" w:ascii="楷体_GB2312" w:hAnsi="楷体_GB2312" w:eastAsia="楷体_GB2312" w:cs="楷体_GB2312"/>
          <w:sz w:val="28"/>
          <w:szCs w:val="28"/>
          <w:lang w:val="en-US" w:eastAsia="zh-CN"/>
        </w:rPr>
        <w:t>1</w:t>
      </w:r>
      <w:r>
        <w:rPr>
          <w:rFonts w:hint="eastAsia" w:ascii="楷体_GB2312" w:hAnsi="楷体_GB2312" w:eastAsia="楷体_GB2312" w:cs="楷体_GB2312"/>
          <w:sz w:val="28"/>
          <w:szCs w:val="28"/>
        </w:rPr>
        <w:t>）说明原因，并通知深交所。</w:t>
      </w:r>
    </w:p>
    <w:p>
      <w:pPr>
        <w:numPr>
          <w:ilvl w:val="0"/>
          <w:numId w:val="8"/>
        </w:numPr>
        <w:tabs>
          <w:tab w:val="left" w:pos="840"/>
          <w:tab w:val="left" w:pos="928"/>
          <w:tab w:val="left" w:pos="1050"/>
        </w:tabs>
        <w:ind w:left="0" w:firstLine="567"/>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在测试过程中，请各参测单位详细记载测试现象与结果，检查其正确性。如发现异常现象，请及时报告。</w:t>
      </w:r>
    </w:p>
    <w:p>
      <w:pPr>
        <w:numPr>
          <w:ilvl w:val="0"/>
          <w:numId w:val="8"/>
        </w:numPr>
        <w:tabs>
          <w:tab w:val="left" w:pos="840"/>
          <w:tab w:val="left" w:pos="928"/>
          <w:tab w:val="left" w:pos="1050"/>
        </w:tabs>
        <w:ind w:left="0" w:firstLine="567"/>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测试完成后，各参测单位应在</w:t>
      </w:r>
      <w:r>
        <w:rPr>
          <w:rFonts w:hint="eastAsia" w:ascii="楷体_GB2312" w:hAnsi="楷体_GB2312" w:eastAsia="楷体_GB2312" w:cs="楷体_GB2312"/>
          <w:color w:val="FF0000"/>
          <w:sz w:val="28"/>
          <w:szCs w:val="28"/>
        </w:rPr>
        <w:t>202</w:t>
      </w:r>
      <w:r>
        <w:rPr>
          <w:rFonts w:hint="eastAsia" w:ascii="楷体_GB2312" w:hAnsi="楷体_GB2312" w:eastAsia="楷体_GB2312" w:cs="楷体_GB2312"/>
          <w:color w:val="FF0000"/>
          <w:sz w:val="28"/>
          <w:szCs w:val="28"/>
          <w:lang w:val="en-US"/>
        </w:rPr>
        <w:t>3</w:t>
      </w:r>
      <w:r>
        <w:rPr>
          <w:rFonts w:hint="eastAsia" w:ascii="楷体_GB2312" w:hAnsi="楷体_GB2312" w:eastAsia="楷体_GB2312" w:cs="楷体_GB2312"/>
          <w:color w:val="FF0000"/>
          <w:sz w:val="28"/>
          <w:szCs w:val="28"/>
        </w:rPr>
        <w:t>年</w:t>
      </w:r>
      <w:r>
        <w:rPr>
          <w:rFonts w:hint="eastAsia" w:ascii="楷体_GB2312" w:hAnsi="楷体_GB2312" w:eastAsia="楷体_GB2312" w:cs="楷体_GB2312"/>
          <w:color w:val="FF0000"/>
          <w:sz w:val="28"/>
          <w:szCs w:val="28"/>
          <w:lang w:val="en-US"/>
        </w:rPr>
        <w:t>2</w:t>
      </w:r>
      <w:r>
        <w:rPr>
          <w:rFonts w:hint="eastAsia" w:ascii="楷体_GB2312" w:hAnsi="楷体_GB2312" w:eastAsia="楷体_GB2312" w:cs="楷体_GB2312"/>
          <w:color w:val="FF0000"/>
          <w:sz w:val="28"/>
          <w:szCs w:val="28"/>
        </w:rPr>
        <w:t>月1</w:t>
      </w:r>
      <w:r>
        <w:rPr>
          <w:rFonts w:hint="eastAsia" w:ascii="楷体_GB2312" w:hAnsi="楷体_GB2312" w:eastAsia="楷体_GB2312" w:cs="楷体_GB2312"/>
          <w:color w:val="FF0000"/>
          <w:sz w:val="28"/>
          <w:szCs w:val="28"/>
          <w:lang w:val="en-US"/>
        </w:rPr>
        <w:t>1</w:t>
      </w:r>
      <w:r>
        <w:rPr>
          <w:rFonts w:hint="eastAsia" w:ascii="楷体_GB2312" w:hAnsi="楷体_GB2312" w:eastAsia="楷体_GB2312" w:cs="楷体_GB2312"/>
          <w:color w:val="FF0000"/>
          <w:sz w:val="28"/>
          <w:szCs w:val="28"/>
        </w:rPr>
        <w:t>日</w:t>
      </w:r>
      <w:r>
        <w:rPr>
          <w:rFonts w:hint="eastAsia" w:ascii="楷体_GB2312" w:hAnsi="楷体_GB2312" w:eastAsia="楷体_GB2312" w:cs="楷体_GB2312"/>
          <w:color w:val="FF0000"/>
          <w:sz w:val="28"/>
          <w:szCs w:val="28"/>
          <w:lang w:val="en-US" w:eastAsia="zh-CN"/>
        </w:rPr>
        <w:t>14</w:t>
      </w:r>
      <w:r>
        <w:rPr>
          <w:rFonts w:hint="eastAsia" w:ascii="楷体_GB2312" w:hAnsi="楷体_GB2312" w:eastAsia="楷体_GB2312" w:cs="楷体_GB2312"/>
          <w:color w:val="FF0000"/>
          <w:sz w:val="28"/>
          <w:szCs w:val="28"/>
        </w:rPr>
        <w:t>:</w:t>
      </w:r>
      <w:r>
        <w:rPr>
          <w:rFonts w:hint="eastAsia" w:ascii="楷体_GB2312" w:hAnsi="楷体_GB2312" w:eastAsia="楷体_GB2312" w:cs="楷体_GB2312"/>
          <w:color w:val="FF0000"/>
          <w:sz w:val="28"/>
          <w:szCs w:val="28"/>
          <w:lang w:val="en-US" w:eastAsia="zh-CN"/>
        </w:rPr>
        <w:t>30</w:t>
      </w:r>
      <w:r>
        <w:rPr>
          <w:rFonts w:hint="eastAsia" w:ascii="楷体_GB2312" w:hAnsi="楷体_GB2312" w:eastAsia="楷体_GB2312" w:cs="楷体_GB2312"/>
          <w:sz w:val="28"/>
          <w:szCs w:val="28"/>
        </w:rPr>
        <w:t>前提交测试反馈表（见附件</w:t>
      </w:r>
      <w:r>
        <w:rPr>
          <w:rFonts w:hint="eastAsia" w:ascii="楷体_GB2312" w:hAnsi="楷体_GB2312" w:eastAsia="楷体_GB2312" w:cs="楷体_GB2312"/>
          <w:sz w:val="28"/>
          <w:szCs w:val="28"/>
          <w:lang w:val="en-US" w:eastAsia="zh-CN"/>
        </w:rPr>
        <w:t>1</w:t>
      </w:r>
      <w:r>
        <w:rPr>
          <w:rFonts w:hint="eastAsia" w:ascii="楷体_GB2312" w:hAnsi="楷体_GB2312" w:eastAsia="楷体_GB2312" w:cs="楷体_GB2312"/>
          <w:sz w:val="28"/>
          <w:szCs w:val="28"/>
        </w:rPr>
        <w:t>）。请会员单位、基金管理公司等交易参与者登录深交所“会员业务专区”首页底部“友情链接―在线调查表”栏目填写并提交反馈表（填报内容支持更新）；结算参与机构、托管</w:t>
      </w:r>
      <w:r>
        <w:rPr>
          <w:rFonts w:hint="eastAsia" w:ascii="楷体_GB2312" w:hAnsi="楷体_GB2312" w:eastAsia="楷体_GB2312" w:cs="楷体_GB2312"/>
          <w:sz w:val="28"/>
          <w:szCs w:val="28"/>
          <w:lang w:eastAsia="zh-CN"/>
        </w:rPr>
        <w:t>人</w:t>
      </w:r>
      <w:r>
        <w:rPr>
          <w:rFonts w:hint="eastAsia" w:ascii="楷体_GB2312" w:hAnsi="楷体_GB2312" w:eastAsia="楷体_GB2312" w:cs="楷体_GB2312"/>
          <w:sz w:val="28"/>
          <w:szCs w:val="28"/>
        </w:rPr>
        <w:t>等无法登录会员业务专区的参测单位,请通过互联网地址https://survey.szse.cn/v/tech填写反馈表（填报内容不支持更新，多次提交以最后一次为准）。</w:t>
      </w:r>
    </w:p>
    <w:p>
      <w:pPr>
        <w:widowControl w:val="0"/>
        <w:numPr>
          <w:ilvl w:val="0"/>
          <w:numId w:val="0"/>
        </w:numPr>
        <w:tabs>
          <w:tab w:val="left" w:pos="420"/>
        </w:tabs>
        <w:jc w:val="both"/>
        <w:outlineLvl w:val="0"/>
        <w:rPr>
          <w:rFonts w:hint="eastAsia" w:ascii="楷体_GB2312" w:hAnsi="楷体_GB2312" w:eastAsia="楷体_GB2312" w:cs="楷体_GB2312"/>
          <w:b/>
          <w:sz w:val="28"/>
          <w:szCs w:val="28"/>
        </w:rPr>
      </w:pPr>
    </w:p>
    <w:p>
      <w:pPr>
        <w:numPr>
          <w:ilvl w:val="0"/>
          <w:numId w:val="1"/>
        </w:numPr>
        <w:outlineLvl w:val="0"/>
        <w:rPr>
          <w:rFonts w:hint="eastAsia" w:ascii="楷体_GB2312" w:hAnsi="楷体_GB2312" w:eastAsia="楷体_GB2312" w:cs="楷体_GB2312"/>
          <w:b/>
          <w:sz w:val="28"/>
          <w:szCs w:val="28"/>
        </w:rPr>
      </w:pPr>
      <w:r>
        <w:rPr>
          <w:rFonts w:hint="eastAsia" w:ascii="楷体_GB2312" w:hAnsi="楷体_GB2312" w:eastAsia="楷体_GB2312" w:cs="楷体_GB2312"/>
          <w:b/>
          <w:sz w:val="28"/>
          <w:szCs w:val="28"/>
        </w:rPr>
        <w:t>联系电话</w:t>
      </w:r>
    </w:p>
    <w:p>
      <w:pPr>
        <w:widowControl/>
        <w:shd w:val="clear"/>
        <w:spacing w:line="360" w:lineRule="atLeast"/>
        <w:jc w:val="left"/>
        <w:rPr>
          <w:rFonts w:hint="eastAsia" w:ascii="楷体_GB2312" w:hAnsi="楷体_GB2312" w:eastAsia="楷体_GB2312" w:cs="楷体_GB2312"/>
          <w:sz w:val="28"/>
          <w:szCs w:val="28"/>
          <w:highlight w:val="none"/>
          <w:lang w:val="en-US"/>
        </w:rPr>
      </w:pPr>
      <w:r>
        <w:rPr>
          <w:rFonts w:hint="eastAsia" w:ascii="楷体_GB2312" w:hAnsi="楷体_GB2312" w:eastAsia="楷体_GB2312" w:cs="楷体_GB2312"/>
          <w:sz w:val="28"/>
          <w:szCs w:val="28"/>
          <w:highlight w:val="none"/>
          <w:lang w:val="en-US"/>
        </w:rPr>
        <w:t>技术咨询电话：</w:t>
      </w:r>
    </w:p>
    <w:p>
      <w:pPr>
        <w:widowControl/>
        <w:shd w:val="clear"/>
        <w:spacing w:line="360" w:lineRule="atLeast"/>
        <w:ind w:firstLine="1120" w:firstLineChars="400"/>
        <w:jc w:val="left"/>
        <w:rPr>
          <w:rFonts w:hint="eastAsia" w:ascii="楷体_GB2312" w:hAnsi="楷体_GB2312" w:eastAsia="楷体_GB2312" w:cs="楷体_GB2312"/>
          <w:sz w:val="28"/>
          <w:szCs w:val="28"/>
          <w:highlight w:val="none"/>
          <w:lang w:val="en-US" w:eastAsia="zh-CN"/>
        </w:rPr>
      </w:pPr>
      <w:r>
        <w:rPr>
          <w:rFonts w:hint="eastAsia" w:ascii="楷体_GB2312" w:hAnsi="楷体_GB2312" w:eastAsia="楷体_GB2312" w:cs="楷体_GB2312"/>
          <w:sz w:val="28"/>
          <w:szCs w:val="28"/>
          <w:highlight w:val="none"/>
          <w:lang w:val="en-US"/>
        </w:rPr>
        <w:t>深圳证券交易所：0755-</w:t>
      </w:r>
      <w:r>
        <w:rPr>
          <w:rFonts w:hint="eastAsia" w:ascii="楷体_GB2312" w:hAnsi="楷体_GB2312" w:eastAsia="楷体_GB2312" w:cs="楷体_GB2312"/>
          <w:sz w:val="28"/>
          <w:szCs w:val="28"/>
          <w:highlight w:val="none"/>
          <w:lang w:val="en-US" w:eastAsia="zh-CN"/>
        </w:rPr>
        <w:t>82083510</w:t>
      </w:r>
    </w:p>
    <w:p>
      <w:pPr>
        <w:widowControl/>
        <w:shd w:val="clear"/>
        <w:spacing w:line="360" w:lineRule="atLeast"/>
        <w:ind w:firstLine="1120" w:firstLineChars="400"/>
        <w:jc w:val="left"/>
        <w:rPr>
          <w:rFonts w:hint="eastAsia" w:ascii="楷体_GB2312" w:hAnsi="楷体_GB2312" w:eastAsia="楷体_GB2312" w:cs="楷体_GB2312"/>
          <w:sz w:val="28"/>
          <w:szCs w:val="28"/>
          <w:highlight w:val="none"/>
          <w:lang w:val="en-US"/>
        </w:rPr>
      </w:pPr>
      <w:r>
        <w:rPr>
          <w:rFonts w:hint="eastAsia" w:ascii="楷体_GB2312" w:hAnsi="楷体_GB2312" w:eastAsia="楷体_GB2312" w:cs="楷体_GB2312"/>
          <w:sz w:val="28"/>
          <w:szCs w:val="28"/>
          <w:highlight w:val="none"/>
          <w:lang w:val="en-US"/>
        </w:rPr>
        <w:t>中国结算深圳分公司：0755-88666429（仅测试期间）</w:t>
      </w:r>
    </w:p>
    <w:p>
      <w:pPr>
        <w:widowControl/>
        <w:shd w:val="clear"/>
        <w:spacing w:line="360" w:lineRule="atLeast"/>
        <w:ind w:firstLine="1120" w:firstLineChars="400"/>
        <w:jc w:val="left"/>
        <w:rPr>
          <w:rFonts w:hint="eastAsia" w:ascii="楷体_GB2312" w:hAnsi="楷体_GB2312" w:eastAsia="楷体_GB2312" w:cs="楷体_GB2312"/>
          <w:sz w:val="28"/>
          <w:szCs w:val="28"/>
          <w:highlight w:val="none"/>
          <w:lang w:val="en-US"/>
        </w:rPr>
      </w:pPr>
      <w:r>
        <w:rPr>
          <w:rFonts w:hint="eastAsia" w:ascii="楷体_GB2312" w:hAnsi="楷体_GB2312" w:eastAsia="楷体_GB2312" w:cs="楷体_GB2312"/>
          <w:color w:val="auto"/>
          <w:kern w:val="2"/>
          <w:sz w:val="28"/>
          <w:szCs w:val="28"/>
          <w:highlight w:val="none"/>
        </w:rPr>
        <w:t>深圳证券通信有限公司：0755-83182222</w:t>
      </w:r>
    </w:p>
    <w:p>
      <w:pPr>
        <w:widowControl/>
        <w:shd w:val="clear"/>
        <w:spacing w:line="360" w:lineRule="atLeast"/>
        <w:jc w:val="left"/>
        <w:rPr>
          <w:rFonts w:hint="eastAsia" w:ascii="楷体_GB2312" w:hAnsi="楷体_GB2312" w:eastAsia="楷体_GB2312" w:cs="楷体_GB2312"/>
          <w:sz w:val="28"/>
          <w:szCs w:val="28"/>
          <w:highlight w:val="none"/>
          <w:lang w:val="en-US"/>
        </w:rPr>
      </w:pPr>
      <w:r>
        <w:rPr>
          <w:rFonts w:hint="eastAsia" w:ascii="楷体_GB2312" w:hAnsi="楷体_GB2312" w:eastAsia="楷体_GB2312" w:cs="楷体_GB2312"/>
          <w:sz w:val="28"/>
          <w:szCs w:val="28"/>
          <w:highlight w:val="none"/>
          <w:lang w:val="en-US"/>
        </w:rPr>
        <w:t>业务咨询电话：</w:t>
      </w:r>
    </w:p>
    <w:p>
      <w:pPr>
        <w:widowControl/>
        <w:shd w:val="clear"/>
        <w:spacing w:line="360" w:lineRule="atLeast"/>
        <w:ind w:firstLine="1120" w:firstLineChars="400"/>
        <w:jc w:val="left"/>
        <w:rPr>
          <w:rFonts w:hint="eastAsia" w:ascii="楷体_GB2312" w:hAnsi="楷体_GB2312" w:eastAsia="楷体_GB2312" w:cs="楷体_GB2312"/>
          <w:sz w:val="28"/>
          <w:szCs w:val="28"/>
          <w:highlight w:val="none"/>
          <w:lang w:val="en-US"/>
        </w:rPr>
      </w:pPr>
      <w:r>
        <w:rPr>
          <w:rFonts w:hint="eastAsia" w:ascii="楷体_GB2312" w:hAnsi="楷体_GB2312" w:eastAsia="楷体_GB2312" w:cs="楷体_GB2312"/>
          <w:sz w:val="28"/>
          <w:szCs w:val="28"/>
          <w:highlight w:val="none"/>
          <w:lang w:val="en-US"/>
        </w:rPr>
        <w:t>深圳证券交易所：0755-88668453（港股通）</w:t>
      </w:r>
    </w:p>
    <w:p>
      <w:pPr>
        <w:widowControl/>
        <w:shd w:val="clear"/>
        <w:spacing w:line="360" w:lineRule="atLeast"/>
        <w:ind w:firstLine="1120" w:firstLineChars="400"/>
        <w:jc w:val="left"/>
        <w:rPr>
          <w:rFonts w:hint="eastAsia" w:ascii="楷体_GB2312" w:hAnsi="楷体_GB2312" w:eastAsia="楷体_GB2312" w:cs="楷体_GB2312"/>
          <w:sz w:val="28"/>
          <w:szCs w:val="28"/>
          <w:highlight w:val="none"/>
          <w:lang w:val="en-US"/>
        </w:rPr>
      </w:pPr>
      <w:r>
        <w:rPr>
          <w:rFonts w:hint="eastAsia" w:ascii="楷体_GB2312" w:hAnsi="楷体_GB2312" w:eastAsia="楷体_GB2312" w:cs="楷体_GB2312"/>
          <w:sz w:val="28"/>
          <w:szCs w:val="28"/>
          <w:highlight w:val="none"/>
          <w:lang w:val="en-US"/>
        </w:rPr>
        <w:t>中国结算深圳分公司：0755-21899208（港股通）</w:t>
      </w:r>
    </w:p>
    <w:p>
      <w:pPr>
        <w:widowControl/>
        <w:spacing w:line="360" w:lineRule="atLeast"/>
        <w:jc w:val="left"/>
        <w:rPr>
          <w:rFonts w:hint="eastAsia" w:ascii="楷体_GB2312" w:hAnsi="楷体_GB2312" w:eastAsia="楷体_GB2312" w:cs="楷体_GB2312"/>
          <w:kern w:val="0"/>
          <w:sz w:val="28"/>
          <w:szCs w:val="28"/>
        </w:rPr>
      </w:pPr>
    </w:p>
    <w:p>
      <w:pPr>
        <w:widowControl/>
        <w:spacing w:line="360" w:lineRule="atLeast"/>
        <w:ind w:firstLine="360"/>
        <w:jc w:val="right"/>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深圳证券交易所</w:t>
      </w:r>
    </w:p>
    <w:p>
      <w:pPr>
        <w:widowControl/>
        <w:spacing w:line="360" w:lineRule="atLeast"/>
        <w:ind w:firstLine="360"/>
        <w:jc w:val="right"/>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中国证券登记结算有限责任公司深圳分公司</w:t>
      </w:r>
    </w:p>
    <w:p>
      <w:pPr>
        <w:widowControl/>
        <w:spacing w:line="360" w:lineRule="atLeast"/>
        <w:ind w:firstLine="360"/>
        <w:jc w:val="right"/>
        <w:rPr>
          <w:rFonts w:hint="eastAsia" w:ascii="楷体_GB2312" w:hAnsi="楷体_GB2312" w:eastAsia="楷体_GB2312" w:cs="楷体_GB2312"/>
          <w:kern w:val="0"/>
          <w:sz w:val="28"/>
          <w:szCs w:val="28"/>
        </w:rPr>
      </w:pPr>
      <w:r>
        <w:rPr>
          <w:rFonts w:hint="eastAsia" w:ascii="楷体_GB2312" w:hAnsi="楷体_GB2312" w:eastAsia="楷体_GB2312" w:cs="楷体_GB2312"/>
          <w:kern w:val="0"/>
          <w:sz w:val="28"/>
          <w:szCs w:val="28"/>
        </w:rPr>
        <w:t>202</w:t>
      </w:r>
      <w:r>
        <w:rPr>
          <w:rFonts w:hint="eastAsia" w:ascii="楷体_GB2312" w:hAnsi="楷体_GB2312" w:eastAsia="楷体_GB2312" w:cs="楷体_GB2312"/>
          <w:kern w:val="0"/>
          <w:sz w:val="28"/>
          <w:szCs w:val="28"/>
          <w:lang w:val="en-US"/>
        </w:rPr>
        <w:t>3</w:t>
      </w:r>
      <w:r>
        <w:rPr>
          <w:rFonts w:hint="eastAsia" w:ascii="楷体_GB2312" w:hAnsi="楷体_GB2312" w:eastAsia="楷体_GB2312" w:cs="楷体_GB2312"/>
          <w:kern w:val="0"/>
          <w:sz w:val="28"/>
          <w:szCs w:val="28"/>
        </w:rPr>
        <w:t>年</w:t>
      </w:r>
      <w:r>
        <w:rPr>
          <w:rFonts w:hint="eastAsia" w:ascii="楷体_GB2312" w:hAnsi="楷体_GB2312" w:eastAsia="楷体_GB2312" w:cs="楷体_GB2312"/>
          <w:kern w:val="0"/>
          <w:sz w:val="28"/>
          <w:szCs w:val="28"/>
          <w:highlight w:val="none"/>
          <w:lang w:val="en-US"/>
        </w:rPr>
        <w:t>2</w:t>
      </w:r>
      <w:r>
        <w:rPr>
          <w:rFonts w:hint="eastAsia" w:ascii="楷体_GB2312" w:hAnsi="楷体_GB2312" w:eastAsia="楷体_GB2312" w:cs="楷体_GB2312"/>
          <w:kern w:val="0"/>
          <w:sz w:val="28"/>
          <w:szCs w:val="28"/>
          <w:highlight w:val="none"/>
        </w:rPr>
        <w:t>月</w:t>
      </w:r>
      <w:r>
        <w:rPr>
          <w:rFonts w:hint="eastAsia" w:ascii="楷体_GB2312" w:hAnsi="楷体_GB2312" w:eastAsia="楷体_GB2312" w:cs="楷体_GB2312"/>
          <w:kern w:val="0"/>
          <w:sz w:val="28"/>
          <w:szCs w:val="28"/>
          <w:highlight w:val="none"/>
          <w:lang w:val="en-US" w:eastAsia="zh-CN"/>
        </w:rPr>
        <w:t>7</w:t>
      </w:r>
      <w:bookmarkStart w:id="0" w:name="_GoBack"/>
      <w:bookmarkEnd w:id="0"/>
      <w:r>
        <w:rPr>
          <w:rFonts w:hint="eastAsia" w:ascii="楷体_GB2312" w:hAnsi="楷体_GB2312" w:eastAsia="楷体_GB2312" w:cs="楷体_GB2312"/>
          <w:kern w:val="0"/>
          <w:sz w:val="28"/>
          <w:szCs w:val="28"/>
        </w:rPr>
        <w:t>日</w:t>
      </w:r>
    </w:p>
    <w:p>
      <w:pPr>
        <w:pStyle w:val="4"/>
        <w:spacing w:after="156"/>
        <w:rPr>
          <w:rFonts w:hint="eastAsia" w:ascii="楷体_GB2312" w:hAnsi="楷体_GB2312" w:eastAsia="楷体_GB2312" w:cs="楷体_GB2312"/>
          <w:b/>
          <w:color w:val="000000"/>
          <w:szCs w:val="28"/>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4"/>
        <w:spacing w:after="156"/>
        <w:rPr>
          <w:rFonts w:hint="eastAsia" w:ascii="楷体_GB2312" w:hAnsi="楷体_GB2312" w:eastAsia="楷体_GB2312" w:cs="楷体_GB2312"/>
          <w:b/>
          <w:color w:val="000000"/>
          <w:szCs w:val="28"/>
        </w:rPr>
      </w:pPr>
      <w:r>
        <w:rPr>
          <w:rFonts w:hint="eastAsia" w:ascii="楷体_GB2312" w:hAnsi="楷体_GB2312" w:eastAsia="楷体_GB2312" w:cs="楷体_GB2312"/>
          <w:b/>
          <w:color w:val="000000"/>
          <w:szCs w:val="28"/>
        </w:rPr>
        <w:t>附件</w:t>
      </w:r>
      <w:r>
        <w:rPr>
          <w:rFonts w:hint="eastAsia" w:ascii="楷体_GB2312" w:hAnsi="楷体_GB2312" w:cs="楷体_GB2312"/>
          <w:b/>
          <w:color w:val="000000"/>
          <w:szCs w:val="28"/>
        </w:rPr>
        <w:t>1</w:t>
      </w:r>
    </w:p>
    <w:p>
      <w:pPr>
        <w:widowControl/>
        <w:spacing w:line="360" w:lineRule="atLeast"/>
        <w:ind w:left="420" w:hanging="420"/>
        <w:jc w:val="center"/>
        <w:outlineLvl w:val="0"/>
        <w:rPr>
          <w:rFonts w:hint="eastAsia" w:ascii="楷体_GB2312" w:hAnsi="楷体_GB2312" w:eastAsia="楷体_GB2312" w:cs="楷体_GB2312"/>
          <w:b/>
          <w:kern w:val="0"/>
          <w:sz w:val="30"/>
          <w:szCs w:val="30"/>
        </w:rPr>
      </w:pPr>
      <w:r>
        <w:rPr>
          <w:rFonts w:hint="eastAsia" w:ascii="楷体_GB2312" w:hAnsi="楷体_GB2312" w:eastAsia="楷体_GB2312" w:cs="楷体_GB2312"/>
          <w:b/>
          <w:kern w:val="0"/>
          <w:sz w:val="30"/>
          <w:szCs w:val="30"/>
        </w:rPr>
        <w:t>深市港股通交易日历优化业务202</w:t>
      </w:r>
      <w:r>
        <w:rPr>
          <w:rFonts w:hint="eastAsia" w:ascii="楷体_GB2312" w:hAnsi="楷体_GB2312" w:eastAsia="楷体_GB2312" w:cs="楷体_GB2312"/>
          <w:b/>
          <w:kern w:val="0"/>
          <w:sz w:val="30"/>
          <w:szCs w:val="30"/>
          <w:lang w:val="en-US"/>
        </w:rPr>
        <w:t>3</w:t>
      </w:r>
      <w:r>
        <w:rPr>
          <w:rFonts w:hint="eastAsia" w:ascii="楷体_GB2312" w:hAnsi="楷体_GB2312" w:eastAsia="楷体_GB2312" w:cs="楷体_GB2312"/>
          <w:b/>
          <w:kern w:val="0"/>
          <w:sz w:val="30"/>
          <w:szCs w:val="30"/>
        </w:rPr>
        <w:t>年</w:t>
      </w:r>
      <w:r>
        <w:rPr>
          <w:rFonts w:hint="eastAsia" w:ascii="楷体_GB2312" w:hAnsi="楷体_GB2312" w:eastAsia="楷体_GB2312" w:cs="楷体_GB2312"/>
          <w:b/>
          <w:kern w:val="0"/>
          <w:sz w:val="30"/>
          <w:szCs w:val="30"/>
          <w:lang w:val="en-US"/>
        </w:rPr>
        <w:t>2</w:t>
      </w:r>
      <w:r>
        <w:rPr>
          <w:rFonts w:hint="eastAsia" w:ascii="楷体_GB2312" w:hAnsi="楷体_GB2312" w:eastAsia="楷体_GB2312" w:cs="楷体_GB2312"/>
          <w:b/>
          <w:kern w:val="0"/>
          <w:sz w:val="30"/>
          <w:szCs w:val="30"/>
        </w:rPr>
        <w:t>月11日全网测试反馈表</w:t>
      </w:r>
    </w:p>
    <w:tbl>
      <w:tblPr>
        <w:tblStyle w:val="11"/>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会员代码</w:t>
            </w:r>
          </w:p>
          <w:p>
            <w:pPr>
              <w:jc w:val="cente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（仅会员填写）</w:t>
            </w:r>
          </w:p>
        </w:tc>
        <w:tc>
          <w:tcPr>
            <w:tcW w:w="2694" w:type="dxa"/>
            <w:tcBorders>
              <w:top w:val="single" w:color="auto" w:sz="4" w:space="0"/>
              <w:left w:val="nil"/>
              <w:bottom w:val="single" w:color="auto" w:sz="4" w:space="0"/>
              <w:right w:val="single" w:color="auto" w:sz="4" w:space="0"/>
            </w:tcBorders>
          </w:tcPr>
          <w:p>
            <w:pPr>
              <w:rPr>
                <w:rFonts w:hint="eastAsia" w:ascii="楷体_GB2312" w:hAnsi="楷体_GB2312" w:eastAsia="楷体_GB2312" w:cs="楷体_GB2312"/>
                <w:sz w:val="20"/>
                <w:szCs w:val="20"/>
              </w:rPr>
            </w:pPr>
          </w:p>
        </w:tc>
        <w:tc>
          <w:tcPr>
            <w:tcW w:w="1417" w:type="dxa"/>
            <w:gridSpan w:val="2"/>
            <w:tcBorders>
              <w:top w:val="single" w:color="auto" w:sz="4" w:space="0"/>
              <w:left w:val="nil"/>
              <w:bottom w:val="single" w:color="auto" w:sz="4" w:space="0"/>
              <w:right w:val="single" w:color="auto" w:sz="4" w:space="0"/>
            </w:tcBorders>
          </w:tcPr>
          <w:p>
            <w:pPr>
              <w:jc w:val="cente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公司名称</w:t>
            </w:r>
          </w:p>
        </w:tc>
        <w:tc>
          <w:tcPr>
            <w:tcW w:w="2835" w:type="dxa"/>
            <w:tcBorders>
              <w:top w:val="single" w:color="auto" w:sz="4" w:space="0"/>
              <w:left w:val="nil"/>
              <w:bottom w:val="single" w:color="auto" w:sz="4" w:space="0"/>
              <w:right w:val="single" w:color="auto" w:sz="4" w:space="0"/>
            </w:tcBorders>
          </w:tcPr>
          <w:p>
            <w:pPr>
              <w:rPr>
                <w:rFonts w:hint="eastAsia"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联系人</w:t>
            </w:r>
          </w:p>
        </w:tc>
        <w:tc>
          <w:tcPr>
            <w:tcW w:w="2694" w:type="dxa"/>
            <w:tcBorders>
              <w:top w:val="single" w:color="auto" w:sz="4" w:space="0"/>
              <w:left w:val="nil"/>
              <w:bottom w:val="single" w:color="auto" w:sz="4" w:space="0"/>
              <w:right w:val="single" w:color="auto" w:sz="4" w:space="0"/>
            </w:tcBorders>
          </w:tcPr>
          <w:p>
            <w:pPr>
              <w:rPr>
                <w:rFonts w:hint="eastAsia" w:ascii="楷体_GB2312" w:hAnsi="楷体_GB2312" w:eastAsia="楷体_GB2312" w:cs="楷体_GB2312"/>
                <w:sz w:val="20"/>
                <w:szCs w:val="20"/>
              </w:rPr>
            </w:pPr>
          </w:p>
        </w:tc>
        <w:tc>
          <w:tcPr>
            <w:tcW w:w="1417" w:type="dxa"/>
            <w:gridSpan w:val="2"/>
            <w:tcBorders>
              <w:top w:val="single" w:color="auto" w:sz="4" w:space="0"/>
              <w:left w:val="nil"/>
              <w:bottom w:val="single" w:color="auto" w:sz="4" w:space="0"/>
              <w:right w:val="single" w:color="auto" w:sz="4" w:space="0"/>
            </w:tcBorders>
          </w:tcPr>
          <w:p>
            <w:pPr>
              <w:jc w:val="cente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联系电话</w:t>
            </w:r>
          </w:p>
          <w:p>
            <w:pPr>
              <w:jc w:val="cente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(包括手机)</w:t>
            </w:r>
          </w:p>
        </w:tc>
        <w:tc>
          <w:tcPr>
            <w:tcW w:w="2835" w:type="dxa"/>
            <w:tcBorders>
              <w:top w:val="single" w:color="auto" w:sz="4" w:space="0"/>
              <w:left w:val="nil"/>
              <w:bottom w:val="single" w:color="auto" w:sz="4" w:space="0"/>
              <w:right w:val="single" w:color="auto" w:sz="4" w:space="0"/>
            </w:tcBorders>
          </w:tcPr>
          <w:p>
            <w:pPr>
              <w:rPr>
                <w:rFonts w:hint="eastAsia"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Email地址</w:t>
            </w:r>
          </w:p>
        </w:tc>
        <w:tc>
          <w:tcPr>
            <w:tcW w:w="6946" w:type="dxa"/>
            <w:gridSpan w:val="4"/>
            <w:tcBorders>
              <w:top w:val="single" w:color="auto" w:sz="4" w:space="0"/>
              <w:left w:val="nil"/>
              <w:bottom w:val="single" w:color="auto" w:sz="4" w:space="0"/>
              <w:right w:val="single" w:color="auto" w:sz="4" w:space="0"/>
            </w:tcBorders>
          </w:tcPr>
          <w:p>
            <w:pPr>
              <w:rPr>
                <w:rFonts w:hint="eastAsia"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int="eastAsia" w:ascii="楷体_GB2312" w:hAnsi="楷体_GB2312" w:eastAsia="楷体_GB2312" w:cs="楷体_GB2312"/>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是否参加本次测试</w:t>
            </w:r>
          </w:p>
        </w:tc>
        <w:tc>
          <w:tcPr>
            <w:tcW w:w="6946" w:type="dxa"/>
            <w:gridSpan w:val="4"/>
            <w:tcBorders>
              <w:top w:val="single" w:color="auto" w:sz="4" w:space="0"/>
              <w:left w:val="nil"/>
              <w:bottom w:val="single" w:color="auto" w:sz="4" w:space="0"/>
              <w:right w:val="single" w:color="auto" w:sz="4" w:space="0"/>
            </w:tcBorders>
          </w:tcPr>
          <w:p>
            <w:pP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◎已参测</w:t>
            </w:r>
          </w:p>
          <w:p>
            <w:pP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◎未参测，未参测原因:</w:t>
            </w:r>
            <w:r>
              <w:rPr>
                <w:rFonts w:hint="eastAsia" w:ascii="楷体_GB2312" w:hAnsi="楷体_GB2312" w:eastAsia="楷体_GB2312" w:cs="楷体_GB2312"/>
                <w:sz w:val="20"/>
              </w:rPr>
              <w:t xml:space="preserve">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ascii="楷体_GB2312" w:hAnsi="楷体_GB2312" w:eastAsia="楷体_GB2312" w:cs="楷体_GB2312"/>
                <w:sz w:val="20"/>
                <w:szCs w:val="20"/>
                <w:lang w:val="en-US" w:eastAsia="zh-CN"/>
              </w:rPr>
            </w:pPr>
            <w:r>
              <w:rPr>
                <w:rFonts w:hint="eastAsia" w:ascii="楷体_GB2312" w:hAnsi="楷体_GB2312" w:eastAsia="楷体_GB2312" w:cs="楷体_GB2312"/>
                <w:sz w:val="20"/>
                <w:szCs w:val="20"/>
                <w:lang w:val="en-US" w:eastAsia="zh-CN"/>
              </w:rPr>
              <w:t>深市港股通交易日历优化业务相关技术系统是否已就绪</w:t>
            </w:r>
          </w:p>
        </w:tc>
        <w:tc>
          <w:tcPr>
            <w:tcW w:w="6946" w:type="dxa"/>
            <w:gridSpan w:val="4"/>
            <w:tcBorders>
              <w:top w:val="single" w:color="auto" w:sz="4" w:space="0"/>
              <w:left w:val="nil"/>
              <w:bottom w:val="single" w:color="auto" w:sz="4" w:space="0"/>
              <w:right w:val="single" w:color="auto" w:sz="4" w:space="0"/>
            </w:tcBorders>
          </w:tcPr>
          <w:p>
            <w:pPr>
              <w:rPr>
                <w:rFonts w:hint="eastAsia" w:ascii="楷体_GB2312" w:hAnsi="楷体_GB2312" w:eastAsia="楷体_GB2312" w:cs="楷体_GB2312"/>
                <w:sz w:val="20"/>
                <w:lang w:val="en-US" w:eastAsia="zh-CN"/>
              </w:rPr>
            </w:pPr>
            <w:r>
              <w:rPr>
                <w:rFonts w:hint="eastAsia" w:ascii="楷体_GB2312" w:hAnsi="楷体_GB2312" w:eastAsia="楷体_GB2312" w:cs="楷体_GB2312"/>
                <w:sz w:val="20"/>
              </w:rPr>
              <w:t>◎</w:t>
            </w:r>
            <w:r>
              <w:rPr>
                <w:rFonts w:hint="eastAsia" w:ascii="楷体_GB2312" w:hAnsi="楷体_GB2312" w:eastAsia="楷体_GB2312" w:cs="楷体_GB2312"/>
                <w:sz w:val="20"/>
                <w:lang w:val="en-US" w:eastAsia="zh-CN"/>
              </w:rPr>
              <w:t>暂不开展此项业务</w:t>
            </w:r>
          </w:p>
          <w:p>
            <w:pPr>
              <w:rPr>
                <w:rFonts w:hint="eastAsia" w:ascii="楷体_GB2312" w:hAnsi="楷体_GB2312" w:eastAsia="楷体_GB2312" w:cs="楷体_GB2312"/>
                <w:sz w:val="20"/>
              </w:rPr>
            </w:pPr>
            <w:r>
              <w:rPr>
                <w:rFonts w:hint="eastAsia" w:ascii="楷体_GB2312" w:hAnsi="楷体_GB2312" w:eastAsia="楷体_GB2312" w:cs="楷体_GB2312"/>
                <w:sz w:val="20"/>
              </w:rPr>
              <w:t>◎无需改造，已评估对现有系统无影响</w:t>
            </w:r>
          </w:p>
          <w:p>
            <w:pPr>
              <w:rPr>
                <w:rFonts w:hint="eastAsia" w:ascii="楷体_GB2312" w:hAnsi="楷体_GB2312" w:eastAsia="楷体_GB2312" w:cs="楷体_GB2312"/>
                <w:sz w:val="20"/>
              </w:rPr>
            </w:pPr>
            <w:r>
              <w:rPr>
                <w:rFonts w:hint="eastAsia" w:ascii="楷体_GB2312" w:hAnsi="楷体_GB2312" w:eastAsia="楷体_GB2312" w:cs="楷体_GB2312"/>
                <w:sz w:val="20"/>
              </w:rPr>
              <w:t>◎需要改造且技术系统已就绪</w:t>
            </w:r>
          </w:p>
          <w:p>
            <w:pPr>
              <w:rPr>
                <w:rFonts w:hint="eastAsia"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________。深交所、结算公司技术系统上线后，已评估现有业务均可正常开展。</w:t>
            </w:r>
          </w:p>
          <w:p>
            <w:pPr>
              <w:rPr>
                <w:rFonts w:hint="eastAsia" w:ascii="楷体_GB2312" w:hAnsi="楷体_GB2312" w:eastAsia="楷体_GB2312" w:cs="楷体_GB2312"/>
                <w:sz w:val="20"/>
              </w:rPr>
            </w:pPr>
            <w:r>
              <w:rPr>
                <w:rFonts w:hint="eastAsia" w:ascii="楷体_GB2312" w:hAnsi="楷体_GB2312" w:eastAsia="楷体_GB2312" w:cs="楷体_GB2312"/>
                <w:sz w:val="20"/>
              </w:rPr>
              <w:t>◎需要改造但技术系统暂未就绪，预计就绪时间: ________。深交所、结算公司技术系统上线后，已评估现有业务</w:t>
            </w:r>
            <w:r>
              <w:rPr>
                <w:rFonts w:hint="eastAsia" w:ascii="楷体_GB2312" w:hAnsi="楷体_GB2312" w:eastAsia="楷体_GB2312" w:cs="楷体_GB2312"/>
                <w:b/>
                <w:sz w:val="20"/>
              </w:rPr>
              <w:t>无法</w:t>
            </w:r>
            <w:r>
              <w:rPr>
                <w:rFonts w:hint="eastAsia" w:ascii="楷体_GB2312" w:hAnsi="楷体_GB2312" w:eastAsia="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int="eastAsia" w:ascii="楷体_GB2312" w:hAnsi="楷体_GB2312" w:eastAsia="楷体_GB2312" w:cs="楷体_GB2312"/>
                <w:sz w:val="20"/>
                <w:szCs w:val="20"/>
              </w:rPr>
            </w:pPr>
            <w:r>
              <w:rPr>
                <w:rFonts w:hint="eastAsia" w:ascii="楷体_GB2312" w:hAnsi="楷体_GB2312" w:eastAsia="楷体_GB2312" w:cs="楷体_GB2312"/>
                <w:sz w:val="20"/>
                <w:szCs w:val="20"/>
              </w:rPr>
              <w:t>请填写以下各功能点测试结果</w:t>
            </w:r>
            <w:r>
              <w:rPr>
                <w:rFonts w:hint="eastAsia" w:ascii="楷体_GB2312" w:hAnsi="楷体_GB2312" w:eastAsia="楷体_GB2312" w:cs="楷体_GB2312"/>
                <w:b/>
                <w:bCs/>
                <w:sz w:val="20"/>
                <w:szCs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eastAsia" w:ascii="楷体_GB2312" w:hAnsi="楷体_GB2312" w:eastAsia="楷体_GB2312" w:cs="楷体_GB2312"/>
                <w:b/>
                <w:kern w:val="0"/>
                <w:sz w:val="20"/>
              </w:rPr>
            </w:pPr>
            <w:r>
              <w:rPr>
                <w:rFonts w:hint="eastAsia" w:ascii="楷体_GB2312" w:hAnsi="楷体_GB2312" w:eastAsia="楷体_GB2312" w:cs="楷体_GB2312"/>
                <w:b/>
                <w:kern w:val="0"/>
                <w:sz w:val="20"/>
                <w:lang w:val="en-US" w:eastAsia="zh-CN"/>
              </w:rPr>
              <w:t>深市港股通交易日历优化业务</w:t>
            </w:r>
            <w:r>
              <w:rPr>
                <w:rFonts w:hint="eastAsia" w:ascii="楷体_GB2312" w:hAnsi="楷体_GB2312" w:eastAsia="楷体_GB2312" w:cs="楷体_GB2312"/>
                <w:b/>
                <w:kern w:val="0"/>
                <w:sz w:val="20"/>
              </w:rPr>
              <w:t>测试反馈项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left="420" w:leftChars="0" w:hanging="420" w:firstLineChars="0"/>
              <w:jc w:val="left"/>
              <w:rPr>
                <w:rFonts w:hint="eastAsia" w:ascii="楷体_GB2312" w:hAnsi="楷体_GB2312" w:eastAsia="楷体_GB2312" w:cs="楷体_GB2312"/>
                <w:kern w:val="0"/>
                <w:sz w:val="20"/>
                <w:szCs w:val="20"/>
              </w:rPr>
            </w:pPr>
          </w:p>
        </w:tc>
        <w:tc>
          <w:tcPr>
            <w:tcW w:w="6489" w:type="dxa"/>
            <w:gridSpan w:val="3"/>
            <w:shd w:val="clear" w:color="auto" w:fill="auto"/>
            <w:vAlign w:val="center"/>
          </w:tcPr>
          <w:p>
            <w:pPr>
              <w:jc w:val="left"/>
              <w:rPr>
                <w:rFonts w:hint="eastAsia" w:ascii="楷体_GB2312" w:hAnsi="楷体_GB2312" w:eastAsia="楷体_GB2312" w:cs="楷体_GB2312"/>
                <w:kern w:val="0"/>
                <w:sz w:val="20"/>
                <w:szCs w:val="20"/>
                <w:lang w:val="en-US"/>
              </w:rPr>
            </w:pPr>
            <w:r>
              <w:rPr>
                <w:rFonts w:hint="eastAsia" w:ascii="楷体_GB2312" w:hAnsi="楷体_GB2312" w:eastAsia="楷体_GB2312" w:cs="楷体_GB2312"/>
                <w:kern w:val="0"/>
                <w:sz w:val="20"/>
                <w:szCs w:val="20"/>
                <w:lang w:eastAsia="zh-CN"/>
              </w:rPr>
              <w:t>新增交易日</w:t>
            </w:r>
            <w:r>
              <w:rPr>
                <w:rFonts w:hint="eastAsia" w:ascii="楷体_GB2312" w:hAnsi="楷体_GB2312" w:eastAsia="楷体_GB2312" w:cs="楷体_GB2312"/>
                <w:kern w:val="0"/>
                <w:sz w:val="20"/>
                <w:szCs w:val="20"/>
              </w:rPr>
              <w:t>港股通</w:t>
            </w:r>
            <w:r>
              <w:rPr>
                <w:rFonts w:hint="eastAsia" w:ascii="楷体_GB2312" w:hAnsi="楷体_GB2312" w:eastAsia="楷体_GB2312" w:cs="楷体_GB2312"/>
                <w:kern w:val="0"/>
                <w:sz w:val="20"/>
                <w:szCs w:val="20"/>
                <w:lang w:eastAsia="zh-CN"/>
              </w:rPr>
              <w:t>证券</w:t>
            </w:r>
            <w:r>
              <w:rPr>
                <w:rFonts w:hint="eastAsia" w:ascii="楷体_GB2312" w:hAnsi="楷体_GB2312" w:eastAsia="楷体_GB2312" w:cs="楷体_GB2312"/>
                <w:kern w:val="0"/>
                <w:sz w:val="20"/>
                <w:szCs w:val="20"/>
              </w:rPr>
              <w:t>交易的委托申报、成交回报</w:t>
            </w:r>
            <w:r>
              <w:rPr>
                <w:rFonts w:hint="eastAsia" w:ascii="楷体_GB2312" w:hAnsi="楷体_GB2312" w:eastAsia="楷体_GB2312" w:cs="楷体_GB2312"/>
                <w:kern w:val="0"/>
                <w:sz w:val="20"/>
                <w:szCs w:val="20"/>
                <w:lang w:eastAsia="zh-CN"/>
              </w:rPr>
              <w:t>、清算交收处理</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left="420" w:leftChars="0" w:hanging="420" w:firstLineChars="0"/>
              <w:jc w:val="left"/>
              <w:rPr>
                <w:rFonts w:hint="eastAsia" w:ascii="楷体_GB2312" w:hAnsi="楷体_GB2312" w:eastAsia="楷体_GB2312" w:cs="楷体_GB2312"/>
                <w:kern w:val="0"/>
                <w:sz w:val="20"/>
                <w:szCs w:val="20"/>
                <w:highlight w:val="none"/>
              </w:rPr>
            </w:pPr>
          </w:p>
        </w:tc>
        <w:tc>
          <w:tcPr>
            <w:tcW w:w="6489" w:type="dxa"/>
            <w:gridSpan w:val="3"/>
            <w:shd w:val="clear" w:color="auto" w:fill="auto"/>
            <w:vAlign w:val="center"/>
          </w:tcPr>
          <w:p>
            <w:pPr>
              <w:widowControl/>
              <w:jc w:val="left"/>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lang w:eastAsia="zh-CN"/>
              </w:rPr>
              <w:t>新增交易日日间三批次</w:t>
            </w:r>
            <w:r>
              <w:rPr>
                <w:rFonts w:hint="eastAsia" w:ascii="楷体_GB2312" w:hAnsi="楷体_GB2312" w:eastAsia="楷体_GB2312" w:cs="楷体_GB2312"/>
                <w:kern w:val="0"/>
                <w:sz w:val="20"/>
                <w:szCs w:val="20"/>
              </w:rPr>
              <w:t>预清算资金汇总参考数据接收</w:t>
            </w:r>
            <w:r>
              <w:rPr>
                <w:rFonts w:hint="eastAsia" w:ascii="楷体_GB2312" w:hAnsi="楷体_GB2312" w:eastAsia="楷体_GB2312" w:cs="楷体_GB2312"/>
                <w:kern w:val="0"/>
                <w:sz w:val="20"/>
                <w:szCs w:val="20"/>
                <w:lang w:eastAsia="zh-CN"/>
              </w:rPr>
              <w:t>与处理</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left="420" w:leftChars="0" w:hanging="420" w:firstLineChars="0"/>
              <w:jc w:val="left"/>
              <w:rPr>
                <w:rFonts w:hint="eastAsia" w:ascii="楷体_GB2312" w:hAnsi="楷体_GB2312" w:eastAsia="楷体_GB2312" w:cs="楷体_GB2312"/>
                <w:kern w:val="0"/>
                <w:sz w:val="20"/>
                <w:szCs w:val="20"/>
                <w:highlight w:val="none"/>
              </w:rPr>
            </w:pPr>
          </w:p>
        </w:tc>
        <w:tc>
          <w:tcPr>
            <w:tcW w:w="6489" w:type="dxa"/>
            <w:gridSpan w:val="3"/>
            <w:shd w:val="clear" w:color="auto" w:fill="auto"/>
            <w:vAlign w:val="center"/>
          </w:tcPr>
          <w:p>
            <w:pPr>
              <w:widowControl/>
              <w:jc w:val="left"/>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lang w:val="en-US" w:eastAsia="zh-CN"/>
              </w:rPr>
              <w:t>新增交易日资金提前到账业务处理（资金足额到账或资金不足违约）</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left="420" w:leftChars="0" w:hanging="420" w:firstLineChars="0"/>
              <w:jc w:val="left"/>
              <w:rPr>
                <w:rFonts w:hint="eastAsia" w:ascii="楷体_GB2312" w:hAnsi="楷体_GB2312" w:eastAsia="楷体_GB2312" w:cs="楷体_GB2312"/>
                <w:kern w:val="0"/>
                <w:sz w:val="20"/>
                <w:szCs w:val="20"/>
                <w:highlight w:val="none"/>
              </w:rPr>
            </w:pPr>
          </w:p>
        </w:tc>
        <w:tc>
          <w:tcPr>
            <w:tcW w:w="6489" w:type="dxa"/>
            <w:gridSpan w:val="3"/>
            <w:shd w:val="clear" w:color="auto" w:fill="auto"/>
            <w:vAlign w:val="center"/>
          </w:tcPr>
          <w:p>
            <w:pPr>
              <w:widowControl/>
              <w:jc w:val="left"/>
              <w:rPr>
                <w:rFonts w:hint="eastAsia" w:ascii="楷体_GB2312" w:hAnsi="楷体_GB2312" w:eastAsia="楷体_GB2312" w:cs="楷体_GB2312"/>
                <w:kern w:val="0"/>
                <w:sz w:val="20"/>
                <w:szCs w:val="20"/>
                <w:lang w:val="en-US" w:eastAsia="zh-CN"/>
              </w:rPr>
            </w:pPr>
            <w:r>
              <w:rPr>
                <w:rFonts w:hint="eastAsia" w:ascii="楷体_GB2312" w:hAnsi="楷体_GB2312" w:eastAsia="楷体_GB2312" w:cs="楷体_GB2312"/>
                <w:kern w:val="0"/>
                <w:sz w:val="20"/>
                <w:szCs w:val="20"/>
                <w:lang w:val="en-US" w:eastAsia="zh-CN"/>
              </w:rPr>
              <w:t>新增交易日参与人未满足提前到账义务导致的提前到账违约金及垫息业务处理</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left="420" w:leftChars="0" w:hanging="420" w:firstLineChars="0"/>
              <w:jc w:val="left"/>
              <w:rPr>
                <w:rFonts w:hint="eastAsia"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lang w:val="en-US" w:eastAsia="zh-CN"/>
              </w:rPr>
              <w:t>资金提前到账违约授信利息分摊业务处理</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firstLineChars="0"/>
              <w:jc w:val="left"/>
              <w:rPr>
                <w:rFonts w:hint="eastAsia"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hint="eastAsia" w:ascii="楷体_GB2312" w:hAnsi="楷体_GB2312" w:eastAsia="楷体_GB2312" w:cs="楷体_GB2312"/>
                <w:kern w:val="0"/>
                <w:sz w:val="20"/>
                <w:szCs w:val="20"/>
                <w:lang w:eastAsia="zh-CN"/>
              </w:rPr>
            </w:pPr>
            <w:r>
              <w:rPr>
                <w:rFonts w:hint="eastAsia" w:ascii="楷体_GB2312" w:hAnsi="楷体_GB2312" w:eastAsia="楷体_GB2312" w:cs="楷体_GB2312"/>
                <w:kern w:val="0"/>
                <w:sz w:val="20"/>
                <w:szCs w:val="20"/>
                <w:lang w:val="en-US" w:eastAsia="zh-CN"/>
              </w:rPr>
              <w:t>香港银行利息分摊业务处理</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firstLineChars="0"/>
              <w:jc w:val="left"/>
              <w:rPr>
                <w:rFonts w:hint="eastAsia"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hint="eastAsia" w:ascii="楷体_GB2312" w:hAnsi="楷体_GB2312" w:eastAsia="楷体_GB2312" w:cs="楷体_GB2312"/>
                <w:kern w:val="0"/>
                <w:sz w:val="20"/>
                <w:szCs w:val="20"/>
                <w:lang w:val="en-US" w:eastAsia="zh-CN"/>
              </w:rPr>
            </w:pPr>
            <w:r>
              <w:rPr>
                <w:rFonts w:hint="eastAsia" w:ascii="楷体_GB2312" w:hAnsi="楷体_GB2312" w:eastAsia="楷体_GB2312" w:cs="楷体_GB2312"/>
                <w:kern w:val="0"/>
                <w:sz w:val="20"/>
                <w:szCs w:val="20"/>
                <w:lang w:val="en-US" w:eastAsia="zh-CN"/>
              </w:rPr>
              <w:t>资金余额查询</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eastAsia" w:ascii="楷体_GB2312" w:hAnsi="楷体_GB2312" w:eastAsia="楷体_GB2312" w:cs="楷体_GB2312"/>
                <w:b/>
                <w:bCs/>
                <w:kern w:val="0"/>
                <w:sz w:val="20"/>
                <w:szCs w:val="20"/>
              </w:rPr>
            </w:pPr>
            <w:r>
              <w:rPr>
                <w:rFonts w:hint="eastAsia" w:ascii="楷体_GB2312" w:hAnsi="楷体_GB2312" w:eastAsia="楷体_GB2312" w:cs="楷体_GB2312"/>
                <w:b/>
                <w:bCs/>
                <w:kern w:val="0"/>
                <w:sz w:val="20"/>
                <w:szCs w:val="20"/>
              </w:rPr>
              <w:t>以下为模拟主中心故障相关测试反馈（行情服务商反馈最后1项）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firstLineChars="0"/>
              <w:jc w:val="left"/>
              <w:rPr>
                <w:rFonts w:hint="eastAsia"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hint="eastAsia" w:ascii="楷体_GB2312" w:hAnsi="楷体_GB2312" w:eastAsia="楷体_GB2312" w:cs="楷体_GB2312"/>
                <w:kern w:val="0"/>
                <w:sz w:val="20"/>
                <w:szCs w:val="20"/>
                <w:lang w:val="en-US" w:eastAsia="zh-CN"/>
              </w:rPr>
            </w:pPr>
            <w:r>
              <w:rPr>
                <w:rFonts w:hint="eastAsia" w:ascii="楷体_GB2312" w:hAnsi="楷体_GB2312" w:eastAsia="楷体_GB2312" w:cs="楷体_GB2312"/>
                <w:kern w:val="0"/>
                <w:sz w:val="20"/>
                <w:szCs w:val="20"/>
                <w:lang w:val="en-US" w:eastAsia="zh-CN"/>
              </w:rPr>
              <w:t>模拟福田数据中心故障期间，通过交易网关申报各类业务的委托，并接收成交回报</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27"/>
              <w:widowControl/>
              <w:numPr>
                <w:ilvl w:val="0"/>
                <w:numId w:val="9"/>
              </w:numPr>
              <w:ind w:firstLineChars="0"/>
              <w:jc w:val="left"/>
              <w:rPr>
                <w:rFonts w:hint="eastAsia" w:ascii="楷体_GB2312" w:hAnsi="楷体_GB2312" w:eastAsia="楷体_GB2312" w:cs="楷体_GB2312"/>
                <w:kern w:val="0"/>
                <w:sz w:val="20"/>
                <w:szCs w:val="20"/>
              </w:rPr>
            </w:pPr>
          </w:p>
        </w:tc>
        <w:tc>
          <w:tcPr>
            <w:tcW w:w="6489" w:type="dxa"/>
            <w:gridSpan w:val="3"/>
            <w:shd w:val="clear" w:color="auto" w:fill="auto"/>
            <w:vAlign w:val="center"/>
          </w:tcPr>
          <w:p>
            <w:pPr>
              <w:widowControl/>
              <w:jc w:val="left"/>
              <w:rPr>
                <w:rFonts w:hint="eastAsia" w:ascii="楷体_GB2312" w:hAnsi="楷体_GB2312" w:eastAsia="楷体_GB2312" w:cs="楷体_GB2312"/>
                <w:kern w:val="0"/>
                <w:sz w:val="20"/>
                <w:szCs w:val="20"/>
                <w:lang w:val="en-US" w:eastAsia="zh-CN"/>
              </w:rPr>
            </w:pPr>
            <w:r>
              <w:rPr>
                <w:rFonts w:hint="eastAsia" w:ascii="楷体_GB2312" w:hAnsi="楷体_GB2312" w:eastAsia="楷体_GB2312" w:cs="楷体_GB2312"/>
                <w:kern w:val="0"/>
                <w:sz w:val="20"/>
                <w:szCs w:val="20"/>
                <w:lang w:val="en-US" w:eastAsia="zh-CN"/>
              </w:rPr>
              <w:t>模拟福田数据中心故障期间，通过行情网关接收各类业务的行情并显示</w:t>
            </w:r>
          </w:p>
        </w:tc>
        <w:tc>
          <w:tcPr>
            <w:tcW w:w="3402" w:type="dxa"/>
            <w:gridSpan w:val="2"/>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eastAsia" w:ascii="楷体_GB2312" w:hAnsi="楷体_GB2312" w:eastAsia="楷体_GB2312" w:cs="楷体_GB2312"/>
                <w:kern w:val="0"/>
                <w:sz w:val="20"/>
                <w:szCs w:val="20"/>
              </w:rPr>
            </w:pPr>
            <w:r>
              <w:rPr>
                <w:rFonts w:hint="eastAsia" w:ascii="楷体_GB2312" w:hAnsi="楷体_GB2312" w:eastAsia="楷体_GB2312" w:cs="楷体_GB2312"/>
                <w:b/>
                <w:kern w:val="0"/>
                <w:sz w:val="20"/>
                <w:szCs w:val="22"/>
              </w:rPr>
              <w:t>其他测试反馈项</w:t>
            </w:r>
            <w:r>
              <w:rPr>
                <w:rFonts w:hint="eastAsia" w:ascii="楷体_GB2312" w:hAnsi="楷体_GB2312" w:eastAsia="楷体_GB2312" w:cs="楷体_GB2312"/>
                <w:b/>
                <w:bCs/>
                <w:kern w:val="0"/>
                <w:sz w:val="20"/>
                <w:szCs w:val="20"/>
              </w:rPr>
              <w:t>（行情服务商反馈最后</w:t>
            </w:r>
            <w:r>
              <w:rPr>
                <w:rFonts w:hint="eastAsia" w:ascii="楷体_GB2312" w:hAnsi="楷体_GB2312" w:eastAsia="楷体_GB2312" w:cs="楷体_GB2312"/>
                <w:b/>
                <w:bCs/>
                <w:kern w:val="0"/>
                <w:sz w:val="20"/>
                <w:szCs w:val="20"/>
                <w:lang w:val="en-US" w:eastAsia="zh-CN"/>
              </w:rPr>
              <w:t>2-7</w:t>
            </w:r>
            <w:r>
              <w:rPr>
                <w:rFonts w:hint="eastAsia" w:ascii="楷体_GB2312" w:hAnsi="楷体_GB2312" w:eastAsia="楷体_GB2312" w:cs="楷体_GB2312"/>
                <w:b/>
                <w:bCs/>
                <w:kern w:val="0"/>
                <w:sz w:val="20"/>
                <w:szCs w:val="20"/>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早间下发的静态交易参考信息文件的接收和处理</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增加股票期权行情订阅功能</w:t>
            </w:r>
            <w:r>
              <w:rPr>
                <w:rFonts w:hint="eastAsia" w:ascii="楷体_GB2312" w:hAnsi="楷体_GB2312" w:eastAsia="楷体_GB2312" w:cs="楷体_GB2312"/>
                <w:color w:val="000000"/>
                <w:kern w:val="0"/>
                <w:sz w:val="20"/>
                <w:lang w:val="en-US" w:eastAsia="zh-CN"/>
              </w:rPr>
              <w:t>后，地面</w:t>
            </w:r>
            <w:r>
              <w:rPr>
                <w:rFonts w:hint="eastAsia" w:ascii="楷体_GB2312" w:hAnsi="楷体_GB2312" w:eastAsia="楷体_GB2312" w:cs="楷体_GB2312"/>
                <w:color w:val="000000"/>
                <w:kern w:val="0"/>
                <w:sz w:val="20"/>
              </w:rPr>
              <w:t>LEVEL1行情接收与展示</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lang w:val="en-US" w:eastAsia="zh-CN"/>
              </w:rPr>
              <w:t>卫星</w:t>
            </w:r>
            <w:r>
              <w:rPr>
                <w:rFonts w:hint="eastAsia" w:ascii="楷体_GB2312" w:hAnsi="楷体_GB2312" w:eastAsia="楷体_GB2312" w:cs="楷体_GB2312"/>
                <w:color w:val="000000"/>
                <w:kern w:val="0"/>
                <w:sz w:val="20"/>
              </w:rPr>
              <w:t>LEVEL1行情接收与展示</w:t>
            </w:r>
          </w:p>
        </w:tc>
        <w:tc>
          <w:tcPr>
            <w:tcW w:w="3402" w:type="dxa"/>
            <w:gridSpan w:val="2"/>
            <w:vAlign w:val="center"/>
          </w:tcPr>
          <w:p>
            <w:pPr>
              <w:widowControl/>
              <w:jc w:val="left"/>
              <w:rPr>
                <w:rFonts w:hint="eastAsia" w:ascii="楷体_GB2312" w:hAnsi="楷体_GB2312" w:eastAsia="楷体_GB2312" w:cs="楷体_GB2312"/>
                <w:color w:val="000000"/>
                <w:kern w:val="0"/>
                <w:sz w:val="20"/>
                <w:szCs w:val="24"/>
                <w:lang w:val="en-US" w:eastAsia="zh-CN" w:bidi="ar-SA"/>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LEVEL2-1行情接收与展示</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LEVEL2-2行情接收与展示</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深市股票集中竞价交易实时行情的接收与展示</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期权实时行情的接收与展示</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接收并处理网络投票回报（EvoteReport）</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现货集中竞价交易平台相关业务的委托申报与成交回报</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综合金融服务平台相关业务的委托申报与成交回报</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非交易平台相关业务的委托申报与成交回报</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衍生品平台相关业务的委托申报与成交回报</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固定收益平台相关业务的委托申报与成交回报</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szCs w:val="24"/>
                <w:lang w:val="en-US" w:eastAsia="zh-CN" w:bidi="ar-SA"/>
              </w:rPr>
            </w:pPr>
            <w:r>
              <w:rPr>
                <w:rFonts w:hint="eastAsia" w:ascii="楷体_GB2312" w:hAnsi="楷体_GB2312" w:eastAsia="楷体_GB2312" w:cs="楷体_GB2312"/>
                <w:color w:val="000000"/>
                <w:kern w:val="0"/>
                <w:sz w:val="20"/>
                <w:lang w:eastAsia="zh-CN"/>
              </w:rPr>
              <w:t>国际市场互联</w:t>
            </w:r>
            <w:r>
              <w:rPr>
                <w:rFonts w:hint="eastAsia" w:ascii="楷体_GB2312" w:hAnsi="楷体_GB2312" w:eastAsia="楷体_GB2312" w:cs="楷体_GB2312"/>
                <w:color w:val="000000"/>
                <w:kern w:val="0"/>
                <w:sz w:val="20"/>
              </w:rPr>
              <w:t>平台相关业务的委托申报与成交回报</w:t>
            </w:r>
          </w:p>
        </w:tc>
        <w:tc>
          <w:tcPr>
            <w:tcW w:w="3402" w:type="dxa"/>
            <w:gridSpan w:val="2"/>
            <w:vAlign w:val="center"/>
          </w:tcPr>
          <w:p>
            <w:pPr>
              <w:widowControl/>
              <w:jc w:val="left"/>
              <w:rPr>
                <w:rFonts w:hint="eastAsia" w:ascii="楷体_GB2312" w:hAnsi="楷体_GB2312" w:eastAsia="楷体_GB2312" w:cs="楷体_GB2312"/>
                <w:color w:val="000000"/>
                <w:kern w:val="0"/>
                <w:sz w:val="20"/>
                <w:szCs w:val="24"/>
                <w:lang w:val="en-US" w:eastAsia="zh-CN" w:bidi="ar-SA"/>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接收并处理现货集中竞价交易平台成交汇总文件</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接收并处理综合金融服务平台成交汇总文件</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接收并处理非交易处理平台成交汇总文件</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接收并处理衍生品集中竞价交易平台成交汇总文件</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接收并处理固定收益平台成交汇总文件</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szCs w:val="24"/>
                <w:lang w:val="en-US" w:eastAsia="zh-CN" w:bidi="ar-SA"/>
              </w:rPr>
            </w:pPr>
            <w:r>
              <w:rPr>
                <w:rFonts w:hint="eastAsia" w:ascii="楷体_GB2312" w:hAnsi="楷体_GB2312" w:eastAsia="楷体_GB2312" w:cs="楷体_GB2312"/>
                <w:color w:val="000000"/>
                <w:kern w:val="0"/>
                <w:sz w:val="20"/>
              </w:rPr>
              <w:t>接收并处理</w:t>
            </w:r>
            <w:r>
              <w:rPr>
                <w:rFonts w:hint="eastAsia" w:ascii="楷体_GB2312" w:hAnsi="楷体_GB2312" w:eastAsia="楷体_GB2312" w:cs="楷体_GB2312"/>
                <w:color w:val="000000"/>
                <w:kern w:val="0"/>
                <w:sz w:val="20"/>
                <w:lang w:eastAsia="zh-CN"/>
              </w:rPr>
              <w:t>国际市场互联</w:t>
            </w:r>
            <w:r>
              <w:rPr>
                <w:rFonts w:hint="eastAsia" w:ascii="楷体_GB2312" w:hAnsi="楷体_GB2312" w:eastAsia="楷体_GB2312" w:cs="楷体_GB2312"/>
                <w:color w:val="000000"/>
                <w:kern w:val="0"/>
                <w:sz w:val="20"/>
              </w:rPr>
              <w:t>平台成交汇总文件</w:t>
            </w:r>
          </w:p>
        </w:tc>
        <w:tc>
          <w:tcPr>
            <w:tcW w:w="3402" w:type="dxa"/>
            <w:gridSpan w:val="2"/>
            <w:vAlign w:val="center"/>
          </w:tcPr>
          <w:p>
            <w:pPr>
              <w:widowControl/>
              <w:jc w:val="left"/>
              <w:rPr>
                <w:rFonts w:hint="eastAsia" w:ascii="楷体_GB2312" w:hAnsi="楷体_GB2312" w:eastAsia="楷体_GB2312" w:cs="楷体_GB2312"/>
                <w:color w:val="000000"/>
                <w:kern w:val="0"/>
                <w:sz w:val="20"/>
                <w:szCs w:val="24"/>
                <w:lang w:val="en-US" w:eastAsia="zh-CN" w:bidi="ar-SA"/>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hint="eastAsia"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通过交易终端进行的委托申报、行情查询、成交查询及数据下载</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_GB2312" w:hAnsi="楷体_GB2312" w:eastAsia="楷体_GB2312" w:cs="楷体_GB2312"/>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szCs w:val="22"/>
              </w:rPr>
              <w:t>基金通平台交易网关的登录与使用情况</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szCs w:val="22"/>
              </w:rPr>
              <w:t>基金通平台行情网关的登录与使用情况</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szCs w:val="22"/>
              </w:rPr>
              <w:t>基金通平台文件网关的登录与使用情况</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szCs w:val="22"/>
              </w:rPr>
              <w:t>基金通交易参考信息文件的接收与处理</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szCs w:val="22"/>
              </w:rPr>
              <w:t>基金通转让业务的委托申报及成交回报</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27"/>
              <w:widowControl/>
              <w:numPr>
                <w:ilvl w:val="0"/>
                <w:numId w:val="10"/>
              </w:numPr>
              <w:ind w:firstLineChars="0"/>
              <w:jc w:val="left"/>
              <w:rPr>
                <w:rFonts w:ascii="楷体_GB2312" w:hAnsi="楷体_GB2312" w:eastAsia="楷体_GB2312" w:cs="楷体_GB2312"/>
                <w:color w:val="000000"/>
                <w:kern w:val="0"/>
                <w:sz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szCs w:val="22"/>
              </w:rPr>
              <w:t>基金通做市份额转入转出业务的委托申报及成交回报（仅支持份额由基金通平台转出到竞价交易平台）</w:t>
            </w:r>
          </w:p>
        </w:tc>
        <w:tc>
          <w:tcPr>
            <w:tcW w:w="3402" w:type="dxa"/>
            <w:gridSpan w:val="2"/>
            <w:vAlign w:val="center"/>
          </w:tcPr>
          <w:p>
            <w:pPr>
              <w:widowControl/>
              <w:jc w:val="left"/>
              <w:rPr>
                <w:rFonts w:hint="eastAsia" w:ascii="楷体_GB2312" w:hAnsi="楷体_GB2312" w:eastAsia="楷体_GB2312" w:cs="楷体_GB2312"/>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7" w:hRule="atLeast"/>
          <w:jc w:val="center"/>
        </w:trPr>
        <w:tc>
          <w:tcPr>
            <w:tcW w:w="10343" w:type="dxa"/>
            <w:gridSpan w:val="6"/>
            <w:shd w:val="clear" w:color="auto" w:fill="auto"/>
            <w:vAlign w:val="center"/>
          </w:tcPr>
          <w:p>
            <w:pPr>
              <w:widowControl/>
              <w:rPr>
                <w:rFonts w:hint="eastAsia" w:ascii="楷体_GB2312" w:hAnsi="楷体_GB2312" w:eastAsia="楷体_GB2312" w:cs="楷体_GB2312"/>
                <w:szCs w:val="21"/>
              </w:rPr>
            </w:pPr>
            <w:r>
              <w:rPr>
                <w:rFonts w:hint="eastAsia" w:ascii="楷体_GB2312" w:hAnsi="楷体_GB2312" w:eastAsia="楷体_GB2312" w:cs="楷体_GB2312"/>
                <w:szCs w:val="21"/>
              </w:rPr>
              <w:t>以上反馈项有“异常”的，务必说明具体情况：（不超过500汉字，需详细说明涉及哪些业务系统及各系统的具体现象）</w:t>
            </w:r>
          </w:p>
          <w:p>
            <w:pPr>
              <w:widowControl/>
              <w:rPr>
                <w:rFonts w:hint="eastAsia" w:ascii="楷体_GB2312" w:hAnsi="楷体_GB2312" w:eastAsia="楷体_GB2312" w:cs="楷体_GB2312"/>
                <w:szCs w:val="21"/>
              </w:rPr>
            </w:pPr>
          </w:p>
          <w:p>
            <w:pPr>
              <w:widowControl/>
              <w:rPr>
                <w:rFonts w:hint="eastAsia" w:ascii="楷体_GB2312" w:hAnsi="楷体_GB2312" w:eastAsia="楷体_GB2312" w:cs="楷体_GB2312"/>
                <w:szCs w:val="21"/>
              </w:rPr>
            </w:pPr>
          </w:p>
          <w:p>
            <w:pPr>
              <w:widowControl/>
              <w:rPr>
                <w:rFonts w:hint="eastAsia" w:ascii="楷体_GB2312" w:hAnsi="楷体_GB2312" w:eastAsia="楷体_GB2312" w:cs="楷体_GB2312"/>
                <w:szCs w:val="21"/>
                <w:u w:val="single"/>
              </w:rPr>
            </w:pPr>
          </w:p>
        </w:tc>
      </w:tr>
    </w:tbl>
    <w:p>
      <w:pPr>
        <w:rPr>
          <w:rFonts w:hint="eastAsia" w:ascii="楷体_GB2312" w:hAnsi="楷体_GB2312" w:eastAsia="楷体_GB2312" w:cs="楷体_GB2312"/>
        </w:rPr>
      </w:pPr>
    </w:p>
    <w:p>
      <w:pPr>
        <w:rPr>
          <w:rFonts w:hint="eastAsia" w:ascii="楷体_GB2312" w:hAnsi="楷体_GB2312" w:eastAsia="楷体_GB2312" w:cs="楷体_GB2312"/>
        </w:rPr>
      </w:pPr>
    </w:p>
    <w:p>
      <w:pPr>
        <w:rPr>
          <w:rFonts w:hint="eastAsia" w:ascii="楷体_GB2312" w:hAnsi="楷体_GB2312" w:eastAsia="楷体_GB2312" w:cs="楷体_GB2312"/>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G Times">
    <w:altName w:val="Times New Roman"/>
    <w:panose1 w:val="00000000000000000000"/>
    <w:charset w:val="00"/>
    <w:family w:val="roman"/>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9EA9BC"/>
    <w:multiLevelType w:val="multilevel"/>
    <w:tmpl w:val="BB9EA9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E4E9A50"/>
    <w:multiLevelType w:val="multilevel"/>
    <w:tmpl w:val="BE4E9A50"/>
    <w:lvl w:ilvl="0" w:tentative="0">
      <w:start w:val="1"/>
      <w:numFmt w:val="decimal"/>
      <w:suff w:val="space"/>
      <w:lvlText w:val="%1."/>
      <w:lvlJc w:val="left"/>
      <w:pPr>
        <w:ind w:left="70" w:firstLine="0"/>
      </w:pPr>
      <w:rPr>
        <w:rFonts w:hint="default" w:ascii="Times New Roman" w:hAnsi="Times New Roman" w:cs="Times New Roman"/>
        <w:sz w:val="28"/>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2">
    <w:nsid w:val="DC9D18F2"/>
    <w:multiLevelType w:val="multilevel"/>
    <w:tmpl w:val="DC9D18F2"/>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3">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4">
    <w:nsid w:val="11BF66F6"/>
    <w:multiLevelType w:val="singleLevel"/>
    <w:tmpl w:val="11BF66F6"/>
    <w:lvl w:ilvl="0" w:tentative="0">
      <w:start w:val="1"/>
      <w:numFmt w:val="decimal"/>
      <w:suff w:val="nothing"/>
      <w:lvlText w:val="%1）"/>
      <w:lvlJc w:val="left"/>
      <w:pPr>
        <w:ind w:left="-2"/>
      </w:p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98879B0"/>
    <w:multiLevelType w:val="singleLevel"/>
    <w:tmpl w:val="298879B0"/>
    <w:lvl w:ilvl="0" w:tentative="0">
      <w:start w:val="1"/>
      <w:numFmt w:val="decimal"/>
      <w:suff w:val="nothing"/>
      <w:lvlText w:val="%1、"/>
      <w:lvlJc w:val="left"/>
      <w:pPr>
        <w:ind w:left="1440" w:firstLine="420"/>
      </w:pPr>
      <w:rPr>
        <w:rFonts w:hint="default"/>
      </w:rPr>
    </w:lvl>
  </w:abstractNum>
  <w:abstractNum w:abstractNumId="7">
    <w:nsid w:val="32A840D7"/>
    <w:multiLevelType w:val="multilevel"/>
    <w:tmpl w:val="32A840D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8">
    <w:nsid w:val="3B3473B7"/>
    <w:multiLevelType w:val="multilevel"/>
    <w:tmpl w:val="3B3473B7"/>
    <w:lvl w:ilvl="0" w:tentative="0">
      <w:start w:val="1"/>
      <w:numFmt w:val="decimal"/>
      <w:suff w:val="space"/>
      <w:lvlText w:val="%1."/>
      <w:lvlJc w:val="left"/>
      <w:pPr>
        <w:ind w:left="-140" w:firstLine="0"/>
      </w:pPr>
      <w:rPr>
        <w:rFonts w:hint="default" w:ascii="Times New Roman" w:hAnsi="Times New Roman" w:cs="Times New Roman"/>
        <w:sz w:val="28"/>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9">
    <w:nsid w:val="59D755D2"/>
    <w:multiLevelType w:val="multilevel"/>
    <w:tmpl w:val="59D755D2"/>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3"/>
  </w:num>
  <w:num w:numId="4">
    <w:abstractNumId w:val="6"/>
  </w:num>
  <w:num w:numId="5">
    <w:abstractNumId w:val="1"/>
  </w:num>
  <w:num w:numId="6">
    <w:abstractNumId w:val="4"/>
  </w:num>
  <w:num w:numId="7">
    <w:abstractNumId w:val="2"/>
  </w:num>
  <w:num w:numId="8">
    <w:abstractNumId w:val="7"/>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AF6"/>
    <w:rsid w:val="000019D9"/>
    <w:rsid w:val="00001C21"/>
    <w:rsid w:val="00001FAD"/>
    <w:rsid w:val="00002A78"/>
    <w:rsid w:val="00003544"/>
    <w:rsid w:val="000049BF"/>
    <w:rsid w:val="00005900"/>
    <w:rsid w:val="00005A09"/>
    <w:rsid w:val="00006536"/>
    <w:rsid w:val="000068D3"/>
    <w:rsid w:val="000110AB"/>
    <w:rsid w:val="00013CBC"/>
    <w:rsid w:val="00016831"/>
    <w:rsid w:val="00016906"/>
    <w:rsid w:val="00017EBE"/>
    <w:rsid w:val="000204CE"/>
    <w:rsid w:val="00024294"/>
    <w:rsid w:val="00024925"/>
    <w:rsid w:val="00024ED1"/>
    <w:rsid w:val="0002616A"/>
    <w:rsid w:val="00026446"/>
    <w:rsid w:val="00026DA8"/>
    <w:rsid w:val="00027E3F"/>
    <w:rsid w:val="0003182C"/>
    <w:rsid w:val="00033589"/>
    <w:rsid w:val="00033D0E"/>
    <w:rsid w:val="00034BAF"/>
    <w:rsid w:val="000351BD"/>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EC4"/>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6983"/>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E076F"/>
    <w:rsid w:val="000E0B0E"/>
    <w:rsid w:val="000E0B49"/>
    <w:rsid w:val="000E1BCB"/>
    <w:rsid w:val="000E26F1"/>
    <w:rsid w:val="000E2A97"/>
    <w:rsid w:val="000E4619"/>
    <w:rsid w:val="000E4D98"/>
    <w:rsid w:val="000E761C"/>
    <w:rsid w:val="000F0666"/>
    <w:rsid w:val="000F23F0"/>
    <w:rsid w:val="000F284A"/>
    <w:rsid w:val="000F2946"/>
    <w:rsid w:val="000F39E6"/>
    <w:rsid w:val="000F3B19"/>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F92"/>
    <w:rsid w:val="0016011C"/>
    <w:rsid w:val="00160351"/>
    <w:rsid w:val="00162121"/>
    <w:rsid w:val="00162508"/>
    <w:rsid w:val="00163740"/>
    <w:rsid w:val="00164259"/>
    <w:rsid w:val="00165AB7"/>
    <w:rsid w:val="001663B8"/>
    <w:rsid w:val="001668FF"/>
    <w:rsid w:val="00172A27"/>
    <w:rsid w:val="00174F50"/>
    <w:rsid w:val="00175AB6"/>
    <w:rsid w:val="00175C4A"/>
    <w:rsid w:val="00177071"/>
    <w:rsid w:val="001770AA"/>
    <w:rsid w:val="00181049"/>
    <w:rsid w:val="00181416"/>
    <w:rsid w:val="001818CB"/>
    <w:rsid w:val="00182220"/>
    <w:rsid w:val="00183D26"/>
    <w:rsid w:val="0018535E"/>
    <w:rsid w:val="00185B66"/>
    <w:rsid w:val="00185CB7"/>
    <w:rsid w:val="0018688D"/>
    <w:rsid w:val="00187D0F"/>
    <w:rsid w:val="00190166"/>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5920"/>
    <w:rsid w:val="00206BEA"/>
    <w:rsid w:val="00206E72"/>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20B0"/>
    <w:rsid w:val="00252554"/>
    <w:rsid w:val="00252A82"/>
    <w:rsid w:val="0025366D"/>
    <w:rsid w:val="0025728A"/>
    <w:rsid w:val="002601AC"/>
    <w:rsid w:val="00260FE4"/>
    <w:rsid w:val="00262390"/>
    <w:rsid w:val="002633B9"/>
    <w:rsid w:val="0026437E"/>
    <w:rsid w:val="00264559"/>
    <w:rsid w:val="00264804"/>
    <w:rsid w:val="00264B14"/>
    <w:rsid w:val="0026588D"/>
    <w:rsid w:val="002663C0"/>
    <w:rsid w:val="0026761F"/>
    <w:rsid w:val="00270359"/>
    <w:rsid w:val="0027289B"/>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3B9"/>
    <w:rsid w:val="00303605"/>
    <w:rsid w:val="00304FB2"/>
    <w:rsid w:val="003072C3"/>
    <w:rsid w:val="00310921"/>
    <w:rsid w:val="00311144"/>
    <w:rsid w:val="003113F8"/>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4151"/>
    <w:rsid w:val="003454DE"/>
    <w:rsid w:val="00347067"/>
    <w:rsid w:val="0035061A"/>
    <w:rsid w:val="00350778"/>
    <w:rsid w:val="003517C7"/>
    <w:rsid w:val="003519AC"/>
    <w:rsid w:val="00352456"/>
    <w:rsid w:val="003544D4"/>
    <w:rsid w:val="00355D60"/>
    <w:rsid w:val="00355DFC"/>
    <w:rsid w:val="003567C6"/>
    <w:rsid w:val="003572BD"/>
    <w:rsid w:val="003605FA"/>
    <w:rsid w:val="003607EB"/>
    <w:rsid w:val="00360AC2"/>
    <w:rsid w:val="00361037"/>
    <w:rsid w:val="00361AC6"/>
    <w:rsid w:val="0036400A"/>
    <w:rsid w:val="00364861"/>
    <w:rsid w:val="00364C2C"/>
    <w:rsid w:val="00366FD6"/>
    <w:rsid w:val="003679C6"/>
    <w:rsid w:val="003703F4"/>
    <w:rsid w:val="00370A2F"/>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D1"/>
    <w:rsid w:val="003A35FC"/>
    <w:rsid w:val="003A4295"/>
    <w:rsid w:val="003A4ECA"/>
    <w:rsid w:val="003A5F8E"/>
    <w:rsid w:val="003A6A16"/>
    <w:rsid w:val="003A6B35"/>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6522"/>
    <w:rsid w:val="003F6C6E"/>
    <w:rsid w:val="003F7AA4"/>
    <w:rsid w:val="00401756"/>
    <w:rsid w:val="004024A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40CB0"/>
    <w:rsid w:val="00441498"/>
    <w:rsid w:val="00442A7E"/>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F9B"/>
    <w:rsid w:val="0048628C"/>
    <w:rsid w:val="00486911"/>
    <w:rsid w:val="00490B2F"/>
    <w:rsid w:val="00490C5D"/>
    <w:rsid w:val="00490D8C"/>
    <w:rsid w:val="00492BC0"/>
    <w:rsid w:val="004939B1"/>
    <w:rsid w:val="00493A54"/>
    <w:rsid w:val="00493A83"/>
    <w:rsid w:val="00495E89"/>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9EF"/>
    <w:rsid w:val="004B4A36"/>
    <w:rsid w:val="004C00D9"/>
    <w:rsid w:val="004C11C5"/>
    <w:rsid w:val="004C22DF"/>
    <w:rsid w:val="004C4B95"/>
    <w:rsid w:val="004C527B"/>
    <w:rsid w:val="004C54EB"/>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4FFF"/>
    <w:rsid w:val="004D69FB"/>
    <w:rsid w:val="004D6E89"/>
    <w:rsid w:val="004D7D5F"/>
    <w:rsid w:val="004E0661"/>
    <w:rsid w:val="004E2857"/>
    <w:rsid w:val="004E4A17"/>
    <w:rsid w:val="004E5F69"/>
    <w:rsid w:val="004E749E"/>
    <w:rsid w:val="004F2694"/>
    <w:rsid w:val="004F4949"/>
    <w:rsid w:val="004F498F"/>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410C3"/>
    <w:rsid w:val="0054157A"/>
    <w:rsid w:val="00543C06"/>
    <w:rsid w:val="00544DB1"/>
    <w:rsid w:val="0054505F"/>
    <w:rsid w:val="005458B8"/>
    <w:rsid w:val="0054636A"/>
    <w:rsid w:val="00546BBA"/>
    <w:rsid w:val="00546D0C"/>
    <w:rsid w:val="00546E70"/>
    <w:rsid w:val="00546FAD"/>
    <w:rsid w:val="00547F08"/>
    <w:rsid w:val="00553380"/>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558"/>
    <w:rsid w:val="0057159C"/>
    <w:rsid w:val="00571DDD"/>
    <w:rsid w:val="005722EF"/>
    <w:rsid w:val="00573F7F"/>
    <w:rsid w:val="00575D09"/>
    <w:rsid w:val="00575E98"/>
    <w:rsid w:val="00581883"/>
    <w:rsid w:val="005825B2"/>
    <w:rsid w:val="005845F7"/>
    <w:rsid w:val="00585734"/>
    <w:rsid w:val="0058649B"/>
    <w:rsid w:val="0058698A"/>
    <w:rsid w:val="00587E71"/>
    <w:rsid w:val="00590F9D"/>
    <w:rsid w:val="00590FCD"/>
    <w:rsid w:val="005928CB"/>
    <w:rsid w:val="005933AF"/>
    <w:rsid w:val="00593517"/>
    <w:rsid w:val="00595A67"/>
    <w:rsid w:val="00596568"/>
    <w:rsid w:val="005968F2"/>
    <w:rsid w:val="00596E67"/>
    <w:rsid w:val="0059774C"/>
    <w:rsid w:val="005978C1"/>
    <w:rsid w:val="005A0E17"/>
    <w:rsid w:val="005A21ED"/>
    <w:rsid w:val="005A2244"/>
    <w:rsid w:val="005A24A3"/>
    <w:rsid w:val="005A3613"/>
    <w:rsid w:val="005A40A4"/>
    <w:rsid w:val="005A43EB"/>
    <w:rsid w:val="005A4879"/>
    <w:rsid w:val="005A5D5E"/>
    <w:rsid w:val="005A61A4"/>
    <w:rsid w:val="005A65B0"/>
    <w:rsid w:val="005A6F04"/>
    <w:rsid w:val="005A7487"/>
    <w:rsid w:val="005A7CAA"/>
    <w:rsid w:val="005B0208"/>
    <w:rsid w:val="005B0E6C"/>
    <w:rsid w:val="005B2A47"/>
    <w:rsid w:val="005B2F15"/>
    <w:rsid w:val="005B36CA"/>
    <w:rsid w:val="005B3B2F"/>
    <w:rsid w:val="005B4A6C"/>
    <w:rsid w:val="005B4B4A"/>
    <w:rsid w:val="005B4B78"/>
    <w:rsid w:val="005B5A26"/>
    <w:rsid w:val="005B5EA9"/>
    <w:rsid w:val="005B63B7"/>
    <w:rsid w:val="005B6ACC"/>
    <w:rsid w:val="005B78CB"/>
    <w:rsid w:val="005B79FA"/>
    <w:rsid w:val="005C0766"/>
    <w:rsid w:val="005C2033"/>
    <w:rsid w:val="005C3B95"/>
    <w:rsid w:val="005C3FB8"/>
    <w:rsid w:val="005C476A"/>
    <w:rsid w:val="005C54A5"/>
    <w:rsid w:val="005C5746"/>
    <w:rsid w:val="005C75EE"/>
    <w:rsid w:val="005C7E12"/>
    <w:rsid w:val="005D0D12"/>
    <w:rsid w:val="005D20BD"/>
    <w:rsid w:val="005D2618"/>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6334"/>
    <w:rsid w:val="005F70A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79D"/>
    <w:rsid w:val="00624515"/>
    <w:rsid w:val="006245F9"/>
    <w:rsid w:val="00624E38"/>
    <w:rsid w:val="006255C4"/>
    <w:rsid w:val="00626FFE"/>
    <w:rsid w:val="0063253B"/>
    <w:rsid w:val="00632788"/>
    <w:rsid w:val="006361AA"/>
    <w:rsid w:val="00637096"/>
    <w:rsid w:val="00640D7D"/>
    <w:rsid w:val="00641AB9"/>
    <w:rsid w:val="00641D98"/>
    <w:rsid w:val="00642484"/>
    <w:rsid w:val="0064314E"/>
    <w:rsid w:val="006435F3"/>
    <w:rsid w:val="0064373D"/>
    <w:rsid w:val="00643A9C"/>
    <w:rsid w:val="00644C03"/>
    <w:rsid w:val="006454E9"/>
    <w:rsid w:val="0064774C"/>
    <w:rsid w:val="00647BB1"/>
    <w:rsid w:val="0065090C"/>
    <w:rsid w:val="00650EA5"/>
    <w:rsid w:val="00651277"/>
    <w:rsid w:val="006515BF"/>
    <w:rsid w:val="00652A43"/>
    <w:rsid w:val="00654923"/>
    <w:rsid w:val="00655B8E"/>
    <w:rsid w:val="0065693A"/>
    <w:rsid w:val="006600EB"/>
    <w:rsid w:val="00660386"/>
    <w:rsid w:val="00661D50"/>
    <w:rsid w:val="00662186"/>
    <w:rsid w:val="00663271"/>
    <w:rsid w:val="0066332D"/>
    <w:rsid w:val="006653F7"/>
    <w:rsid w:val="00665572"/>
    <w:rsid w:val="006658E9"/>
    <w:rsid w:val="00666DEE"/>
    <w:rsid w:val="00666E6A"/>
    <w:rsid w:val="00667FE1"/>
    <w:rsid w:val="006721FB"/>
    <w:rsid w:val="00672263"/>
    <w:rsid w:val="00672E6D"/>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348B"/>
    <w:rsid w:val="006A4704"/>
    <w:rsid w:val="006B1FAF"/>
    <w:rsid w:val="006B20B2"/>
    <w:rsid w:val="006B5B62"/>
    <w:rsid w:val="006B5D9C"/>
    <w:rsid w:val="006B672C"/>
    <w:rsid w:val="006C1D6F"/>
    <w:rsid w:val="006C1EC4"/>
    <w:rsid w:val="006C219B"/>
    <w:rsid w:val="006C22EF"/>
    <w:rsid w:val="006C3290"/>
    <w:rsid w:val="006C3CD1"/>
    <w:rsid w:val="006C5930"/>
    <w:rsid w:val="006C650F"/>
    <w:rsid w:val="006C6D90"/>
    <w:rsid w:val="006C7334"/>
    <w:rsid w:val="006C7927"/>
    <w:rsid w:val="006C7F20"/>
    <w:rsid w:val="006D0367"/>
    <w:rsid w:val="006D097C"/>
    <w:rsid w:val="006D13DF"/>
    <w:rsid w:val="006D15E2"/>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2C01"/>
    <w:rsid w:val="0074380B"/>
    <w:rsid w:val="00745043"/>
    <w:rsid w:val="00747BA1"/>
    <w:rsid w:val="00750A21"/>
    <w:rsid w:val="00750BCA"/>
    <w:rsid w:val="00755592"/>
    <w:rsid w:val="00755953"/>
    <w:rsid w:val="00756DEC"/>
    <w:rsid w:val="00756F03"/>
    <w:rsid w:val="00757F4B"/>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4896"/>
    <w:rsid w:val="00790B9C"/>
    <w:rsid w:val="0079170F"/>
    <w:rsid w:val="00792121"/>
    <w:rsid w:val="00792C20"/>
    <w:rsid w:val="00793FF7"/>
    <w:rsid w:val="0079504F"/>
    <w:rsid w:val="007958B9"/>
    <w:rsid w:val="00795A96"/>
    <w:rsid w:val="00797017"/>
    <w:rsid w:val="00797980"/>
    <w:rsid w:val="00797C8A"/>
    <w:rsid w:val="00797FCD"/>
    <w:rsid w:val="007A0CAD"/>
    <w:rsid w:val="007A2834"/>
    <w:rsid w:val="007A5046"/>
    <w:rsid w:val="007A6C6C"/>
    <w:rsid w:val="007A6D57"/>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9B1"/>
    <w:rsid w:val="008122EF"/>
    <w:rsid w:val="00812917"/>
    <w:rsid w:val="00812E0A"/>
    <w:rsid w:val="00813E0C"/>
    <w:rsid w:val="00814097"/>
    <w:rsid w:val="0081440F"/>
    <w:rsid w:val="00815158"/>
    <w:rsid w:val="00815F1F"/>
    <w:rsid w:val="008178A5"/>
    <w:rsid w:val="00817E55"/>
    <w:rsid w:val="008203B7"/>
    <w:rsid w:val="008214B1"/>
    <w:rsid w:val="00822389"/>
    <w:rsid w:val="008229B4"/>
    <w:rsid w:val="00823203"/>
    <w:rsid w:val="00825B9C"/>
    <w:rsid w:val="0082601E"/>
    <w:rsid w:val="00826741"/>
    <w:rsid w:val="008275FB"/>
    <w:rsid w:val="0083051D"/>
    <w:rsid w:val="00830A19"/>
    <w:rsid w:val="00831E72"/>
    <w:rsid w:val="00832B7B"/>
    <w:rsid w:val="0083397F"/>
    <w:rsid w:val="00834474"/>
    <w:rsid w:val="008348AE"/>
    <w:rsid w:val="00836831"/>
    <w:rsid w:val="00837C41"/>
    <w:rsid w:val="008401E6"/>
    <w:rsid w:val="008406FF"/>
    <w:rsid w:val="00841773"/>
    <w:rsid w:val="00841B86"/>
    <w:rsid w:val="00842F99"/>
    <w:rsid w:val="008430F9"/>
    <w:rsid w:val="00846509"/>
    <w:rsid w:val="00846709"/>
    <w:rsid w:val="00846DE1"/>
    <w:rsid w:val="00847173"/>
    <w:rsid w:val="008473D2"/>
    <w:rsid w:val="008474AC"/>
    <w:rsid w:val="00853FC3"/>
    <w:rsid w:val="00855096"/>
    <w:rsid w:val="008552FF"/>
    <w:rsid w:val="00856079"/>
    <w:rsid w:val="00861D20"/>
    <w:rsid w:val="008623F5"/>
    <w:rsid w:val="008633D9"/>
    <w:rsid w:val="00864045"/>
    <w:rsid w:val="00864E83"/>
    <w:rsid w:val="00865C43"/>
    <w:rsid w:val="00866A4F"/>
    <w:rsid w:val="00866B34"/>
    <w:rsid w:val="00866EAA"/>
    <w:rsid w:val="008670AA"/>
    <w:rsid w:val="0086761C"/>
    <w:rsid w:val="00870BC5"/>
    <w:rsid w:val="00870FE2"/>
    <w:rsid w:val="00873455"/>
    <w:rsid w:val="00873C39"/>
    <w:rsid w:val="00873E53"/>
    <w:rsid w:val="008744F5"/>
    <w:rsid w:val="008774D3"/>
    <w:rsid w:val="00880B2B"/>
    <w:rsid w:val="008817FE"/>
    <w:rsid w:val="00881FA0"/>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6211"/>
    <w:rsid w:val="008A64F9"/>
    <w:rsid w:val="008A7515"/>
    <w:rsid w:val="008A788C"/>
    <w:rsid w:val="008B0773"/>
    <w:rsid w:val="008B2204"/>
    <w:rsid w:val="008B249E"/>
    <w:rsid w:val="008B2833"/>
    <w:rsid w:val="008B3C74"/>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44DE"/>
    <w:rsid w:val="008C5406"/>
    <w:rsid w:val="008C7338"/>
    <w:rsid w:val="008C736F"/>
    <w:rsid w:val="008C79F2"/>
    <w:rsid w:val="008D08AC"/>
    <w:rsid w:val="008D0EE1"/>
    <w:rsid w:val="008D2D4B"/>
    <w:rsid w:val="008D39C9"/>
    <w:rsid w:val="008D46B3"/>
    <w:rsid w:val="008D4C19"/>
    <w:rsid w:val="008D5114"/>
    <w:rsid w:val="008D5189"/>
    <w:rsid w:val="008D58A4"/>
    <w:rsid w:val="008E02AD"/>
    <w:rsid w:val="008E10E5"/>
    <w:rsid w:val="008E172C"/>
    <w:rsid w:val="008E1AB5"/>
    <w:rsid w:val="008E1B75"/>
    <w:rsid w:val="008E1C6F"/>
    <w:rsid w:val="008E299C"/>
    <w:rsid w:val="008E2E2C"/>
    <w:rsid w:val="008E558B"/>
    <w:rsid w:val="008E674B"/>
    <w:rsid w:val="008E68B3"/>
    <w:rsid w:val="008F1BEC"/>
    <w:rsid w:val="008F4762"/>
    <w:rsid w:val="008F490E"/>
    <w:rsid w:val="008F4DC2"/>
    <w:rsid w:val="008F5DDF"/>
    <w:rsid w:val="008F63A9"/>
    <w:rsid w:val="008F66CF"/>
    <w:rsid w:val="008F6B4D"/>
    <w:rsid w:val="008F7627"/>
    <w:rsid w:val="008F7C4A"/>
    <w:rsid w:val="00900713"/>
    <w:rsid w:val="00900DCA"/>
    <w:rsid w:val="00902A41"/>
    <w:rsid w:val="00903B3E"/>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16B4"/>
    <w:rsid w:val="00932148"/>
    <w:rsid w:val="00932B23"/>
    <w:rsid w:val="00932BA7"/>
    <w:rsid w:val="00933117"/>
    <w:rsid w:val="00933224"/>
    <w:rsid w:val="009338F1"/>
    <w:rsid w:val="009357E6"/>
    <w:rsid w:val="00936754"/>
    <w:rsid w:val="00936B75"/>
    <w:rsid w:val="00937205"/>
    <w:rsid w:val="00937770"/>
    <w:rsid w:val="009402AD"/>
    <w:rsid w:val="00940BE1"/>
    <w:rsid w:val="009443D4"/>
    <w:rsid w:val="00944519"/>
    <w:rsid w:val="00944E42"/>
    <w:rsid w:val="009460EC"/>
    <w:rsid w:val="00946946"/>
    <w:rsid w:val="00946AD8"/>
    <w:rsid w:val="0094769E"/>
    <w:rsid w:val="00947918"/>
    <w:rsid w:val="00947CE0"/>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E98"/>
    <w:rsid w:val="009B24DC"/>
    <w:rsid w:val="009B34F7"/>
    <w:rsid w:val="009B3FE4"/>
    <w:rsid w:val="009B5519"/>
    <w:rsid w:val="009B63D6"/>
    <w:rsid w:val="009B6756"/>
    <w:rsid w:val="009C03B1"/>
    <w:rsid w:val="009C04BA"/>
    <w:rsid w:val="009C091D"/>
    <w:rsid w:val="009C2519"/>
    <w:rsid w:val="009C287D"/>
    <w:rsid w:val="009C3B0A"/>
    <w:rsid w:val="009C3FF6"/>
    <w:rsid w:val="009C474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5B11"/>
    <w:rsid w:val="00A00C8F"/>
    <w:rsid w:val="00A01144"/>
    <w:rsid w:val="00A018CE"/>
    <w:rsid w:val="00A0286F"/>
    <w:rsid w:val="00A02F83"/>
    <w:rsid w:val="00A03342"/>
    <w:rsid w:val="00A03B3D"/>
    <w:rsid w:val="00A04868"/>
    <w:rsid w:val="00A05D0D"/>
    <w:rsid w:val="00A063AF"/>
    <w:rsid w:val="00A10EE7"/>
    <w:rsid w:val="00A11BD1"/>
    <w:rsid w:val="00A11EAD"/>
    <w:rsid w:val="00A1271D"/>
    <w:rsid w:val="00A12A25"/>
    <w:rsid w:val="00A1488D"/>
    <w:rsid w:val="00A15F37"/>
    <w:rsid w:val="00A16DCF"/>
    <w:rsid w:val="00A20586"/>
    <w:rsid w:val="00A22424"/>
    <w:rsid w:val="00A22438"/>
    <w:rsid w:val="00A22BD8"/>
    <w:rsid w:val="00A26068"/>
    <w:rsid w:val="00A264AA"/>
    <w:rsid w:val="00A2698B"/>
    <w:rsid w:val="00A31546"/>
    <w:rsid w:val="00A31C5F"/>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F19"/>
    <w:rsid w:val="00A41975"/>
    <w:rsid w:val="00A42999"/>
    <w:rsid w:val="00A43992"/>
    <w:rsid w:val="00A43C66"/>
    <w:rsid w:val="00A44959"/>
    <w:rsid w:val="00A44B35"/>
    <w:rsid w:val="00A458F9"/>
    <w:rsid w:val="00A45D83"/>
    <w:rsid w:val="00A46705"/>
    <w:rsid w:val="00A474F3"/>
    <w:rsid w:val="00A47B76"/>
    <w:rsid w:val="00A47F4D"/>
    <w:rsid w:val="00A5193D"/>
    <w:rsid w:val="00A51E7A"/>
    <w:rsid w:val="00A531A8"/>
    <w:rsid w:val="00A537EC"/>
    <w:rsid w:val="00A53F9E"/>
    <w:rsid w:val="00A5480A"/>
    <w:rsid w:val="00A610FD"/>
    <w:rsid w:val="00A619BF"/>
    <w:rsid w:val="00A63E21"/>
    <w:rsid w:val="00A64D3D"/>
    <w:rsid w:val="00A64D87"/>
    <w:rsid w:val="00A659E7"/>
    <w:rsid w:val="00A65D15"/>
    <w:rsid w:val="00A65E82"/>
    <w:rsid w:val="00A65F86"/>
    <w:rsid w:val="00A66845"/>
    <w:rsid w:val="00A669FA"/>
    <w:rsid w:val="00A6789F"/>
    <w:rsid w:val="00A67E4B"/>
    <w:rsid w:val="00A7069B"/>
    <w:rsid w:val="00A70D97"/>
    <w:rsid w:val="00A7188B"/>
    <w:rsid w:val="00A72067"/>
    <w:rsid w:val="00A724C1"/>
    <w:rsid w:val="00A72F69"/>
    <w:rsid w:val="00A734F6"/>
    <w:rsid w:val="00A7387D"/>
    <w:rsid w:val="00A75009"/>
    <w:rsid w:val="00A80269"/>
    <w:rsid w:val="00A8074D"/>
    <w:rsid w:val="00A80FDF"/>
    <w:rsid w:val="00A81A80"/>
    <w:rsid w:val="00A820DB"/>
    <w:rsid w:val="00A8217C"/>
    <w:rsid w:val="00A87DC8"/>
    <w:rsid w:val="00A91517"/>
    <w:rsid w:val="00A91F9A"/>
    <w:rsid w:val="00A9221F"/>
    <w:rsid w:val="00A92A58"/>
    <w:rsid w:val="00A92B3C"/>
    <w:rsid w:val="00A92DCB"/>
    <w:rsid w:val="00A96D95"/>
    <w:rsid w:val="00A9785F"/>
    <w:rsid w:val="00AA0112"/>
    <w:rsid w:val="00AA073A"/>
    <w:rsid w:val="00AA32A0"/>
    <w:rsid w:val="00AA38A5"/>
    <w:rsid w:val="00AA449C"/>
    <w:rsid w:val="00AA46DB"/>
    <w:rsid w:val="00AA6C66"/>
    <w:rsid w:val="00AB2165"/>
    <w:rsid w:val="00AB2596"/>
    <w:rsid w:val="00AB43E5"/>
    <w:rsid w:val="00AB4BB1"/>
    <w:rsid w:val="00AB53E4"/>
    <w:rsid w:val="00AB5EE6"/>
    <w:rsid w:val="00AB617A"/>
    <w:rsid w:val="00AC17E1"/>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536B"/>
    <w:rsid w:val="00AE569E"/>
    <w:rsid w:val="00AE64B0"/>
    <w:rsid w:val="00AE6A34"/>
    <w:rsid w:val="00AF0DD0"/>
    <w:rsid w:val="00AF0F8B"/>
    <w:rsid w:val="00AF1AE0"/>
    <w:rsid w:val="00AF39E2"/>
    <w:rsid w:val="00AF4A57"/>
    <w:rsid w:val="00AF525C"/>
    <w:rsid w:val="00AF608A"/>
    <w:rsid w:val="00AF60D0"/>
    <w:rsid w:val="00AF787D"/>
    <w:rsid w:val="00AF7F41"/>
    <w:rsid w:val="00B00FBD"/>
    <w:rsid w:val="00B01220"/>
    <w:rsid w:val="00B01462"/>
    <w:rsid w:val="00B01F2D"/>
    <w:rsid w:val="00B01F3E"/>
    <w:rsid w:val="00B02AD1"/>
    <w:rsid w:val="00B02BB4"/>
    <w:rsid w:val="00B0319D"/>
    <w:rsid w:val="00B050BD"/>
    <w:rsid w:val="00B05C89"/>
    <w:rsid w:val="00B0697D"/>
    <w:rsid w:val="00B07216"/>
    <w:rsid w:val="00B10231"/>
    <w:rsid w:val="00B11EC7"/>
    <w:rsid w:val="00B124F7"/>
    <w:rsid w:val="00B12FDB"/>
    <w:rsid w:val="00B132AF"/>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80796"/>
    <w:rsid w:val="00B81485"/>
    <w:rsid w:val="00B8158B"/>
    <w:rsid w:val="00B8172D"/>
    <w:rsid w:val="00B81E8E"/>
    <w:rsid w:val="00B82EF8"/>
    <w:rsid w:val="00B83309"/>
    <w:rsid w:val="00B875CA"/>
    <w:rsid w:val="00B93C07"/>
    <w:rsid w:val="00B9467A"/>
    <w:rsid w:val="00B94C3A"/>
    <w:rsid w:val="00B96205"/>
    <w:rsid w:val="00B96952"/>
    <w:rsid w:val="00B96D86"/>
    <w:rsid w:val="00B97EBF"/>
    <w:rsid w:val="00BA0330"/>
    <w:rsid w:val="00BA26CD"/>
    <w:rsid w:val="00BA2B44"/>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F1D"/>
    <w:rsid w:val="00BB71F1"/>
    <w:rsid w:val="00BC1826"/>
    <w:rsid w:val="00BC36BD"/>
    <w:rsid w:val="00BC3826"/>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F03C9"/>
    <w:rsid w:val="00BF0C1C"/>
    <w:rsid w:val="00BF0C98"/>
    <w:rsid w:val="00BF22E3"/>
    <w:rsid w:val="00BF2D33"/>
    <w:rsid w:val="00BF5412"/>
    <w:rsid w:val="00BF7300"/>
    <w:rsid w:val="00C001F7"/>
    <w:rsid w:val="00C02834"/>
    <w:rsid w:val="00C028E1"/>
    <w:rsid w:val="00C03722"/>
    <w:rsid w:val="00C03E71"/>
    <w:rsid w:val="00C03F70"/>
    <w:rsid w:val="00C046E2"/>
    <w:rsid w:val="00C04A51"/>
    <w:rsid w:val="00C04B9F"/>
    <w:rsid w:val="00C05D1E"/>
    <w:rsid w:val="00C069CA"/>
    <w:rsid w:val="00C06D1F"/>
    <w:rsid w:val="00C10563"/>
    <w:rsid w:val="00C105B9"/>
    <w:rsid w:val="00C10C7A"/>
    <w:rsid w:val="00C1100A"/>
    <w:rsid w:val="00C1400D"/>
    <w:rsid w:val="00C14BFB"/>
    <w:rsid w:val="00C14C1F"/>
    <w:rsid w:val="00C17741"/>
    <w:rsid w:val="00C204A2"/>
    <w:rsid w:val="00C2110F"/>
    <w:rsid w:val="00C21A2A"/>
    <w:rsid w:val="00C22364"/>
    <w:rsid w:val="00C2276F"/>
    <w:rsid w:val="00C22CBD"/>
    <w:rsid w:val="00C23AD4"/>
    <w:rsid w:val="00C23C05"/>
    <w:rsid w:val="00C24DED"/>
    <w:rsid w:val="00C26F9F"/>
    <w:rsid w:val="00C277FD"/>
    <w:rsid w:val="00C32DD4"/>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83C"/>
    <w:rsid w:val="00C76A5C"/>
    <w:rsid w:val="00C779A6"/>
    <w:rsid w:val="00C8205A"/>
    <w:rsid w:val="00C82BD0"/>
    <w:rsid w:val="00C8364C"/>
    <w:rsid w:val="00C84031"/>
    <w:rsid w:val="00C84303"/>
    <w:rsid w:val="00C847E4"/>
    <w:rsid w:val="00C8692B"/>
    <w:rsid w:val="00C86FDB"/>
    <w:rsid w:val="00C90EFE"/>
    <w:rsid w:val="00C94B28"/>
    <w:rsid w:val="00C967F3"/>
    <w:rsid w:val="00C96872"/>
    <w:rsid w:val="00C972EF"/>
    <w:rsid w:val="00C9779B"/>
    <w:rsid w:val="00CA0784"/>
    <w:rsid w:val="00CA14F3"/>
    <w:rsid w:val="00CA1A56"/>
    <w:rsid w:val="00CA4380"/>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5B58"/>
    <w:rsid w:val="00CE5F1A"/>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A67"/>
    <w:rsid w:val="00D2158B"/>
    <w:rsid w:val="00D21624"/>
    <w:rsid w:val="00D22DD1"/>
    <w:rsid w:val="00D23753"/>
    <w:rsid w:val="00D23B58"/>
    <w:rsid w:val="00D23EAC"/>
    <w:rsid w:val="00D2455C"/>
    <w:rsid w:val="00D24C40"/>
    <w:rsid w:val="00D25B65"/>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3FA"/>
    <w:rsid w:val="00D44487"/>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38"/>
    <w:rsid w:val="00D803C6"/>
    <w:rsid w:val="00D8231A"/>
    <w:rsid w:val="00D84165"/>
    <w:rsid w:val="00D84B83"/>
    <w:rsid w:val="00D84E9E"/>
    <w:rsid w:val="00D85207"/>
    <w:rsid w:val="00D85897"/>
    <w:rsid w:val="00D86416"/>
    <w:rsid w:val="00D86BF4"/>
    <w:rsid w:val="00D9401A"/>
    <w:rsid w:val="00D94107"/>
    <w:rsid w:val="00D95BE4"/>
    <w:rsid w:val="00D96C94"/>
    <w:rsid w:val="00D96CF5"/>
    <w:rsid w:val="00DA01C2"/>
    <w:rsid w:val="00DA0295"/>
    <w:rsid w:val="00DA1266"/>
    <w:rsid w:val="00DA1BAF"/>
    <w:rsid w:val="00DA3433"/>
    <w:rsid w:val="00DA37D7"/>
    <w:rsid w:val="00DA38B4"/>
    <w:rsid w:val="00DA4899"/>
    <w:rsid w:val="00DA4A3E"/>
    <w:rsid w:val="00DA5410"/>
    <w:rsid w:val="00DA5C5D"/>
    <w:rsid w:val="00DA6CE1"/>
    <w:rsid w:val="00DA6D32"/>
    <w:rsid w:val="00DA6DDB"/>
    <w:rsid w:val="00DA772A"/>
    <w:rsid w:val="00DB1DFF"/>
    <w:rsid w:val="00DB25F9"/>
    <w:rsid w:val="00DB2D9A"/>
    <w:rsid w:val="00DB2FA2"/>
    <w:rsid w:val="00DB61C4"/>
    <w:rsid w:val="00DB6294"/>
    <w:rsid w:val="00DB644A"/>
    <w:rsid w:val="00DC054F"/>
    <w:rsid w:val="00DC063B"/>
    <w:rsid w:val="00DC393C"/>
    <w:rsid w:val="00DC426F"/>
    <w:rsid w:val="00DC4494"/>
    <w:rsid w:val="00DC4AEC"/>
    <w:rsid w:val="00DC4FD4"/>
    <w:rsid w:val="00DC54DA"/>
    <w:rsid w:val="00DC611E"/>
    <w:rsid w:val="00DC6A6A"/>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5BEE"/>
    <w:rsid w:val="00DE6685"/>
    <w:rsid w:val="00DE6913"/>
    <w:rsid w:val="00DE71B1"/>
    <w:rsid w:val="00DE7461"/>
    <w:rsid w:val="00DE7DA4"/>
    <w:rsid w:val="00DF311E"/>
    <w:rsid w:val="00DF4AE5"/>
    <w:rsid w:val="00DF56C4"/>
    <w:rsid w:val="00DF65DC"/>
    <w:rsid w:val="00DF72D9"/>
    <w:rsid w:val="00DF7528"/>
    <w:rsid w:val="00DF77A7"/>
    <w:rsid w:val="00DF7C11"/>
    <w:rsid w:val="00E01029"/>
    <w:rsid w:val="00E031BE"/>
    <w:rsid w:val="00E03A59"/>
    <w:rsid w:val="00E03C4C"/>
    <w:rsid w:val="00E04E74"/>
    <w:rsid w:val="00E0532F"/>
    <w:rsid w:val="00E064DE"/>
    <w:rsid w:val="00E06D42"/>
    <w:rsid w:val="00E1077D"/>
    <w:rsid w:val="00E108DF"/>
    <w:rsid w:val="00E11826"/>
    <w:rsid w:val="00E11AD6"/>
    <w:rsid w:val="00E123B1"/>
    <w:rsid w:val="00E14072"/>
    <w:rsid w:val="00E166EF"/>
    <w:rsid w:val="00E16E21"/>
    <w:rsid w:val="00E17B65"/>
    <w:rsid w:val="00E22B3D"/>
    <w:rsid w:val="00E24473"/>
    <w:rsid w:val="00E252CC"/>
    <w:rsid w:val="00E27171"/>
    <w:rsid w:val="00E27374"/>
    <w:rsid w:val="00E2768C"/>
    <w:rsid w:val="00E27AEF"/>
    <w:rsid w:val="00E27CE6"/>
    <w:rsid w:val="00E27D7A"/>
    <w:rsid w:val="00E301F5"/>
    <w:rsid w:val="00E30271"/>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4D91"/>
    <w:rsid w:val="00E474FD"/>
    <w:rsid w:val="00E51AB2"/>
    <w:rsid w:val="00E51CF1"/>
    <w:rsid w:val="00E51E2D"/>
    <w:rsid w:val="00E5301C"/>
    <w:rsid w:val="00E5514B"/>
    <w:rsid w:val="00E55D09"/>
    <w:rsid w:val="00E55EDB"/>
    <w:rsid w:val="00E632C3"/>
    <w:rsid w:val="00E64AA4"/>
    <w:rsid w:val="00E64CDE"/>
    <w:rsid w:val="00E64F83"/>
    <w:rsid w:val="00E66248"/>
    <w:rsid w:val="00E66B2C"/>
    <w:rsid w:val="00E67701"/>
    <w:rsid w:val="00E67BE7"/>
    <w:rsid w:val="00E67EC9"/>
    <w:rsid w:val="00E707D9"/>
    <w:rsid w:val="00E70FF7"/>
    <w:rsid w:val="00E7119F"/>
    <w:rsid w:val="00E711A4"/>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845"/>
    <w:rsid w:val="00E879E3"/>
    <w:rsid w:val="00E87CF9"/>
    <w:rsid w:val="00E87FA2"/>
    <w:rsid w:val="00E91602"/>
    <w:rsid w:val="00E93DEA"/>
    <w:rsid w:val="00E959F9"/>
    <w:rsid w:val="00E968BB"/>
    <w:rsid w:val="00E96F98"/>
    <w:rsid w:val="00E97812"/>
    <w:rsid w:val="00EA1B02"/>
    <w:rsid w:val="00EA3B57"/>
    <w:rsid w:val="00EA4AF9"/>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58BB"/>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60D6"/>
    <w:rsid w:val="00F46501"/>
    <w:rsid w:val="00F4650E"/>
    <w:rsid w:val="00F46914"/>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B25"/>
    <w:rsid w:val="00FE34A5"/>
    <w:rsid w:val="00FE496B"/>
    <w:rsid w:val="00FE65C4"/>
    <w:rsid w:val="00FE7D1B"/>
    <w:rsid w:val="00FF0958"/>
    <w:rsid w:val="00FF0E92"/>
    <w:rsid w:val="00FF2A73"/>
    <w:rsid w:val="00FF32F5"/>
    <w:rsid w:val="00FF3EAD"/>
    <w:rsid w:val="00FF49D3"/>
    <w:rsid w:val="00FF725F"/>
    <w:rsid w:val="00FF7960"/>
    <w:rsid w:val="0132189F"/>
    <w:rsid w:val="01B61467"/>
    <w:rsid w:val="02157BAF"/>
    <w:rsid w:val="0242180B"/>
    <w:rsid w:val="024345BA"/>
    <w:rsid w:val="0270349D"/>
    <w:rsid w:val="02964BB7"/>
    <w:rsid w:val="02E0372B"/>
    <w:rsid w:val="02F14E73"/>
    <w:rsid w:val="0319786E"/>
    <w:rsid w:val="03466744"/>
    <w:rsid w:val="03817B7B"/>
    <w:rsid w:val="03A847B0"/>
    <w:rsid w:val="046271CE"/>
    <w:rsid w:val="04730CD1"/>
    <w:rsid w:val="048831CD"/>
    <w:rsid w:val="048B3C62"/>
    <w:rsid w:val="04B25558"/>
    <w:rsid w:val="04B65CF8"/>
    <w:rsid w:val="04CA2741"/>
    <w:rsid w:val="04CB430C"/>
    <w:rsid w:val="04E36C7A"/>
    <w:rsid w:val="04EE69F2"/>
    <w:rsid w:val="050A2CE1"/>
    <w:rsid w:val="05157BA2"/>
    <w:rsid w:val="057A0121"/>
    <w:rsid w:val="05C97A79"/>
    <w:rsid w:val="05FA3EFF"/>
    <w:rsid w:val="06142963"/>
    <w:rsid w:val="065244E2"/>
    <w:rsid w:val="068E4CB3"/>
    <w:rsid w:val="069B7985"/>
    <w:rsid w:val="06D51DF7"/>
    <w:rsid w:val="06DA1003"/>
    <w:rsid w:val="06E72879"/>
    <w:rsid w:val="06FB0554"/>
    <w:rsid w:val="07074D68"/>
    <w:rsid w:val="076E2F31"/>
    <w:rsid w:val="0777171E"/>
    <w:rsid w:val="079325A4"/>
    <w:rsid w:val="07EF6563"/>
    <w:rsid w:val="08064312"/>
    <w:rsid w:val="08103F84"/>
    <w:rsid w:val="08297926"/>
    <w:rsid w:val="08B115BE"/>
    <w:rsid w:val="08C8586E"/>
    <w:rsid w:val="08CD7C2E"/>
    <w:rsid w:val="08EB1904"/>
    <w:rsid w:val="08F73F7E"/>
    <w:rsid w:val="09094D5B"/>
    <w:rsid w:val="092729EC"/>
    <w:rsid w:val="0A661BE4"/>
    <w:rsid w:val="0AB274C1"/>
    <w:rsid w:val="0ABA45C7"/>
    <w:rsid w:val="0B4128A5"/>
    <w:rsid w:val="0C51256B"/>
    <w:rsid w:val="0C633EE5"/>
    <w:rsid w:val="0CA7320E"/>
    <w:rsid w:val="0CCB4B3A"/>
    <w:rsid w:val="0D142B2A"/>
    <w:rsid w:val="0D2A3BCC"/>
    <w:rsid w:val="0D722EC0"/>
    <w:rsid w:val="0E3B3453"/>
    <w:rsid w:val="0E9B5476"/>
    <w:rsid w:val="0EF0664B"/>
    <w:rsid w:val="0F1371AF"/>
    <w:rsid w:val="0FED083D"/>
    <w:rsid w:val="0FFA439F"/>
    <w:rsid w:val="10363B99"/>
    <w:rsid w:val="10763B40"/>
    <w:rsid w:val="108259CF"/>
    <w:rsid w:val="109444A5"/>
    <w:rsid w:val="10B22749"/>
    <w:rsid w:val="10C33DFD"/>
    <w:rsid w:val="10CE29BB"/>
    <w:rsid w:val="1196344A"/>
    <w:rsid w:val="11A80BA1"/>
    <w:rsid w:val="121D3322"/>
    <w:rsid w:val="12303925"/>
    <w:rsid w:val="12A7742E"/>
    <w:rsid w:val="12E61BEF"/>
    <w:rsid w:val="1332616D"/>
    <w:rsid w:val="137E4054"/>
    <w:rsid w:val="13887774"/>
    <w:rsid w:val="13CC0136"/>
    <w:rsid w:val="13DF3613"/>
    <w:rsid w:val="13EA5949"/>
    <w:rsid w:val="13FD7924"/>
    <w:rsid w:val="14230E50"/>
    <w:rsid w:val="14315888"/>
    <w:rsid w:val="14662D74"/>
    <w:rsid w:val="146E2403"/>
    <w:rsid w:val="147877F9"/>
    <w:rsid w:val="148443FC"/>
    <w:rsid w:val="14920E1D"/>
    <w:rsid w:val="14C74A66"/>
    <w:rsid w:val="14D54609"/>
    <w:rsid w:val="14FF7E73"/>
    <w:rsid w:val="1609578F"/>
    <w:rsid w:val="16184F77"/>
    <w:rsid w:val="16701C3B"/>
    <w:rsid w:val="16DC5B04"/>
    <w:rsid w:val="16F42B84"/>
    <w:rsid w:val="171B3F7D"/>
    <w:rsid w:val="17A530E5"/>
    <w:rsid w:val="17B00BF7"/>
    <w:rsid w:val="17D44BAC"/>
    <w:rsid w:val="181A1258"/>
    <w:rsid w:val="18927253"/>
    <w:rsid w:val="19667B1F"/>
    <w:rsid w:val="197F4058"/>
    <w:rsid w:val="19C174FB"/>
    <w:rsid w:val="19CF2AFA"/>
    <w:rsid w:val="1A432459"/>
    <w:rsid w:val="1A4475B5"/>
    <w:rsid w:val="1A9848EB"/>
    <w:rsid w:val="1B41692D"/>
    <w:rsid w:val="1B7F1CF7"/>
    <w:rsid w:val="1BBD4008"/>
    <w:rsid w:val="1C867978"/>
    <w:rsid w:val="1CC205A8"/>
    <w:rsid w:val="1D8636DA"/>
    <w:rsid w:val="1DBB1483"/>
    <w:rsid w:val="1E2456C9"/>
    <w:rsid w:val="1E2938EB"/>
    <w:rsid w:val="1E4609EC"/>
    <w:rsid w:val="1E5872EF"/>
    <w:rsid w:val="1EB770F2"/>
    <w:rsid w:val="1F6D7D96"/>
    <w:rsid w:val="1FD978B9"/>
    <w:rsid w:val="20C437D9"/>
    <w:rsid w:val="20E00149"/>
    <w:rsid w:val="21625665"/>
    <w:rsid w:val="21BA6C0D"/>
    <w:rsid w:val="221654BB"/>
    <w:rsid w:val="222E4A42"/>
    <w:rsid w:val="225324DA"/>
    <w:rsid w:val="22543494"/>
    <w:rsid w:val="228D6354"/>
    <w:rsid w:val="22A16615"/>
    <w:rsid w:val="22CD2140"/>
    <w:rsid w:val="23196F37"/>
    <w:rsid w:val="23CD1FB0"/>
    <w:rsid w:val="245437CF"/>
    <w:rsid w:val="246636D5"/>
    <w:rsid w:val="2480166F"/>
    <w:rsid w:val="249B2E25"/>
    <w:rsid w:val="24DE0E06"/>
    <w:rsid w:val="25BB7858"/>
    <w:rsid w:val="25F71B9C"/>
    <w:rsid w:val="26340887"/>
    <w:rsid w:val="266A2071"/>
    <w:rsid w:val="269C0C42"/>
    <w:rsid w:val="26DF4F98"/>
    <w:rsid w:val="270B2208"/>
    <w:rsid w:val="27256F7B"/>
    <w:rsid w:val="27973976"/>
    <w:rsid w:val="27A57918"/>
    <w:rsid w:val="27AC75BE"/>
    <w:rsid w:val="27C44E29"/>
    <w:rsid w:val="27F037AE"/>
    <w:rsid w:val="2828490B"/>
    <w:rsid w:val="28657D8E"/>
    <w:rsid w:val="28A35CF7"/>
    <w:rsid w:val="28CA251A"/>
    <w:rsid w:val="28D11FA7"/>
    <w:rsid w:val="294B4E23"/>
    <w:rsid w:val="295C2DFA"/>
    <w:rsid w:val="29B92D85"/>
    <w:rsid w:val="2A3E4CE3"/>
    <w:rsid w:val="2A49750E"/>
    <w:rsid w:val="2A896E93"/>
    <w:rsid w:val="2AA56458"/>
    <w:rsid w:val="2AE92E2D"/>
    <w:rsid w:val="2BE0771F"/>
    <w:rsid w:val="2BE15DF0"/>
    <w:rsid w:val="2C1C1298"/>
    <w:rsid w:val="2C1D23AF"/>
    <w:rsid w:val="2C8C42F8"/>
    <w:rsid w:val="2CA332FA"/>
    <w:rsid w:val="2CBE452A"/>
    <w:rsid w:val="2D030945"/>
    <w:rsid w:val="2D2512D9"/>
    <w:rsid w:val="2D366D6B"/>
    <w:rsid w:val="2D502392"/>
    <w:rsid w:val="2DB01DAD"/>
    <w:rsid w:val="2E4C45E2"/>
    <w:rsid w:val="2E944D31"/>
    <w:rsid w:val="2EC328A6"/>
    <w:rsid w:val="2F09535D"/>
    <w:rsid w:val="2F412CFF"/>
    <w:rsid w:val="2F8A6913"/>
    <w:rsid w:val="2F8C5D62"/>
    <w:rsid w:val="3044466D"/>
    <w:rsid w:val="30D51CF2"/>
    <w:rsid w:val="30EC49F0"/>
    <w:rsid w:val="312729F5"/>
    <w:rsid w:val="32130321"/>
    <w:rsid w:val="32563DCD"/>
    <w:rsid w:val="327B5967"/>
    <w:rsid w:val="32942857"/>
    <w:rsid w:val="33150AC5"/>
    <w:rsid w:val="33524655"/>
    <w:rsid w:val="33696CE6"/>
    <w:rsid w:val="33DA3FDB"/>
    <w:rsid w:val="33E7277D"/>
    <w:rsid w:val="33EC76A0"/>
    <w:rsid w:val="340C1258"/>
    <w:rsid w:val="341E5108"/>
    <w:rsid w:val="34904536"/>
    <w:rsid w:val="34E30DEB"/>
    <w:rsid w:val="352232E1"/>
    <w:rsid w:val="355F580C"/>
    <w:rsid w:val="36BF1B52"/>
    <w:rsid w:val="37233C92"/>
    <w:rsid w:val="372F1E31"/>
    <w:rsid w:val="3744211E"/>
    <w:rsid w:val="374B2599"/>
    <w:rsid w:val="374D4BF2"/>
    <w:rsid w:val="3844666B"/>
    <w:rsid w:val="38B92252"/>
    <w:rsid w:val="39242F8A"/>
    <w:rsid w:val="39587C6F"/>
    <w:rsid w:val="3A02435F"/>
    <w:rsid w:val="3A3B36DD"/>
    <w:rsid w:val="3AC213F1"/>
    <w:rsid w:val="3B095898"/>
    <w:rsid w:val="3B0E509C"/>
    <w:rsid w:val="3B696559"/>
    <w:rsid w:val="3B6B1BFD"/>
    <w:rsid w:val="3C012C60"/>
    <w:rsid w:val="3C713E6E"/>
    <w:rsid w:val="3C7921E9"/>
    <w:rsid w:val="3C861606"/>
    <w:rsid w:val="3C9B7E46"/>
    <w:rsid w:val="3CBD0E6B"/>
    <w:rsid w:val="3CD95617"/>
    <w:rsid w:val="3DC612C4"/>
    <w:rsid w:val="3DF416E9"/>
    <w:rsid w:val="3DF47616"/>
    <w:rsid w:val="3E05771F"/>
    <w:rsid w:val="3E1D4DF6"/>
    <w:rsid w:val="3ED92ACB"/>
    <w:rsid w:val="3F215B84"/>
    <w:rsid w:val="3F241C50"/>
    <w:rsid w:val="3F6F319B"/>
    <w:rsid w:val="3FD773D8"/>
    <w:rsid w:val="3FFB210A"/>
    <w:rsid w:val="400C0C60"/>
    <w:rsid w:val="40BF6320"/>
    <w:rsid w:val="40D77CFB"/>
    <w:rsid w:val="41181F47"/>
    <w:rsid w:val="41791B6C"/>
    <w:rsid w:val="418E47F1"/>
    <w:rsid w:val="41C00C1C"/>
    <w:rsid w:val="41D61543"/>
    <w:rsid w:val="424718E9"/>
    <w:rsid w:val="42871C78"/>
    <w:rsid w:val="429706CB"/>
    <w:rsid w:val="43016E8C"/>
    <w:rsid w:val="431D6B70"/>
    <w:rsid w:val="432A19B5"/>
    <w:rsid w:val="43645DDD"/>
    <w:rsid w:val="43741014"/>
    <w:rsid w:val="44653FDD"/>
    <w:rsid w:val="449726AA"/>
    <w:rsid w:val="44A05C5B"/>
    <w:rsid w:val="44BB308D"/>
    <w:rsid w:val="44E65610"/>
    <w:rsid w:val="45494127"/>
    <w:rsid w:val="454C7DA8"/>
    <w:rsid w:val="45DD1325"/>
    <w:rsid w:val="461C1338"/>
    <w:rsid w:val="4653381D"/>
    <w:rsid w:val="465D6FBE"/>
    <w:rsid w:val="46691F4A"/>
    <w:rsid w:val="46905B32"/>
    <w:rsid w:val="46AD4235"/>
    <w:rsid w:val="46BE54BF"/>
    <w:rsid w:val="470D128A"/>
    <w:rsid w:val="47B333C0"/>
    <w:rsid w:val="480504D6"/>
    <w:rsid w:val="49616DA7"/>
    <w:rsid w:val="49905AF9"/>
    <w:rsid w:val="4A0C5321"/>
    <w:rsid w:val="4A434EE9"/>
    <w:rsid w:val="4AD93E52"/>
    <w:rsid w:val="4B2652EA"/>
    <w:rsid w:val="4B454EC6"/>
    <w:rsid w:val="4BD10222"/>
    <w:rsid w:val="4C8E0B8F"/>
    <w:rsid w:val="4CD75240"/>
    <w:rsid w:val="4D34390D"/>
    <w:rsid w:val="4D5E7ADB"/>
    <w:rsid w:val="4D654093"/>
    <w:rsid w:val="4D802E64"/>
    <w:rsid w:val="4DD9654B"/>
    <w:rsid w:val="4DED5498"/>
    <w:rsid w:val="4E437D75"/>
    <w:rsid w:val="4F931398"/>
    <w:rsid w:val="50095044"/>
    <w:rsid w:val="50907598"/>
    <w:rsid w:val="511D1732"/>
    <w:rsid w:val="51257D51"/>
    <w:rsid w:val="512A5CE8"/>
    <w:rsid w:val="516314A7"/>
    <w:rsid w:val="51680AC2"/>
    <w:rsid w:val="516E3F7C"/>
    <w:rsid w:val="51B53CD8"/>
    <w:rsid w:val="52596E8A"/>
    <w:rsid w:val="527E2ED8"/>
    <w:rsid w:val="52AD1297"/>
    <w:rsid w:val="52BB41D1"/>
    <w:rsid w:val="52C673A9"/>
    <w:rsid w:val="53047508"/>
    <w:rsid w:val="531D3D91"/>
    <w:rsid w:val="534D301B"/>
    <w:rsid w:val="539E6D82"/>
    <w:rsid w:val="54010E82"/>
    <w:rsid w:val="541E0777"/>
    <w:rsid w:val="54AC6029"/>
    <w:rsid w:val="54C27ACE"/>
    <w:rsid w:val="55453244"/>
    <w:rsid w:val="5552072C"/>
    <w:rsid w:val="55C836D8"/>
    <w:rsid w:val="563919B4"/>
    <w:rsid w:val="57E33B36"/>
    <w:rsid w:val="581E7E10"/>
    <w:rsid w:val="58236E9B"/>
    <w:rsid w:val="588335AB"/>
    <w:rsid w:val="589C2631"/>
    <w:rsid w:val="589D48A2"/>
    <w:rsid w:val="58F416D1"/>
    <w:rsid w:val="5907025D"/>
    <w:rsid w:val="593A6596"/>
    <w:rsid w:val="59A059FB"/>
    <w:rsid w:val="5A3D61AC"/>
    <w:rsid w:val="5A826473"/>
    <w:rsid w:val="5ABB702F"/>
    <w:rsid w:val="5AE55A24"/>
    <w:rsid w:val="5B8B67A9"/>
    <w:rsid w:val="5BB054F9"/>
    <w:rsid w:val="5C237872"/>
    <w:rsid w:val="5C3B0C6E"/>
    <w:rsid w:val="5C7A3D75"/>
    <w:rsid w:val="5CD01973"/>
    <w:rsid w:val="5D082B9D"/>
    <w:rsid w:val="5D2F66E8"/>
    <w:rsid w:val="5D712939"/>
    <w:rsid w:val="5DAC072F"/>
    <w:rsid w:val="5DB95026"/>
    <w:rsid w:val="5DCF35BF"/>
    <w:rsid w:val="5E973A7A"/>
    <w:rsid w:val="5F213580"/>
    <w:rsid w:val="5FB87B5F"/>
    <w:rsid w:val="5FC5273D"/>
    <w:rsid w:val="5FD37C12"/>
    <w:rsid w:val="603D4B61"/>
    <w:rsid w:val="60A31DDB"/>
    <w:rsid w:val="60EA5521"/>
    <w:rsid w:val="61254FB0"/>
    <w:rsid w:val="61293C60"/>
    <w:rsid w:val="61313249"/>
    <w:rsid w:val="61481C9C"/>
    <w:rsid w:val="61894D8C"/>
    <w:rsid w:val="61B50644"/>
    <w:rsid w:val="622E3C3E"/>
    <w:rsid w:val="627E2877"/>
    <w:rsid w:val="629740A7"/>
    <w:rsid w:val="62B806D8"/>
    <w:rsid w:val="62E736E5"/>
    <w:rsid w:val="630261E5"/>
    <w:rsid w:val="63B77048"/>
    <w:rsid w:val="63D86152"/>
    <w:rsid w:val="63F61158"/>
    <w:rsid w:val="6433054D"/>
    <w:rsid w:val="64692930"/>
    <w:rsid w:val="6481238F"/>
    <w:rsid w:val="64FC2EFB"/>
    <w:rsid w:val="65087432"/>
    <w:rsid w:val="657167CD"/>
    <w:rsid w:val="659E1FFE"/>
    <w:rsid w:val="664470E6"/>
    <w:rsid w:val="66724C91"/>
    <w:rsid w:val="66FE4072"/>
    <w:rsid w:val="67341535"/>
    <w:rsid w:val="67CD74FC"/>
    <w:rsid w:val="67EF710B"/>
    <w:rsid w:val="68014E2F"/>
    <w:rsid w:val="681F5143"/>
    <w:rsid w:val="6865617D"/>
    <w:rsid w:val="686A07D4"/>
    <w:rsid w:val="68B735CD"/>
    <w:rsid w:val="68FD36D6"/>
    <w:rsid w:val="695833C7"/>
    <w:rsid w:val="697446CC"/>
    <w:rsid w:val="69C16178"/>
    <w:rsid w:val="69EA386D"/>
    <w:rsid w:val="69F70FB4"/>
    <w:rsid w:val="6A3E1B0F"/>
    <w:rsid w:val="6A5C430C"/>
    <w:rsid w:val="6AC24FBA"/>
    <w:rsid w:val="6B092CA7"/>
    <w:rsid w:val="6B805CD7"/>
    <w:rsid w:val="6B89056B"/>
    <w:rsid w:val="6B8F13B4"/>
    <w:rsid w:val="6C086943"/>
    <w:rsid w:val="6C304556"/>
    <w:rsid w:val="6C30724E"/>
    <w:rsid w:val="6C6337A8"/>
    <w:rsid w:val="6C7C5E22"/>
    <w:rsid w:val="6C8F3A70"/>
    <w:rsid w:val="6D8A4C4F"/>
    <w:rsid w:val="6E2B3CE6"/>
    <w:rsid w:val="6EBE16CC"/>
    <w:rsid w:val="6EC842E3"/>
    <w:rsid w:val="6ED3761B"/>
    <w:rsid w:val="6ED50421"/>
    <w:rsid w:val="6F627BC1"/>
    <w:rsid w:val="6FEC3A28"/>
    <w:rsid w:val="6FFC3846"/>
    <w:rsid w:val="70190A6A"/>
    <w:rsid w:val="70DA04B3"/>
    <w:rsid w:val="70DA1BB4"/>
    <w:rsid w:val="70DD7609"/>
    <w:rsid w:val="716C72CB"/>
    <w:rsid w:val="71B601F0"/>
    <w:rsid w:val="71E02214"/>
    <w:rsid w:val="727E45B5"/>
    <w:rsid w:val="72847CAE"/>
    <w:rsid w:val="72920854"/>
    <w:rsid w:val="72CF7310"/>
    <w:rsid w:val="732A6DF8"/>
    <w:rsid w:val="74945A14"/>
    <w:rsid w:val="74D143DF"/>
    <w:rsid w:val="75071EB1"/>
    <w:rsid w:val="754908E9"/>
    <w:rsid w:val="758D193E"/>
    <w:rsid w:val="75AD1FE0"/>
    <w:rsid w:val="763A6DDA"/>
    <w:rsid w:val="764C02FA"/>
    <w:rsid w:val="765E6AE5"/>
    <w:rsid w:val="767D0223"/>
    <w:rsid w:val="768B7B98"/>
    <w:rsid w:val="775171D0"/>
    <w:rsid w:val="775D4F2B"/>
    <w:rsid w:val="77691E72"/>
    <w:rsid w:val="777A57C0"/>
    <w:rsid w:val="77AC166A"/>
    <w:rsid w:val="786A14B8"/>
    <w:rsid w:val="789A3A8E"/>
    <w:rsid w:val="78C7066D"/>
    <w:rsid w:val="79982490"/>
    <w:rsid w:val="79EA1A55"/>
    <w:rsid w:val="79FE376E"/>
    <w:rsid w:val="7A041952"/>
    <w:rsid w:val="7ADE4CE0"/>
    <w:rsid w:val="7AE26989"/>
    <w:rsid w:val="7B372EA6"/>
    <w:rsid w:val="7B6E289F"/>
    <w:rsid w:val="7C2400DE"/>
    <w:rsid w:val="7C51281B"/>
    <w:rsid w:val="7C7439CF"/>
    <w:rsid w:val="7CED38A3"/>
    <w:rsid w:val="7CF86E16"/>
    <w:rsid w:val="7D5E4550"/>
    <w:rsid w:val="7D5F2062"/>
    <w:rsid w:val="7D857823"/>
    <w:rsid w:val="7D8C063D"/>
    <w:rsid w:val="7DC70258"/>
    <w:rsid w:val="7DD022F0"/>
    <w:rsid w:val="7DD55678"/>
    <w:rsid w:val="7DD869BC"/>
    <w:rsid w:val="7E8B4E88"/>
    <w:rsid w:val="7E8E30AC"/>
    <w:rsid w:val="7EA42A65"/>
    <w:rsid w:val="7EB55A9A"/>
    <w:rsid w:val="7EFE65C8"/>
    <w:rsid w:val="7F1F758D"/>
    <w:rsid w:val="7F2E11CA"/>
    <w:rsid w:val="7F403833"/>
    <w:rsid w:val="7F897F2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99" w:semiHidden="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28"/>
    <w:semiHidden/>
    <w:unhideWhenUsed/>
    <w:qFormat/>
    <w:uiPriority w:val="0"/>
    <w:rPr>
      <w:rFonts w:ascii="宋体"/>
      <w:sz w:val="18"/>
      <w:szCs w:val="18"/>
    </w:rPr>
  </w:style>
  <w:style w:type="paragraph" w:styleId="3">
    <w:name w:val="annotation text"/>
    <w:basedOn w:val="1"/>
    <w:link w:val="22"/>
    <w:unhideWhenUsed/>
    <w:qFormat/>
    <w:uiPriority w:val="99"/>
    <w:pPr>
      <w:jc w:val="left"/>
    </w:pPr>
  </w:style>
  <w:style w:type="paragraph" w:styleId="4">
    <w:name w:val="Date"/>
    <w:basedOn w:val="1"/>
    <w:next w:val="1"/>
    <w:link w:val="21"/>
    <w:qFormat/>
    <w:uiPriority w:val="0"/>
    <w:rPr>
      <w:rFonts w:ascii="CG Times" w:hAnsi="CG Times" w:eastAsia="楷体_GB2312"/>
      <w:sz w:val="28"/>
      <w:szCs w:val="20"/>
    </w:rPr>
  </w:style>
  <w:style w:type="paragraph" w:styleId="5">
    <w:name w:val="Balloon Text"/>
    <w:basedOn w:val="1"/>
    <w:link w:val="24"/>
    <w:unhideWhenUsed/>
    <w:qFormat/>
    <w:uiPriority w:val="99"/>
    <w:rPr>
      <w:sz w:val="18"/>
      <w:szCs w:val="18"/>
    </w:rPr>
  </w:style>
  <w:style w:type="paragraph" w:styleId="6">
    <w:name w:val="footer"/>
    <w:basedOn w:val="1"/>
    <w:link w:val="26"/>
    <w:unhideWhenUsed/>
    <w:qFormat/>
    <w:uiPriority w:val="99"/>
    <w:pPr>
      <w:tabs>
        <w:tab w:val="center" w:pos="4153"/>
        <w:tab w:val="right" w:pos="8306"/>
      </w:tabs>
      <w:snapToGrid w:val="0"/>
      <w:jc w:val="left"/>
    </w:pPr>
    <w:rPr>
      <w:sz w:val="18"/>
      <w:szCs w:val="18"/>
    </w:rPr>
  </w:style>
  <w:style w:type="paragraph" w:styleId="7">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Body Text Indent 3"/>
    <w:basedOn w:val="1"/>
    <w:qFormat/>
    <w:uiPriority w:val="0"/>
    <w:pPr>
      <w:spacing w:line="560" w:lineRule="exact"/>
      <w:ind w:firstLine="420"/>
    </w:pPr>
    <w:rPr>
      <w:sz w:val="28"/>
    </w:rPr>
  </w:style>
  <w:style w:type="paragraph" w:styleId="9">
    <w:name w:val="Normal (Web)"/>
    <w:basedOn w:val="1"/>
    <w:unhideWhenUsed/>
    <w:qFormat/>
    <w:uiPriority w:val="0"/>
    <w:pPr>
      <w:spacing w:beforeAutospacing="1" w:afterAutospacing="1"/>
      <w:jc w:val="left"/>
    </w:pPr>
    <w:rPr>
      <w:kern w:val="0"/>
      <w:sz w:val="24"/>
    </w:rPr>
  </w:style>
  <w:style w:type="paragraph" w:styleId="10">
    <w:name w:val="annotation subject"/>
    <w:basedOn w:val="3"/>
    <w:next w:val="3"/>
    <w:link w:val="23"/>
    <w:unhideWhenUsed/>
    <w:qFormat/>
    <w:uiPriority w:val="99"/>
    <w:rPr>
      <w:b/>
      <w:bCs/>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page number"/>
    <w:basedOn w:val="13"/>
    <w:unhideWhenUsed/>
    <w:qFormat/>
    <w:uiPriority w:val="0"/>
  </w:style>
  <w:style w:type="character" w:styleId="16">
    <w:name w:val="FollowedHyperlink"/>
    <w:basedOn w:val="13"/>
    <w:semiHidden/>
    <w:unhideWhenUsed/>
    <w:qFormat/>
    <w:uiPriority w:val="0"/>
    <w:rPr>
      <w:color w:val="800080" w:themeColor="followedHyperlink"/>
      <w:u w:val="single"/>
      <w14:textFill>
        <w14:solidFill>
          <w14:schemeClr w14:val="folHlink"/>
        </w14:solidFill>
      </w14:textFill>
    </w:rPr>
  </w:style>
  <w:style w:type="character" w:styleId="17">
    <w:name w:val="Hyperlink"/>
    <w:basedOn w:val="13"/>
    <w:qFormat/>
    <w:uiPriority w:val="0"/>
    <w:rPr>
      <w:color w:val="0000FF"/>
      <w:u w:val="single"/>
    </w:rPr>
  </w:style>
  <w:style w:type="character" w:styleId="18">
    <w:name w:val="annotation reference"/>
    <w:basedOn w:val="13"/>
    <w:unhideWhenUsed/>
    <w:qFormat/>
    <w:uiPriority w:val="99"/>
    <w:rPr>
      <w:sz w:val="21"/>
      <w:szCs w:val="21"/>
    </w:rPr>
  </w:style>
  <w:style w:type="paragraph" w:customStyle="1" w:styleId="19">
    <w:name w:val="列出段落1"/>
    <w:basedOn w:val="1"/>
    <w:qFormat/>
    <w:uiPriority w:val="34"/>
    <w:pPr>
      <w:ind w:firstLine="420" w:firstLineChars="200"/>
    </w:pPr>
  </w:style>
  <w:style w:type="paragraph" w:customStyle="1" w:styleId="20">
    <w:name w:val="p0"/>
    <w:basedOn w:val="1"/>
    <w:qFormat/>
    <w:uiPriority w:val="0"/>
    <w:pPr>
      <w:widowControl/>
      <w:jc w:val="left"/>
    </w:pPr>
    <w:rPr>
      <w:rFonts w:ascii="宋体" w:hAnsi="宋体" w:cs="宋体"/>
      <w:kern w:val="0"/>
      <w:sz w:val="24"/>
    </w:rPr>
  </w:style>
  <w:style w:type="character" w:customStyle="1" w:styleId="21">
    <w:name w:val="日期 字符"/>
    <w:basedOn w:val="13"/>
    <w:link w:val="4"/>
    <w:qFormat/>
    <w:uiPriority w:val="0"/>
    <w:rPr>
      <w:rFonts w:ascii="CG Times" w:hAnsi="CG Times" w:eastAsia="楷体_GB2312" w:cs="Times New Roman"/>
      <w:sz w:val="28"/>
      <w:szCs w:val="20"/>
    </w:rPr>
  </w:style>
  <w:style w:type="character" w:customStyle="1" w:styleId="22">
    <w:name w:val="批注文字 字符"/>
    <w:basedOn w:val="13"/>
    <w:link w:val="3"/>
    <w:semiHidden/>
    <w:qFormat/>
    <w:uiPriority w:val="99"/>
    <w:rPr>
      <w:rFonts w:ascii="Times New Roman" w:hAnsi="Times New Roman" w:eastAsia="宋体" w:cs="Times New Roman"/>
      <w:szCs w:val="24"/>
    </w:rPr>
  </w:style>
  <w:style w:type="character" w:customStyle="1" w:styleId="23">
    <w:name w:val="批注主题 字符"/>
    <w:basedOn w:val="22"/>
    <w:link w:val="10"/>
    <w:semiHidden/>
    <w:qFormat/>
    <w:uiPriority w:val="99"/>
    <w:rPr>
      <w:rFonts w:ascii="Times New Roman" w:hAnsi="Times New Roman" w:eastAsia="宋体" w:cs="Times New Roman"/>
      <w:b/>
      <w:bCs/>
      <w:szCs w:val="24"/>
    </w:rPr>
  </w:style>
  <w:style w:type="character" w:customStyle="1" w:styleId="24">
    <w:name w:val="批注框文本 字符"/>
    <w:basedOn w:val="13"/>
    <w:link w:val="5"/>
    <w:semiHidden/>
    <w:qFormat/>
    <w:uiPriority w:val="99"/>
    <w:rPr>
      <w:rFonts w:ascii="Times New Roman" w:hAnsi="Times New Roman" w:eastAsia="宋体" w:cs="Times New Roman"/>
      <w:sz w:val="18"/>
      <w:szCs w:val="18"/>
    </w:rPr>
  </w:style>
  <w:style w:type="character" w:customStyle="1" w:styleId="25">
    <w:name w:val="页眉 字符"/>
    <w:basedOn w:val="13"/>
    <w:link w:val="7"/>
    <w:qFormat/>
    <w:uiPriority w:val="99"/>
    <w:rPr>
      <w:rFonts w:ascii="Times New Roman" w:hAnsi="Times New Roman" w:eastAsia="宋体" w:cs="Times New Roman"/>
      <w:sz w:val="18"/>
      <w:szCs w:val="18"/>
    </w:rPr>
  </w:style>
  <w:style w:type="character" w:customStyle="1" w:styleId="26">
    <w:name w:val="页脚 字符"/>
    <w:basedOn w:val="13"/>
    <w:link w:val="6"/>
    <w:qFormat/>
    <w:uiPriority w:val="99"/>
    <w:rPr>
      <w:rFonts w:ascii="Times New Roman" w:hAnsi="Times New Roman" w:eastAsia="宋体" w:cs="Times New Roman"/>
      <w:sz w:val="18"/>
      <w:szCs w:val="18"/>
    </w:rPr>
  </w:style>
  <w:style w:type="paragraph" w:styleId="27">
    <w:name w:val="List Paragraph"/>
    <w:basedOn w:val="1"/>
    <w:qFormat/>
    <w:uiPriority w:val="34"/>
    <w:pPr>
      <w:ind w:firstLine="420" w:firstLineChars="200"/>
    </w:pPr>
    <w:rPr>
      <w:rFonts w:ascii="Calibri" w:hAnsi="Calibri"/>
      <w:szCs w:val="22"/>
    </w:rPr>
  </w:style>
  <w:style w:type="character" w:customStyle="1" w:styleId="28">
    <w:name w:val="文档结构图 字符"/>
    <w:basedOn w:val="13"/>
    <w:link w:val="2"/>
    <w:semiHidden/>
    <w:qFormat/>
    <w:uiPriority w:val="0"/>
    <w:rPr>
      <w:rFonts w:ascii="宋体" w:hAnsi="Times New Roman" w:eastAsia="宋体" w:cs="Times New Roman"/>
      <w:kern w:val="2"/>
      <w:sz w:val="18"/>
      <w:szCs w:val="18"/>
    </w:rPr>
  </w:style>
  <w:style w:type="paragraph" w:customStyle="1" w:styleId="29">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30">
    <w:name w:val="网格型1"/>
    <w:basedOn w:val="11"/>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1">
    <w:name w:val="修订2"/>
    <w:hidden/>
    <w:unhideWhenUsed/>
    <w:qFormat/>
    <w:uiPriority w:val="99"/>
    <w:rPr>
      <w:rFonts w:ascii="Times New Roman" w:hAnsi="Times New Roman" w:eastAsia="宋体" w:cs="Times New Roman"/>
      <w:kern w:val="2"/>
      <w:sz w:val="21"/>
      <w:szCs w:val="24"/>
      <w:lang w:val="en-US" w:eastAsia="zh-CN" w:bidi="ar-SA"/>
    </w:rPr>
  </w:style>
  <w:style w:type="character" w:customStyle="1" w:styleId="32">
    <w:name w:val="fontstyle01"/>
    <w:basedOn w:val="13"/>
    <w:qFormat/>
    <w:uiPriority w:val="0"/>
    <w:rPr>
      <w:rFonts w:ascii="仿宋" w:hAnsi="仿宋" w:eastAsia="仿宋" w:cs="仿宋"/>
      <w:color w:val="000000"/>
      <w:sz w:val="22"/>
      <w:szCs w:val="22"/>
    </w:rPr>
  </w:style>
  <w:style w:type="paragraph" w:customStyle="1" w:styleId="33">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35D129-30AC-4A2C-8DE9-4B600424E304}">
  <ds:schemaRefs/>
</ds:datastoreItem>
</file>

<file path=customXml/itemProps3.xml><?xml version="1.0" encoding="utf-8"?>
<ds:datastoreItem xmlns:ds="http://schemas.openxmlformats.org/officeDocument/2006/customXml" ds:itemID="{6C05BEAC-8154-4189-A088-32B56E43F4AB}">
  <ds:schemaRefs/>
</ds:datastoreItem>
</file>

<file path=customXml/itemProps4.xml><?xml version="1.0" encoding="utf-8"?>
<ds:datastoreItem xmlns:ds="http://schemas.openxmlformats.org/officeDocument/2006/customXml" ds:itemID="{D6F6D9CF-A22B-4E31-AADD-E7318153BC36}">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14</Pages>
  <Words>4930</Words>
  <Characters>6383</Characters>
  <Lines>50</Lines>
  <Paragraphs>14</Paragraphs>
  <TotalTime>0</TotalTime>
  <ScaleCrop>false</ScaleCrop>
  <LinksUpToDate>false</LinksUpToDate>
  <CharactersWithSpaces>6513</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2022-05-18T00:50:00Z</dcterms:created>
  <dc:creator>LocalAccount</dc:creator>
  <cp:lastModifiedBy>林奕源</cp:lastModifiedBy>
  <cp:lastPrinted>2022-05-17T11:52:00Z</cp:lastPrinted>
  <dcterms:modified xsi:type="dcterms:W3CDTF">2023-02-07T05:50:02Z</dcterms:modified>
  <dc:title>深市港股通交易日历优化业务</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2052-11.8.2.9022</vt:lpwstr>
  </property>
  <property fmtid="{D5CDD505-2E9C-101B-9397-08002B2CF9AE}" pid="4" name="ICV">
    <vt:lpwstr>F818B9B99B664BA79CE5C299617E7BB7</vt:lpwstr>
  </property>
</Properties>
</file>