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rPr>
        <w:t>深市全面实行股票发行注册制改革</w:t>
      </w:r>
    </w:p>
    <w:p>
      <w:pPr>
        <w:pStyle w:val="15"/>
        <w:jc w:val="center"/>
        <w:rPr>
          <w:rFonts w:ascii="楷体_GB2312" w:eastAsia="楷体_GB2312"/>
          <w:b/>
          <w:color w:val="000000"/>
          <w:sz w:val="36"/>
          <w:szCs w:val="36"/>
        </w:rPr>
      </w:pPr>
      <w:r>
        <w:rPr>
          <w:rFonts w:hint="eastAsia" w:ascii="楷体_GB2312" w:eastAsia="楷体_GB2312"/>
          <w:b/>
          <w:color w:val="000000"/>
          <w:sz w:val="36"/>
          <w:szCs w:val="36"/>
        </w:rPr>
        <w:t>2023年4月8日通关测试方案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sz w:val="28"/>
          <w:szCs w:val="28"/>
        </w:rPr>
      </w:pPr>
      <w:r>
        <w:rPr>
          <w:rFonts w:hint="eastAsia"/>
          <w:sz w:val="28"/>
          <w:szCs w:val="28"/>
        </w:rPr>
        <w:t>深圳证券交易所（以下简称深交所）已于2023年2月1日发布《关于做好全面实行股票发行注册制改革的技术准备通知》，为确保相关业务的顺利开展，深交所联合中国证券登记结算有限责任公司（以下简称中国结算）</w:t>
      </w:r>
      <w:r>
        <w:rPr>
          <w:rFonts w:hint="eastAsia"/>
          <w:sz w:val="28"/>
          <w:szCs w:val="28"/>
          <w:lang w:eastAsia="zh-CN"/>
        </w:rPr>
        <w:t>深圳分公司</w:t>
      </w:r>
      <w:r>
        <w:rPr>
          <w:rFonts w:hint="eastAsia"/>
          <w:sz w:val="28"/>
          <w:szCs w:val="28"/>
        </w:rPr>
        <w:t>、中国证券金融股份有限公司（以下简称中证金融）定于2023年4月8日组织通关测试，主要模拟深市全面实行股票发行注册制改革的交易业务启动首日场景，通过模拟深市股票交易、非交易等业务的委托申报、成交回报、行情接收、清算交收和投资者适当性管理、市场化转融通等业务处理过程，检验市场参与各方技术系统的正确性。</w:t>
      </w:r>
    </w:p>
    <w:p>
      <w:pPr>
        <w:widowControl/>
        <w:ind w:firstLine="560" w:firstLineChars="200"/>
        <w:rPr>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rPr>
          <w:color w:val="000000"/>
          <w:sz w:val="28"/>
          <w:szCs w:val="28"/>
        </w:rPr>
      </w:pPr>
      <w:r>
        <w:rPr>
          <w:rFonts w:hint="eastAsia"/>
          <w:color w:val="000000"/>
          <w:sz w:val="28"/>
          <w:szCs w:val="28"/>
        </w:rPr>
        <w:t>深交所</w:t>
      </w:r>
    </w:p>
    <w:p>
      <w:pPr>
        <w:numPr>
          <w:ilvl w:val="0"/>
          <w:numId w:val="2"/>
        </w:numPr>
        <w:rPr>
          <w:color w:val="000000"/>
          <w:sz w:val="28"/>
          <w:szCs w:val="28"/>
        </w:rPr>
      </w:pPr>
      <w:r>
        <w:rPr>
          <w:rFonts w:hint="eastAsia"/>
          <w:color w:val="000000"/>
          <w:sz w:val="28"/>
          <w:szCs w:val="28"/>
        </w:rPr>
        <w:t>上交所</w:t>
      </w:r>
    </w:p>
    <w:p>
      <w:pPr>
        <w:numPr>
          <w:ilvl w:val="0"/>
          <w:numId w:val="2"/>
        </w:numPr>
        <w:rPr>
          <w:color w:val="000000"/>
          <w:sz w:val="28"/>
          <w:szCs w:val="28"/>
        </w:rPr>
      </w:pPr>
      <w:r>
        <w:rPr>
          <w:rFonts w:hint="eastAsia"/>
          <w:color w:val="000000"/>
          <w:sz w:val="28"/>
          <w:szCs w:val="28"/>
        </w:rPr>
        <w:t>中国结算深圳分公司</w:t>
      </w:r>
    </w:p>
    <w:p>
      <w:pPr>
        <w:numPr>
          <w:ilvl w:val="0"/>
          <w:numId w:val="2"/>
        </w:numPr>
        <w:rPr>
          <w:color w:val="000000"/>
          <w:sz w:val="28"/>
          <w:szCs w:val="28"/>
        </w:rPr>
      </w:pPr>
      <w:r>
        <w:rPr>
          <w:rFonts w:hint="eastAsia"/>
          <w:color w:val="000000"/>
          <w:sz w:val="28"/>
          <w:szCs w:val="28"/>
        </w:rPr>
        <w:t>中证金融</w:t>
      </w:r>
    </w:p>
    <w:p>
      <w:pPr>
        <w:numPr>
          <w:ilvl w:val="0"/>
          <w:numId w:val="2"/>
        </w:numPr>
        <w:rPr>
          <w:color w:val="000000"/>
          <w:sz w:val="28"/>
          <w:szCs w:val="28"/>
        </w:rPr>
      </w:pPr>
      <w:r>
        <w:rPr>
          <w:rFonts w:hint="eastAsia"/>
          <w:color w:val="000000"/>
          <w:sz w:val="28"/>
          <w:szCs w:val="28"/>
        </w:rPr>
        <w:t>中证指数有限公司</w:t>
      </w:r>
    </w:p>
    <w:p>
      <w:pPr>
        <w:numPr>
          <w:ilvl w:val="0"/>
          <w:numId w:val="2"/>
        </w:numPr>
        <w:rPr>
          <w:color w:val="000000"/>
          <w:sz w:val="28"/>
          <w:szCs w:val="28"/>
        </w:rPr>
      </w:pPr>
      <w:r>
        <w:rPr>
          <w:rFonts w:hint="eastAsia"/>
          <w:color w:val="000000"/>
          <w:sz w:val="28"/>
          <w:szCs w:val="28"/>
        </w:rPr>
        <w:t>深圳证券通信有限公司</w:t>
      </w:r>
    </w:p>
    <w:p>
      <w:pPr>
        <w:numPr>
          <w:ilvl w:val="0"/>
          <w:numId w:val="2"/>
        </w:numPr>
        <w:rPr>
          <w:color w:val="000000"/>
          <w:sz w:val="28"/>
          <w:szCs w:val="28"/>
        </w:rPr>
      </w:pPr>
      <w:r>
        <w:rPr>
          <w:rFonts w:hint="eastAsia"/>
          <w:color w:val="000000"/>
          <w:sz w:val="28"/>
          <w:szCs w:val="28"/>
        </w:rPr>
        <w:t>深圳证券信息有限公司</w:t>
      </w:r>
    </w:p>
    <w:p>
      <w:pPr>
        <w:numPr>
          <w:ilvl w:val="0"/>
          <w:numId w:val="2"/>
        </w:numPr>
        <w:rPr>
          <w:color w:val="000000"/>
          <w:sz w:val="28"/>
          <w:szCs w:val="28"/>
        </w:rPr>
      </w:pPr>
      <w:r>
        <w:rPr>
          <w:rFonts w:hint="eastAsia"/>
          <w:color w:val="000000"/>
          <w:sz w:val="28"/>
          <w:szCs w:val="28"/>
        </w:rPr>
        <w:t>会员单位</w:t>
      </w:r>
    </w:p>
    <w:p>
      <w:pPr>
        <w:numPr>
          <w:ilvl w:val="0"/>
          <w:numId w:val="2"/>
        </w:numPr>
        <w:rPr>
          <w:color w:val="000000"/>
          <w:sz w:val="28"/>
          <w:szCs w:val="28"/>
        </w:rPr>
      </w:pPr>
      <w:r>
        <w:rPr>
          <w:rFonts w:hint="eastAsia"/>
          <w:color w:val="000000"/>
          <w:sz w:val="28"/>
          <w:szCs w:val="28"/>
        </w:rPr>
        <w:t>基金管理公司</w:t>
      </w:r>
    </w:p>
    <w:p>
      <w:pPr>
        <w:numPr>
          <w:ilvl w:val="0"/>
          <w:numId w:val="2"/>
        </w:numPr>
        <w:rPr>
          <w:color w:val="000000"/>
          <w:sz w:val="28"/>
          <w:szCs w:val="28"/>
        </w:rPr>
      </w:pPr>
      <w:r>
        <w:rPr>
          <w:rFonts w:hint="eastAsia"/>
          <w:color w:val="000000"/>
          <w:sz w:val="28"/>
          <w:szCs w:val="28"/>
        </w:rPr>
        <w:t>行情服务商</w:t>
      </w:r>
    </w:p>
    <w:p>
      <w:pPr>
        <w:numPr>
          <w:ilvl w:val="0"/>
          <w:numId w:val="2"/>
        </w:numPr>
        <w:rPr>
          <w:color w:val="000000"/>
          <w:sz w:val="28"/>
          <w:szCs w:val="28"/>
        </w:rPr>
      </w:pPr>
      <w:r>
        <w:rPr>
          <w:rFonts w:hint="eastAsia"/>
          <w:color w:val="000000"/>
          <w:sz w:val="28"/>
          <w:szCs w:val="28"/>
        </w:rPr>
        <w:t>结算参与机构</w:t>
      </w:r>
    </w:p>
    <w:p>
      <w:pPr>
        <w:numPr>
          <w:ilvl w:val="0"/>
          <w:numId w:val="2"/>
        </w:numPr>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深市证券交易系统、结算系统模拟1个业务日的交易、结算（即模拟T日2023年4月8日）</w:t>
      </w:r>
      <w:r>
        <w:rPr>
          <w:rFonts w:hint="eastAsia"/>
          <w:color w:val="000000"/>
          <w:sz w:val="28"/>
          <w:szCs w:val="28"/>
          <w:lang w:eastAsia="zh-CN"/>
        </w:rPr>
        <w:t>，</w:t>
      </w:r>
      <w:r>
        <w:rPr>
          <w:rFonts w:hint="eastAsia" w:asciiTheme="minorEastAsia" w:hAnsiTheme="minorEastAsia"/>
          <w:kern w:val="0"/>
          <w:sz w:val="28"/>
          <w:szCs w:val="28"/>
        </w:rPr>
        <w:t>港股通为非交易日</w:t>
      </w:r>
      <w:r>
        <w:rPr>
          <w:rFonts w:hint="eastAsia"/>
          <w:color w:val="000000"/>
          <w:sz w:val="28"/>
          <w:szCs w:val="28"/>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pStyle w:val="72"/>
        <w:widowControl/>
        <w:numPr>
          <w:ilvl w:val="0"/>
          <w:numId w:val="4"/>
        </w:numPr>
        <w:ind w:firstLineChars="0"/>
        <w:jc w:val="left"/>
        <w:outlineLvl w:val="2"/>
        <w:rPr>
          <w:rFonts w:ascii="楷体_GB2312" w:eastAsia="楷体_GB2312"/>
          <w:b/>
          <w:bCs/>
          <w:color w:val="000000"/>
          <w:sz w:val="28"/>
          <w:szCs w:val="28"/>
        </w:rPr>
      </w:pPr>
      <w:r>
        <w:rPr>
          <w:rFonts w:hint="eastAsia" w:ascii="楷体_GB2312" w:eastAsia="楷体_GB2312"/>
          <w:b/>
          <w:bCs/>
          <w:color w:val="000000"/>
          <w:sz w:val="28"/>
          <w:szCs w:val="28"/>
        </w:rPr>
        <w:t>全面实行股票发行注册制改革</w:t>
      </w:r>
    </w:p>
    <w:p>
      <w:pPr>
        <w:pStyle w:val="72"/>
        <w:numPr>
          <w:ilvl w:val="0"/>
          <w:numId w:val="5"/>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rPr>
        <w:t>主板注册制股票的新股上市、交易、非交易等业务的委托申报、成交回报、行情接收与展示、清算交收等业务处理；</w:t>
      </w:r>
    </w:p>
    <w:p>
      <w:pPr>
        <w:pStyle w:val="72"/>
        <w:numPr>
          <w:ilvl w:val="0"/>
          <w:numId w:val="5"/>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rPr>
        <w:t>创业板股票交易业务的委托申报、成交回报、行情接收与展示、清算交收等业务处理；</w:t>
      </w:r>
    </w:p>
    <w:p>
      <w:pPr>
        <w:pStyle w:val="72"/>
        <w:numPr>
          <w:ilvl w:val="0"/>
          <w:numId w:val="5"/>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rPr>
        <w:t>主板投资者适当性管理；</w:t>
      </w:r>
    </w:p>
    <w:p>
      <w:pPr>
        <w:pStyle w:val="72"/>
        <w:numPr>
          <w:ilvl w:val="0"/>
          <w:numId w:val="5"/>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rPr>
        <w:t>主板股票市场化转融通证券出借、非约定申报转融通证券出借、市场化转融券、融资融券业务的委托申报、成交回报、行情接收与展示、清算交收等业务处理；</w:t>
      </w:r>
    </w:p>
    <w:p>
      <w:pPr>
        <w:pStyle w:val="72"/>
        <w:numPr>
          <w:ilvl w:val="0"/>
          <w:numId w:val="5"/>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rPr>
        <w:t>优先股转让业务的委托申报、成交回报、行情接收与展示、清算交收等业务处理；</w:t>
      </w:r>
    </w:p>
    <w:p>
      <w:pPr>
        <w:pStyle w:val="72"/>
        <w:numPr>
          <w:ilvl w:val="0"/>
          <w:numId w:val="5"/>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rPr>
        <w:t>静态交易参考信息文件的接收和处理；</w:t>
      </w:r>
    </w:p>
    <w:p>
      <w:pPr>
        <w:pStyle w:val="72"/>
        <w:numPr>
          <w:ilvl w:val="0"/>
          <w:numId w:val="5"/>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rPr>
        <w:t>通过交易终端进行股票协议大宗交易、转融通证券出借等业务的委托申报、行情查询、成交查询及数据下载</w:t>
      </w:r>
      <w:r>
        <w:rPr>
          <w:rFonts w:hint="eastAsia" w:ascii="楷体_GB2312" w:eastAsia="楷体_GB2312"/>
          <w:color w:val="000000"/>
          <w:sz w:val="28"/>
          <w:szCs w:val="28"/>
          <w:lang w:eastAsia="zh-CN"/>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T日测试内容（模拟2023年4月8日）</w:t>
      </w:r>
    </w:p>
    <w:p>
      <w:pPr>
        <w:pStyle w:val="30"/>
        <w:ind w:firstLine="562" w:firstLineChars="200"/>
        <w:rPr>
          <w:b/>
          <w:bCs/>
          <w:color w:val="000000"/>
          <w:szCs w:val="28"/>
        </w:rPr>
      </w:pPr>
      <w:r>
        <w:rPr>
          <w:rFonts w:hint="eastAsia"/>
          <w:b/>
          <w:bCs/>
          <w:szCs w:val="28"/>
        </w:rPr>
        <w:t>模拟深市全面实行股票发行注册制改革的交易业务启动首日场景。</w:t>
      </w:r>
    </w:p>
    <w:p>
      <w:pPr>
        <w:pStyle w:val="30"/>
        <w:ind w:firstLine="562" w:firstLineChars="200"/>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模拟深市证券（含现货、期权等品种）日常交易、非交易等业务的委托申报，接收成交回报与实时行情。通过交易终端进行委托申报、行情查询、成交查询及数据下载。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模拟深市证券（含现货、期权等品种）的股份及资金清算交收等业务处理。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测试时间为2023年4月8日8:30至14:00。</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4212"/>
        <w:gridCol w:w="27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rPr>
              <w:t>4月8日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深市现货、股票期权等品种交易、非交易业务。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发送网络投票回报文件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接收网络投票回报文件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T日测试以2023年4月7日（星期五）深市所有证券的收盘行情、收市后的股份数据作为交易的起始数据。</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测试使用的交易网关、交易单元、交易单元与交易网关绑定关系、衍生品结算账号、衍生品合约账户、做市商相关信息、ETF的PD券商名单均与2023年4月10日（星期一）生产系统保持一致。</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eastAsia="楷体_GB2312"/>
          <w:color w:val="000000"/>
          <w:sz w:val="28"/>
          <w:szCs w:val="28"/>
        </w:rPr>
      </w:pPr>
      <w:r>
        <w:rPr>
          <w:rFonts w:hint="eastAsia" w:ascii="楷体_GB2312" w:eastAsia="楷体_GB2312"/>
          <w:color w:val="000000"/>
          <w:sz w:val="28"/>
          <w:szCs w:val="28"/>
        </w:rPr>
        <w:t>所有ETF测试使用的PCF/IOPV文件与2023年4月7日（星期五）交易生产系统保持一致，所有基金管理人均无需上传全网测试使用的PCF/IOPV文件。</w:t>
      </w:r>
    </w:p>
    <w:p>
      <w:pPr>
        <w:pStyle w:val="72"/>
        <w:numPr>
          <w:ilvl w:val="0"/>
          <w:numId w:val="6"/>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股票上市交易业务测试安排</w:t>
      </w:r>
    </w:p>
    <w:p>
      <w:pPr>
        <w:ind w:firstLine="480"/>
        <w:jc w:val="left"/>
        <w:rPr>
          <w:rFonts w:ascii="Times New Roman"/>
          <w:sz w:val="28"/>
          <w:szCs w:val="28"/>
        </w:rPr>
      </w:pPr>
      <w:r>
        <w:rPr>
          <w:rFonts w:hint="eastAsia" w:ascii="Times New Roman"/>
          <w:sz w:val="28"/>
          <w:szCs w:val="28"/>
        </w:rPr>
        <w:t>与</w:t>
      </w:r>
      <w:r>
        <w:rPr>
          <w:rFonts w:hint="eastAsia"/>
          <w:color w:val="000000"/>
          <w:sz w:val="28"/>
          <w:szCs w:val="28"/>
        </w:rPr>
        <w:t>2023年4月10日</w:t>
      </w:r>
      <w:r>
        <w:rPr>
          <w:rFonts w:hint="eastAsia" w:ascii="Times New Roman"/>
          <w:sz w:val="28"/>
          <w:szCs w:val="28"/>
        </w:rPr>
        <w:t>（星期一）生产系统保持一致,具体安排以深交所正式发布的相关业务公告为准。</w:t>
      </w:r>
    </w:p>
    <w:p>
      <w:pPr>
        <w:pStyle w:val="72"/>
        <w:numPr>
          <w:ilvl w:val="0"/>
          <w:numId w:val="6"/>
        </w:numPr>
        <w:ind w:left="0" w:firstLine="560"/>
        <w:jc w:val="left"/>
        <w:outlineLvl w:val="1"/>
        <w:rPr>
          <w:rFonts w:ascii="楷体_GB2312" w:hAnsi="楷体" w:eastAsia="楷体_GB2312"/>
          <w:sz w:val="28"/>
          <w:szCs w:val="28"/>
        </w:rPr>
      </w:pPr>
      <w:r>
        <w:rPr>
          <w:rFonts w:hint="eastAsia" w:ascii="楷体_GB2312" w:hAnsi="楷体" w:eastAsia="楷体_GB2312"/>
          <w:sz w:val="28"/>
          <w:szCs w:val="28"/>
        </w:rPr>
        <w:t>网络投票业务测试安排</w:t>
      </w:r>
    </w:p>
    <w:p>
      <w:pPr>
        <w:ind w:firstLine="480"/>
        <w:jc w:val="left"/>
        <w:rPr>
          <w:rFonts w:ascii="Times New Roman"/>
          <w:sz w:val="28"/>
          <w:szCs w:val="28"/>
        </w:rPr>
      </w:pPr>
      <w:r>
        <w:rPr>
          <w:rFonts w:hint="eastAsia" w:ascii="Times New Roman"/>
          <w:sz w:val="28"/>
          <w:szCs w:val="28"/>
        </w:rPr>
        <w:t>与</w:t>
      </w:r>
      <w:r>
        <w:rPr>
          <w:rFonts w:hint="eastAsia"/>
          <w:color w:val="000000"/>
          <w:sz w:val="28"/>
          <w:szCs w:val="28"/>
        </w:rPr>
        <w:t>2023年4月10日</w:t>
      </w:r>
      <w:r>
        <w:rPr>
          <w:rFonts w:hint="eastAsia" w:ascii="Times New Roman"/>
          <w:sz w:val="28"/>
          <w:szCs w:val="28"/>
        </w:rPr>
        <w:t>（星期一）生产系统保持一致。</w:t>
      </w:r>
    </w:p>
    <w:p>
      <w:pPr>
        <w:pStyle w:val="72"/>
        <w:numPr>
          <w:ilvl w:val="0"/>
          <w:numId w:val="6"/>
        </w:numPr>
        <w:ind w:left="0" w:firstLine="560"/>
        <w:jc w:val="left"/>
        <w:outlineLvl w:val="1"/>
        <w:rPr>
          <w:rFonts w:ascii="楷体_GB2312" w:hAnsi="楷体" w:eastAsia="楷体_GB2312"/>
          <w:sz w:val="28"/>
          <w:szCs w:val="28"/>
        </w:rPr>
      </w:pPr>
      <w:r>
        <w:rPr>
          <w:rFonts w:hint="eastAsia" w:ascii="楷体_GB2312" w:hAnsi="楷体" w:eastAsia="楷体_GB2312"/>
          <w:sz w:val="28"/>
          <w:szCs w:val="28"/>
        </w:rPr>
        <w:t>网上发行及增发、转股、换股等业务测试安排</w:t>
      </w:r>
    </w:p>
    <w:p>
      <w:pPr>
        <w:ind w:firstLine="480"/>
        <w:jc w:val="left"/>
        <w:rPr>
          <w:rFonts w:ascii="Times New Roman"/>
          <w:sz w:val="28"/>
          <w:szCs w:val="28"/>
        </w:rPr>
      </w:pPr>
      <w:r>
        <w:rPr>
          <w:rFonts w:hint="eastAsia" w:ascii="Times New Roman"/>
          <w:sz w:val="28"/>
          <w:szCs w:val="28"/>
        </w:rPr>
        <w:t>与</w:t>
      </w:r>
      <w:r>
        <w:rPr>
          <w:rFonts w:hint="eastAsia"/>
          <w:color w:val="000000"/>
          <w:sz w:val="28"/>
          <w:szCs w:val="28"/>
        </w:rPr>
        <w:t>2023年4月10日</w:t>
      </w:r>
      <w:r>
        <w:rPr>
          <w:rFonts w:hint="eastAsia" w:ascii="Times New Roman"/>
          <w:sz w:val="28"/>
          <w:szCs w:val="28"/>
        </w:rPr>
        <w:t>（星期一）生产系统保持一致。</w:t>
      </w:r>
    </w:p>
    <w:p>
      <w:pPr>
        <w:pStyle w:val="72"/>
        <w:numPr>
          <w:ilvl w:val="0"/>
          <w:numId w:val="6"/>
        </w:numPr>
        <w:ind w:left="0" w:firstLine="560"/>
        <w:jc w:val="left"/>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ind w:firstLine="480"/>
        <w:jc w:val="left"/>
        <w:rPr>
          <w:rFonts w:ascii="Times New Roman"/>
          <w:sz w:val="28"/>
          <w:szCs w:val="28"/>
        </w:rPr>
      </w:pPr>
      <w:r>
        <w:rPr>
          <w:rFonts w:hint="eastAsia" w:ascii="Times New Roman"/>
          <w:sz w:val="28"/>
          <w:szCs w:val="28"/>
        </w:rPr>
        <w:t>与</w:t>
      </w:r>
      <w:r>
        <w:rPr>
          <w:rFonts w:hint="eastAsia"/>
          <w:color w:val="000000"/>
          <w:sz w:val="28"/>
          <w:szCs w:val="28"/>
        </w:rPr>
        <w:t>2023年4月10日</w:t>
      </w:r>
      <w:r>
        <w:rPr>
          <w:rFonts w:hint="eastAsia" w:ascii="Times New Roman"/>
          <w:sz w:val="28"/>
          <w:szCs w:val="28"/>
        </w:rPr>
        <w:t>（星期一）生产系统保持一致。</w:t>
      </w:r>
    </w:p>
    <w:p>
      <w:pPr>
        <w:ind w:firstLine="560" w:firstLineChars="200"/>
        <w:rPr>
          <w:color w:val="000000"/>
          <w:sz w:val="28"/>
          <w:szCs w:val="28"/>
        </w:rPr>
      </w:pPr>
      <w:r>
        <w:rPr>
          <w:rFonts w:hint="eastAsia" w:ascii="Times New Roman"/>
          <w:sz w:val="28"/>
          <w:szCs w:val="28"/>
        </w:rPr>
        <w:t>如果需要调整，可致电中国结算深圳分公司进行账户余额的调整，联系电话：0755-88666429。</w:t>
      </w:r>
    </w:p>
    <w:p>
      <w:pPr>
        <w:ind w:firstLine="560" w:firstLineChars="200"/>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7"/>
        </w:numPr>
        <w:tabs>
          <w:tab w:val="left" w:pos="840"/>
          <w:tab w:val="left" w:pos="928"/>
          <w:tab w:val="left" w:pos="1050"/>
        </w:tabs>
        <w:ind w:left="0" w:firstLine="567"/>
        <w:rPr>
          <w:color w:val="FF0000"/>
          <w:sz w:val="28"/>
          <w:szCs w:val="28"/>
        </w:rPr>
      </w:pPr>
      <w:r>
        <w:rPr>
          <w:rFonts w:hint="eastAsia"/>
          <w:color w:val="FF0000"/>
          <w:sz w:val="28"/>
          <w:szCs w:val="28"/>
        </w:rPr>
        <w:t>各交易参与人无需升级交易网关、行情网关、文件网关。</w:t>
      </w:r>
    </w:p>
    <w:p>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D-COM系统在2023年4月8日期间属于测试环境，2023年4月8日23:45以后将恢复回生产环境。</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测试期间通过交易终端进行的密码修改、用户添加等用户管理相关操作，仅在测试期间有效，仅适用于2023年4月8日全网测试。</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，再准备2023年4月8日测试相关数据。</w:t>
      </w:r>
      <w:r>
        <w:rPr>
          <w:rFonts w:hint="eastAsia" w:hAnsi="楷体"/>
          <w:color w:val="000000"/>
          <w:sz w:val="28"/>
          <w:szCs w:val="28"/>
        </w:rPr>
        <w:t>测试完成后做好线上系统的变更稽核和数据环境的恢复工作，确保下一交易日（2023年4月10日）生产系统的正确运行。</w:t>
      </w:r>
    </w:p>
    <w:p>
      <w:pPr>
        <w:numPr>
          <w:ilvl w:val="0"/>
          <w:numId w:val="8"/>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50"/>
        </w:tabs>
        <w:ind w:firstLine="565" w:firstLineChars="202"/>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请各相关单位务必参加测试。因故不能参加测试者，务必填写反馈表（参见附件1）说明原因，并通知深交所。</w:t>
      </w:r>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9"/>
        </w:numPr>
        <w:tabs>
          <w:tab w:val="left" w:pos="840"/>
          <w:tab w:val="left" w:pos="928"/>
          <w:tab w:val="left" w:pos="1050"/>
        </w:tabs>
        <w:ind w:left="0" w:firstLine="567"/>
        <w:rPr>
          <w:rFonts w:hAnsi="楷体"/>
          <w:color w:val="FF0000"/>
          <w:sz w:val="28"/>
          <w:szCs w:val="28"/>
        </w:rPr>
      </w:pPr>
      <w:r>
        <w:rPr>
          <w:rFonts w:hint="eastAsia" w:hAnsi="楷体"/>
          <w:color w:val="FF0000"/>
          <w:sz w:val="28"/>
          <w:szCs w:val="28"/>
        </w:rPr>
        <w:t>为了全市场更好地进行测试，请各参测单位控制合理的申报价格，无价格涨跌限制的证券在开盘集合竞价时段的申报价格不得超过2000元/股，在其他时段的申报价格不得超过8000元/股。深交所将在测试期间及时公布超过上述报价要求的参测单位，情节严重的将暂停其当天测试资格或报告相关部门采取监管措施。</w:t>
      </w:r>
    </w:p>
    <w:p>
      <w:pPr>
        <w:numPr>
          <w:ilvl w:val="0"/>
          <w:numId w:val="9"/>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4月8日14:00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测试联系电话：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中证金融： 010-63211700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深圳证券信息有限公司：0755-83990296</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深交所：0755-88666284（转融通）</w:t>
      </w:r>
    </w:p>
    <w:p>
      <w:pPr>
        <w:widowControl/>
        <w:spacing w:line="360" w:lineRule="atLeast"/>
        <w:ind w:firstLine="2108" w:firstLineChars="753"/>
        <w:jc w:val="left"/>
        <w:rPr>
          <w:color w:val="2E2E2E"/>
          <w:kern w:val="0"/>
          <w:sz w:val="28"/>
          <w:szCs w:val="28"/>
        </w:rPr>
      </w:pPr>
      <w:r>
        <w:rPr>
          <w:rFonts w:hint="eastAsia"/>
          <w:color w:val="2E2E2E"/>
          <w:kern w:val="0"/>
          <w:sz w:val="28"/>
          <w:szCs w:val="28"/>
        </w:rPr>
        <w:t>0755-88668376（交易制度）</w:t>
      </w:r>
    </w:p>
    <w:p>
      <w:pPr>
        <w:widowControl/>
        <w:spacing w:line="360" w:lineRule="atLeast"/>
        <w:ind w:firstLine="2108" w:firstLineChars="753"/>
        <w:jc w:val="left"/>
        <w:rPr>
          <w:color w:val="2E2E2E"/>
          <w:kern w:val="0"/>
          <w:sz w:val="28"/>
          <w:szCs w:val="28"/>
        </w:rPr>
      </w:pPr>
      <w:r>
        <w:rPr>
          <w:rFonts w:hint="eastAsia"/>
          <w:color w:val="2E2E2E"/>
          <w:kern w:val="0"/>
          <w:sz w:val="28"/>
          <w:szCs w:val="28"/>
        </w:rPr>
        <w:t>0755-88666174（投资者适当性管理）</w:t>
      </w:r>
    </w:p>
    <w:p>
      <w:pPr>
        <w:widowControl/>
        <w:spacing w:line="360" w:lineRule="atLeast"/>
        <w:ind w:firstLine="991" w:firstLineChars="354"/>
        <w:jc w:val="left"/>
        <w:rPr>
          <w:rFonts w:hAnsi="楷体_GB2312" w:cs="楷体_GB2312"/>
          <w:sz w:val="28"/>
          <w:szCs w:val="28"/>
          <w:highlight w:val="yellow"/>
        </w:rPr>
      </w:pPr>
      <w:r>
        <w:rPr>
          <w:rFonts w:hint="eastAsia"/>
          <w:color w:val="2E2E2E"/>
          <w:kern w:val="0"/>
          <w:sz w:val="28"/>
          <w:szCs w:val="28"/>
        </w:rPr>
        <w:t>中国结算深圳分公司：0755-2189</w:t>
      </w:r>
      <w:r>
        <w:rPr>
          <w:color w:val="2E2E2E"/>
          <w:kern w:val="0"/>
          <w:sz w:val="28"/>
          <w:szCs w:val="28"/>
        </w:rPr>
        <w:t>9306</w:t>
      </w:r>
      <w:r>
        <w:rPr>
          <w:rFonts w:hint="eastAsia"/>
          <w:color w:val="2E2E2E"/>
          <w:kern w:val="0"/>
          <w:sz w:val="28"/>
          <w:szCs w:val="28"/>
        </w:rPr>
        <w:t>（注册制）</w:t>
      </w:r>
    </w:p>
    <w:p>
      <w:pPr>
        <w:widowControl/>
        <w:spacing w:line="360" w:lineRule="atLeast"/>
        <w:ind w:firstLine="991" w:firstLineChars="354"/>
        <w:jc w:val="left"/>
        <w:rPr>
          <w:bCs/>
          <w:sz w:val="28"/>
          <w:szCs w:val="28"/>
        </w:rPr>
      </w:pPr>
      <w:r>
        <w:rPr>
          <w:rFonts w:hint="eastAsia"/>
          <w:color w:val="2E2E2E"/>
          <w:kern w:val="0"/>
          <w:sz w:val="28"/>
          <w:szCs w:val="28"/>
        </w:rPr>
        <w:t>中证金融：010-83325370</w:t>
      </w:r>
      <w:r>
        <w:rPr>
          <w:rFonts w:hint="eastAsia"/>
          <w:bCs/>
          <w:sz w:val="28"/>
          <w:szCs w:val="28"/>
        </w:rPr>
        <w:tab/>
      </w: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000000"/>
          <w:sz w:val="28"/>
          <w:szCs w:val="28"/>
        </w:rPr>
        <w:t>中国结算深圳分公司</w:t>
      </w:r>
    </w:p>
    <w:p>
      <w:pPr>
        <w:jc w:val="right"/>
        <w:rPr>
          <w:color w:val="000000"/>
          <w:sz w:val="28"/>
          <w:szCs w:val="28"/>
        </w:rPr>
      </w:pPr>
      <w:bookmarkStart w:id="8" w:name="_GoBack"/>
      <w:bookmarkEnd w:id="8"/>
      <w:r>
        <w:rPr>
          <w:rFonts w:hint="eastAsia"/>
          <w:color w:val="000000"/>
          <w:sz w:val="28"/>
          <w:szCs w:val="28"/>
        </w:rPr>
        <w:t>中国证券金融股份有限公司</w:t>
      </w:r>
    </w:p>
    <w:p>
      <w:pPr>
        <w:jc w:val="right"/>
        <w:rPr>
          <w:color w:val="000000"/>
          <w:highlight w:val="yellow"/>
        </w:rPr>
      </w:pPr>
      <w:r>
        <w:rPr>
          <w:rFonts w:hint="eastAsia"/>
          <w:color w:val="000000"/>
          <w:sz w:val="28"/>
          <w:szCs w:val="28"/>
        </w:rPr>
        <w:t>2023年4月</w:t>
      </w:r>
      <w:r>
        <w:rPr>
          <w:rFonts w:hint="eastAsia"/>
          <w:color w:val="000000"/>
          <w:sz w:val="28"/>
          <w:szCs w:val="28"/>
          <w:lang w:val="en-US" w:eastAsia="zh-CN"/>
        </w:rPr>
        <w:t>4</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Cs w:val="28"/>
        </w:rPr>
      </w:pPr>
      <w:r>
        <w:rPr>
          <w:rFonts w:hint="eastAsia" w:ascii="楷体" w:hAnsi="楷体" w:eastAsia="楷体" w:cs="楷体"/>
          <w:b/>
          <w:color w:val="000000"/>
          <w:sz w:val="32"/>
          <w:szCs w:val="28"/>
        </w:rPr>
        <w:t>附件1：</w:t>
      </w:r>
      <w:bookmarkEnd w:id="7"/>
      <w:r>
        <w:rPr>
          <w:rFonts w:hint="eastAsia" w:ascii="楷体" w:hAnsi="楷体" w:eastAsia="楷体" w:cs="楷体"/>
          <w:b/>
          <w:color w:val="000000"/>
          <w:sz w:val="32"/>
          <w:szCs w:val="28"/>
        </w:rPr>
        <w:t>深市全面实行股票发行注册制改革2023年4月8日通关测试反馈表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lang w:eastAsia="zh-CN"/>
              </w:rPr>
            </w:pPr>
            <w:r>
              <w:rPr>
                <w:rFonts w:hint="eastAsia" w:hAnsi="楷体"/>
                <w:sz w:val="20"/>
              </w:rPr>
              <w:t>交易相关技术系统是否</w:t>
            </w:r>
            <w:r>
              <w:rPr>
                <w:rFonts w:hint="eastAsia" w:hAnsi="楷体"/>
                <w:sz w:val="20"/>
                <w:lang w:eastAsia="zh-CN"/>
              </w:rPr>
              <w:t>上线</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lang w:eastAsia="zh-CN"/>
              </w:rPr>
            </w:pPr>
            <w:r>
              <w:rPr>
                <w:rFonts w:hint="eastAsia" w:hAnsi="楷体"/>
                <w:sz w:val="20"/>
              </w:rPr>
              <w:t>行情相关技术系统是否</w:t>
            </w:r>
            <w:r>
              <w:rPr>
                <w:rFonts w:hint="eastAsia" w:hAnsi="楷体"/>
                <w:sz w:val="20"/>
                <w:lang w:eastAsia="zh-CN"/>
              </w:rPr>
              <w:t>上线</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Ansi="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lang w:eastAsia="zh-CN"/>
              </w:rPr>
            </w:pPr>
            <w:r>
              <w:rPr>
                <w:rFonts w:hint="eastAsia" w:hAnsi="楷体"/>
                <w:sz w:val="20"/>
              </w:rPr>
              <w:t>结算相关技术系统是否</w:t>
            </w:r>
            <w:r>
              <w:rPr>
                <w:rFonts w:hint="eastAsia" w:hAnsi="楷体"/>
                <w:sz w:val="20"/>
                <w:lang w:eastAsia="zh-CN"/>
              </w:rPr>
              <w:t>上线</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Ansi="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lang w:eastAsia="zh-CN"/>
              </w:rPr>
            </w:pPr>
            <w:r>
              <w:rPr>
                <w:rFonts w:hint="eastAsia" w:hAnsi="楷体"/>
                <w:sz w:val="20"/>
              </w:rPr>
              <w:t>中证金融转融通平台相关技术系统是否</w:t>
            </w:r>
            <w:r>
              <w:rPr>
                <w:rFonts w:hint="eastAsia" w:hAnsi="楷体"/>
                <w:sz w:val="20"/>
                <w:lang w:eastAsia="zh-CN"/>
              </w:rPr>
              <w:t>上线</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Ansi="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数据文件接口变更相关测试反馈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现货集中竞价交易业务参考信息cashauctionparams的接收与处理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证券信息securities的接收与处理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转融通证券出借业务参考信息securitylendingparams的接收与处理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早间下发的其他静态交易参考信息文件的接收与处理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ascii="楷体" w:hAnsi="楷体" w:eastAsia="楷体" w:cs="宋体"/>
                <w:b/>
                <w:kern w:val="0"/>
                <w:sz w:val="20"/>
              </w:rPr>
              <w:t>电子接口交易相关测试反馈（行情服务商无需填写）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主板注册制股票上市首日现货竞价交易业务的委托申报与成交回报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FF0000"/>
                <w:kern w:val="0"/>
                <w:sz w:val="20"/>
              </w:rPr>
              <w:t xml:space="preserve"> </w:t>
            </w:r>
            <w:r>
              <w:rPr>
                <w:rFonts w:hint="eastAsia" w:ascii="楷体" w:hAnsi="楷体" w:eastAsia="楷体" w:cs="宋体"/>
                <w:color w:val="000000"/>
                <w:kern w:val="0"/>
                <w:sz w:val="20"/>
              </w:rPr>
              <w:t>主板股票正常状态现货竞价交易业务的委托申报与成交回报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FF0000"/>
                <w:kern w:val="0"/>
                <w:sz w:val="20"/>
              </w:rPr>
              <w:t xml:space="preserve"> </w:t>
            </w:r>
            <w:r>
              <w:rPr>
                <w:rFonts w:hint="eastAsia" w:ascii="楷体" w:hAnsi="楷体" w:eastAsia="楷体" w:cs="宋体"/>
                <w:color w:val="000000"/>
                <w:kern w:val="0"/>
                <w:sz w:val="20"/>
              </w:rPr>
              <w:t>创业板股票正常状态现货竞价交易业务的委托申报与成交回报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ST、*ST股票现货竞价交易业务的委托申报与成交回报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基金现货竞价交易业务的委托申报与成交回报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主板注册制股票上市首日（纳入标的）融资融券业务的委托申报与成交回报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主板注册制股票上市首日（纳入标的）转融通证券出借的约定申报、非约定申报与与成交回报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FF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主板核准制股票</w:t>
            </w:r>
            <w:r>
              <w:rPr>
                <w:rFonts w:hint="eastAsia" w:ascii="楷体" w:hAnsi="楷体" w:eastAsia="楷体" w:cs="宋体"/>
                <w:color w:val="000000"/>
                <w:kern w:val="0"/>
                <w:sz w:val="20"/>
                <w:lang w:eastAsia="zh-CN"/>
              </w:rPr>
              <w:t>（</w:t>
            </w:r>
            <w:r>
              <w:rPr>
                <w:rFonts w:hint="eastAsia" w:ascii="楷体" w:hAnsi="楷体" w:eastAsia="楷体" w:cs="宋体"/>
                <w:color w:val="000000"/>
                <w:kern w:val="0"/>
                <w:sz w:val="20"/>
                <w:lang w:val="en-US" w:eastAsia="zh-CN"/>
              </w:rPr>
              <w:t>非上市首日</w:t>
            </w:r>
            <w:r>
              <w:rPr>
                <w:rFonts w:hint="eastAsia" w:ascii="楷体" w:hAnsi="楷体" w:eastAsia="楷体" w:cs="宋体"/>
                <w:color w:val="000000"/>
                <w:kern w:val="0"/>
                <w:sz w:val="20"/>
                <w:lang w:eastAsia="zh-CN"/>
              </w:rPr>
              <w:t>）</w:t>
            </w:r>
            <w:r>
              <w:rPr>
                <w:rFonts w:hint="eastAsia" w:ascii="楷体" w:hAnsi="楷体" w:eastAsia="楷体" w:cs="宋体"/>
                <w:color w:val="000000"/>
                <w:kern w:val="0"/>
                <w:sz w:val="20"/>
              </w:rPr>
              <w:t>转融通证券出借的约定申报、非约定申报与成交回报</w:t>
            </w:r>
          </w:p>
        </w:tc>
        <w:tc>
          <w:tcPr>
            <w:tcW w:w="3402" w:type="dxa"/>
            <w:gridSpan w:val="2"/>
            <w:vAlign w:val="center"/>
          </w:tcPr>
          <w:p>
            <w:pPr>
              <w:widowControl/>
              <w:jc w:val="center"/>
              <w:rPr>
                <w:rFonts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市场化转融券约定申报相关证券在业务申请当日可转入证券公司融券专户（主板股票）</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市场化转融券约定申报相关证券在业务申请当日可供投资者融券卖出（主板股票）</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网络投票业务的委托申报及委托确认处理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优先股转让业务的委托申报及成交回报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left="420" w:leftChars="0" w:hanging="420"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FF0000"/>
                <w:kern w:val="0"/>
                <w:sz w:val="20"/>
              </w:rPr>
            </w:pPr>
            <w:r>
              <w:rPr>
                <w:rFonts w:hint="eastAsia" w:ascii="楷体" w:hAnsi="楷体" w:eastAsia="楷体" w:cs="宋体"/>
                <w:color w:val="000000"/>
                <w:kern w:val="0"/>
                <w:sz w:val="20"/>
              </w:rPr>
              <w:t>主板股票的股票质押式回购委托申报与成交回报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left="420" w:leftChars="0" w:hanging="420"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FF0000"/>
                <w:kern w:val="0"/>
                <w:sz w:val="20"/>
              </w:rPr>
            </w:pPr>
            <w:r>
              <w:rPr>
                <w:rFonts w:hint="eastAsia" w:ascii="楷体" w:hAnsi="楷体" w:eastAsia="楷体" w:cs="宋体"/>
                <w:color w:val="000000"/>
                <w:kern w:val="0"/>
                <w:sz w:val="20"/>
              </w:rPr>
              <w:t>主板股票约定购回的委托申报与成交回报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主板股票协议大宗交易（意向申报、定价申报、点击成交申报、双方配对成交申报、报价申报）的委托申报与成交回报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主板股票转托管的委托申报与成交回报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市场及证券实时状态行情接收与展示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深证指数、国证指数的行情接收与展示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成交量统计指标的行情接收与展示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kern w:val="0"/>
                <w:sz w:val="20"/>
              </w:rPr>
              <w:t>现货集中竞价业务的行情接收与展示（包括主板、创业板股票，以及基金、债券等品种）</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行情系统揭示主板股票上市首日状态</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主板股票上市后行情系统揭示“是否尚未盈利”、“是否存在表决权差异”、“是否注册制”、“是否具有协议控制架构”等信息</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现货证券收盘行情cashsecurityclosemd的接收与处理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转融通证券出借业务的行情接收与展示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协议大宗交易业务的行情接收与展示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盘后定价大宗交易的行情接收与展示（收盘价、成交量加权平均价两种）</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深市期权行情的接收与展示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交易终端相关测试反馈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通过交易终端进行（主板注册制股票、主板核准制股票）协议大宗交易业务的委托申报、行情查询、成交查询及数据下载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FF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通过交易终端进行优先股转让业务的委托申报、行情查询、成交查询及数据下载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通过交易终端进行（主板注册制股票、主板核准制股票）转融通证券出借的</w:t>
            </w:r>
            <w:r>
              <w:rPr>
                <w:rFonts w:hint="eastAsia" w:hAnsi="楷体" w:cs="宋体"/>
                <w:color w:val="000000"/>
                <w:kern w:val="0"/>
                <w:sz w:val="20"/>
              </w:rPr>
              <w:t>约定/非约定申报、行情查询、成交查询及数据下载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通过交易终端进行固收专区相关业务的委托申报、行情查询、成交查询及数据下载</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清算交收相关测试反馈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转融通证券出借业务的清算交收（应含主板股票）</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转融券证券划转业务的清算交收（应含主板股票）</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融资融券交易业务的清算交收（本次测试应含主板股票）</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ascii="楷体" w:hAnsi="楷体" w:eastAsia="楷体" w:cs="宋体"/>
                <w:color w:val="FF0000"/>
                <w:kern w:val="0"/>
                <w:sz w:val="20"/>
              </w:rPr>
              <w:t xml:space="preserve">*  </w:t>
            </w:r>
            <w:r>
              <w:rPr>
                <w:rFonts w:hint="eastAsia" w:ascii="楷体" w:hAnsi="楷体" w:eastAsia="楷体" w:cs="宋体"/>
                <w:color w:val="000000"/>
                <w:kern w:val="0"/>
                <w:sz w:val="20"/>
              </w:rPr>
              <w:t>主板股票竞价交易、协议大宗交易、盘后定价大宗交易业务的清算交收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深市现货证券其他交易、非交易业务的清算交收（股票质押式回购、约定购回、优先股转让等）</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主板投资者适当性管理（新开通深市A股证券账户的普通投资者，应当签署《主板投资风险揭示书》，已开通深市A股证券账户且未销户的投资者以适当方式进行风险提示）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衍生品集中竞价交易平台相关业务的委托申报、成交回报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接收并处理现货集中竞价交易平台成交汇总文件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接收并处理综合金融服务平台成交汇总文件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接收并处理非交易处理平台成交汇总文件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接收并处理衍生品集中竞价交易平台成交汇总文件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0"/>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接收并处理固定收益交易平台成交汇总文件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37862E"/>
    <w:multiLevelType w:val="singleLevel"/>
    <w:tmpl w:val="B837862E"/>
    <w:lvl w:ilvl="0" w:tentative="0">
      <w:start w:val="1"/>
      <w:numFmt w:val="decimal"/>
      <w:lvlText w:val="%1."/>
      <w:lvlJc w:val="left"/>
      <w:pPr>
        <w:ind w:left="1145" w:hanging="425"/>
      </w:pPr>
      <w:rPr>
        <w:rFonts w:hint="default"/>
      </w:rPr>
    </w:lvl>
  </w:abstractNum>
  <w:abstractNum w:abstractNumId="1">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2">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4">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50DEBE4B"/>
    <w:multiLevelType w:val="singleLevel"/>
    <w:tmpl w:val="50DEBE4B"/>
    <w:lvl w:ilvl="0" w:tentative="0">
      <w:start w:val="1"/>
      <w:numFmt w:val="decimal"/>
      <w:suff w:val="nothing"/>
      <w:lvlText w:val="（%1）"/>
      <w:lvlJc w:val="left"/>
      <w:pPr>
        <w:ind w:left="490"/>
      </w:pPr>
      <w:rPr>
        <w:rFonts w:hint="default"/>
        <w:color w:val="auto"/>
      </w:rPr>
    </w:lvl>
  </w:abstractNum>
  <w:abstractNum w:abstractNumId="7">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8">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8"/>
  </w:num>
  <w:num w:numId="3">
    <w:abstractNumId w:val="1"/>
  </w:num>
  <w:num w:numId="4">
    <w:abstractNumId w:val="0"/>
  </w:num>
  <w:num w:numId="5">
    <w:abstractNumId w:val="6"/>
  </w:num>
  <w:num w:numId="6">
    <w:abstractNumId w:val="5"/>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892"/>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495D"/>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08"/>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1DB"/>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C5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3C4"/>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186"/>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1C9D"/>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2FAA"/>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E7923"/>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265C73"/>
    <w:rsid w:val="06387666"/>
    <w:rsid w:val="065A2E3C"/>
    <w:rsid w:val="06A2743B"/>
    <w:rsid w:val="06A5297F"/>
    <w:rsid w:val="06A55B12"/>
    <w:rsid w:val="06FB60AA"/>
    <w:rsid w:val="07120344"/>
    <w:rsid w:val="072C1E39"/>
    <w:rsid w:val="07762FAE"/>
    <w:rsid w:val="07A677CA"/>
    <w:rsid w:val="07B64C34"/>
    <w:rsid w:val="07D307CE"/>
    <w:rsid w:val="07DD2969"/>
    <w:rsid w:val="08092702"/>
    <w:rsid w:val="081C29ED"/>
    <w:rsid w:val="083A3518"/>
    <w:rsid w:val="08483A71"/>
    <w:rsid w:val="08494C63"/>
    <w:rsid w:val="085C470B"/>
    <w:rsid w:val="086B7589"/>
    <w:rsid w:val="086F4045"/>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21BBC"/>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584F9C"/>
    <w:rsid w:val="0D6033C0"/>
    <w:rsid w:val="0D7B164F"/>
    <w:rsid w:val="0D7E67A8"/>
    <w:rsid w:val="0DA26547"/>
    <w:rsid w:val="0DC10F1B"/>
    <w:rsid w:val="0DDD6C64"/>
    <w:rsid w:val="0DE10795"/>
    <w:rsid w:val="0DFC3A1E"/>
    <w:rsid w:val="0E1208D9"/>
    <w:rsid w:val="0E4424D3"/>
    <w:rsid w:val="0E8F546F"/>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94AAC"/>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574E45"/>
    <w:rsid w:val="126E0E9B"/>
    <w:rsid w:val="12773A64"/>
    <w:rsid w:val="129E076F"/>
    <w:rsid w:val="12CD5F7F"/>
    <w:rsid w:val="12DF1B96"/>
    <w:rsid w:val="12E42BD4"/>
    <w:rsid w:val="12F240ED"/>
    <w:rsid w:val="12F77121"/>
    <w:rsid w:val="12FD1D5A"/>
    <w:rsid w:val="13162160"/>
    <w:rsid w:val="131C7703"/>
    <w:rsid w:val="132C272D"/>
    <w:rsid w:val="13367949"/>
    <w:rsid w:val="135A78BC"/>
    <w:rsid w:val="135E1DFD"/>
    <w:rsid w:val="13605533"/>
    <w:rsid w:val="13753F2D"/>
    <w:rsid w:val="138A7582"/>
    <w:rsid w:val="13A17CB5"/>
    <w:rsid w:val="13BF16E4"/>
    <w:rsid w:val="13C700C8"/>
    <w:rsid w:val="14157C66"/>
    <w:rsid w:val="142060B0"/>
    <w:rsid w:val="14220676"/>
    <w:rsid w:val="14256D94"/>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219A8"/>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8AC27B2"/>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A32F8"/>
    <w:rsid w:val="1B5A2117"/>
    <w:rsid w:val="1B5C57F5"/>
    <w:rsid w:val="1B622EE5"/>
    <w:rsid w:val="1B63432F"/>
    <w:rsid w:val="1B6D5C31"/>
    <w:rsid w:val="1B927805"/>
    <w:rsid w:val="1B9D7873"/>
    <w:rsid w:val="1BA850AA"/>
    <w:rsid w:val="1BB50BF6"/>
    <w:rsid w:val="1BB9141E"/>
    <w:rsid w:val="1BC13C6A"/>
    <w:rsid w:val="1BCB40A0"/>
    <w:rsid w:val="1BDA6E4C"/>
    <w:rsid w:val="1BE42072"/>
    <w:rsid w:val="1C187CC5"/>
    <w:rsid w:val="1C1D317C"/>
    <w:rsid w:val="1C321CEA"/>
    <w:rsid w:val="1C475512"/>
    <w:rsid w:val="1C4E5985"/>
    <w:rsid w:val="1C5C6156"/>
    <w:rsid w:val="1C6B7B9D"/>
    <w:rsid w:val="1C737230"/>
    <w:rsid w:val="1C871639"/>
    <w:rsid w:val="1C8C76C3"/>
    <w:rsid w:val="1C993A16"/>
    <w:rsid w:val="1CCE27F5"/>
    <w:rsid w:val="1CD56EE4"/>
    <w:rsid w:val="1CE36074"/>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A61C49"/>
    <w:rsid w:val="1FC92E4F"/>
    <w:rsid w:val="1FCE1666"/>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8068B2"/>
    <w:rsid w:val="23A5494B"/>
    <w:rsid w:val="23A7217C"/>
    <w:rsid w:val="23AD1BD5"/>
    <w:rsid w:val="23AF5512"/>
    <w:rsid w:val="23C60123"/>
    <w:rsid w:val="23CE56A6"/>
    <w:rsid w:val="24024816"/>
    <w:rsid w:val="24046497"/>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4F86426"/>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22DE"/>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BA70F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D4614"/>
    <w:rsid w:val="29B473E0"/>
    <w:rsid w:val="29BB1A89"/>
    <w:rsid w:val="29C230AD"/>
    <w:rsid w:val="29C72459"/>
    <w:rsid w:val="29E97C50"/>
    <w:rsid w:val="29EB64D6"/>
    <w:rsid w:val="29EC23D0"/>
    <w:rsid w:val="2A064A60"/>
    <w:rsid w:val="2A323CC9"/>
    <w:rsid w:val="2A356E68"/>
    <w:rsid w:val="2A640906"/>
    <w:rsid w:val="2A770838"/>
    <w:rsid w:val="2A7E2034"/>
    <w:rsid w:val="2A7F23FF"/>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BF7478"/>
    <w:rsid w:val="2CE7470A"/>
    <w:rsid w:val="2D25295B"/>
    <w:rsid w:val="2D49332C"/>
    <w:rsid w:val="2D4B4194"/>
    <w:rsid w:val="2D6C64CF"/>
    <w:rsid w:val="2D6F1828"/>
    <w:rsid w:val="2D805224"/>
    <w:rsid w:val="2D836CA7"/>
    <w:rsid w:val="2D9A5493"/>
    <w:rsid w:val="2DA828DA"/>
    <w:rsid w:val="2DB70FC3"/>
    <w:rsid w:val="2DE06954"/>
    <w:rsid w:val="2DF11F7F"/>
    <w:rsid w:val="2E074793"/>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B3E46"/>
    <w:rsid w:val="2F8C74B6"/>
    <w:rsid w:val="2F8D71FE"/>
    <w:rsid w:val="2F9E6EAE"/>
    <w:rsid w:val="2FCA6BA4"/>
    <w:rsid w:val="2FDC4998"/>
    <w:rsid w:val="301E7BB4"/>
    <w:rsid w:val="30377994"/>
    <w:rsid w:val="30397E43"/>
    <w:rsid w:val="304772E7"/>
    <w:rsid w:val="305C7CF8"/>
    <w:rsid w:val="307B4B60"/>
    <w:rsid w:val="309857EA"/>
    <w:rsid w:val="30A83FB0"/>
    <w:rsid w:val="30AC6746"/>
    <w:rsid w:val="30B7170B"/>
    <w:rsid w:val="30C74874"/>
    <w:rsid w:val="30D74EE7"/>
    <w:rsid w:val="30E10BCA"/>
    <w:rsid w:val="310F601D"/>
    <w:rsid w:val="311A36FA"/>
    <w:rsid w:val="31217818"/>
    <w:rsid w:val="31220100"/>
    <w:rsid w:val="31312245"/>
    <w:rsid w:val="3148438F"/>
    <w:rsid w:val="316A2EB3"/>
    <w:rsid w:val="317D3178"/>
    <w:rsid w:val="317D78B4"/>
    <w:rsid w:val="31825334"/>
    <w:rsid w:val="3189615B"/>
    <w:rsid w:val="318A3915"/>
    <w:rsid w:val="31BD4DEC"/>
    <w:rsid w:val="31CB268E"/>
    <w:rsid w:val="31D1684D"/>
    <w:rsid w:val="31EF6277"/>
    <w:rsid w:val="32130D2B"/>
    <w:rsid w:val="322A2AC0"/>
    <w:rsid w:val="3286142E"/>
    <w:rsid w:val="32AF4AEC"/>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F72D9"/>
    <w:rsid w:val="37630F5F"/>
    <w:rsid w:val="376452CB"/>
    <w:rsid w:val="37832694"/>
    <w:rsid w:val="378D71EA"/>
    <w:rsid w:val="37A66D38"/>
    <w:rsid w:val="37C223DC"/>
    <w:rsid w:val="37DE74B9"/>
    <w:rsid w:val="37F4192F"/>
    <w:rsid w:val="37FE45B1"/>
    <w:rsid w:val="37FF4EF6"/>
    <w:rsid w:val="38042588"/>
    <w:rsid w:val="381037EF"/>
    <w:rsid w:val="38634327"/>
    <w:rsid w:val="38A5150F"/>
    <w:rsid w:val="38C661FC"/>
    <w:rsid w:val="38D26DAE"/>
    <w:rsid w:val="38DF7FBF"/>
    <w:rsid w:val="3914549F"/>
    <w:rsid w:val="3917518E"/>
    <w:rsid w:val="39464A7A"/>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83003"/>
    <w:rsid w:val="3ACE14FD"/>
    <w:rsid w:val="3AD65514"/>
    <w:rsid w:val="3AE57099"/>
    <w:rsid w:val="3AEC4B5C"/>
    <w:rsid w:val="3B025CFA"/>
    <w:rsid w:val="3B15176B"/>
    <w:rsid w:val="3B2A49A6"/>
    <w:rsid w:val="3B2B12BE"/>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8F4E2B"/>
    <w:rsid w:val="3D9413EE"/>
    <w:rsid w:val="3D9668EA"/>
    <w:rsid w:val="3DAA3D38"/>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F3003F8"/>
    <w:rsid w:val="3F507497"/>
    <w:rsid w:val="3F5134BE"/>
    <w:rsid w:val="3F5D3C95"/>
    <w:rsid w:val="3F633F65"/>
    <w:rsid w:val="3F8C3107"/>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4726F5"/>
    <w:rsid w:val="405B1A75"/>
    <w:rsid w:val="40691F70"/>
    <w:rsid w:val="40702B76"/>
    <w:rsid w:val="40AD0D47"/>
    <w:rsid w:val="40C45242"/>
    <w:rsid w:val="40D8634D"/>
    <w:rsid w:val="40DA2F23"/>
    <w:rsid w:val="40EE53E4"/>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A519CD"/>
    <w:rsid w:val="43B35551"/>
    <w:rsid w:val="43B75C31"/>
    <w:rsid w:val="43CE0E1B"/>
    <w:rsid w:val="43CF0737"/>
    <w:rsid w:val="43D75206"/>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7F15"/>
    <w:rsid w:val="44F97F66"/>
    <w:rsid w:val="45051B04"/>
    <w:rsid w:val="45107FB9"/>
    <w:rsid w:val="4523357B"/>
    <w:rsid w:val="4534481C"/>
    <w:rsid w:val="45500C9E"/>
    <w:rsid w:val="45643158"/>
    <w:rsid w:val="45704895"/>
    <w:rsid w:val="45764F95"/>
    <w:rsid w:val="457A148F"/>
    <w:rsid w:val="45844073"/>
    <w:rsid w:val="45B340D9"/>
    <w:rsid w:val="45CB4754"/>
    <w:rsid w:val="45E23127"/>
    <w:rsid w:val="45F33AA2"/>
    <w:rsid w:val="46116BA5"/>
    <w:rsid w:val="46135C8B"/>
    <w:rsid w:val="46387B5D"/>
    <w:rsid w:val="463C7400"/>
    <w:rsid w:val="464D1E82"/>
    <w:rsid w:val="466013C5"/>
    <w:rsid w:val="468849EF"/>
    <w:rsid w:val="468A2E8C"/>
    <w:rsid w:val="468B797F"/>
    <w:rsid w:val="468F428C"/>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6F526A"/>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95988"/>
    <w:rsid w:val="4AA3188B"/>
    <w:rsid w:val="4AF6728D"/>
    <w:rsid w:val="4AF9400F"/>
    <w:rsid w:val="4B360D4E"/>
    <w:rsid w:val="4B3B1EFC"/>
    <w:rsid w:val="4B3C24D4"/>
    <w:rsid w:val="4B4158E7"/>
    <w:rsid w:val="4B4675BC"/>
    <w:rsid w:val="4B4F5E83"/>
    <w:rsid w:val="4B555E6A"/>
    <w:rsid w:val="4B584A81"/>
    <w:rsid w:val="4B747E84"/>
    <w:rsid w:val="4BB65FA3"/>
    <w:rsid w:val="4BB970E7"/>
    <w:rsid w:val="4BCD5C96"/>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727123"/>
    <w:rsid w:val="4E886CF6"/>
    <w:rsid w:val="4E966219"/>
    <w:rsid w:val="4EAC60B4"/>
    <w:rsid w:val="4EB35A5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C13DA1"/>
    <w:rsid w:val="4FC92C84"/>
    <w:rsid w:val="4FD75865"/>
    <w:rsid w:val="4FD82961"/>
    <w:rsid w:val="4FDE27A0"/>
    <w:rsid w:val="4FFA731A"/>
    <w:rsid w:val="501A632F"/>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6B0F9F"/>
    <w:rsid w:val="587902B5"/>
    <w:rsid w:val="58904C9C"/>
    <w:rsid w:val="58F46F15"/>
    <w:rsid w:val="5905445E"/>
    <w:rsid w:val="59317F1E"/>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863CB4"/>
    <w:rsid w:val="5A8B5C76"/>
    <w:rsid w:val="5A8F30FF"/>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C4C74DD"/>
    <w:rsid w:val="5C901728"/>
    <w:rsid w:val="5CF24C0B"/>
    <w:rsid w:val="5D247600"/>
    <w:rsid w:val="5D350F25"/>
    <w:rsid w:val="5D461DE8"/>
    <w:rsid w:val="5D4B2146"/>
    <w:rsid w:val="5D67589A"/>
    <w:rsid w:val="5D7B3DBD"/>
    <w:rsid w:val="5D866E62"/>
    <w:rsid w:val="5DA060EA"/>
    <w:rsid w:val="5DA32190"/>
    <w:rsid w:val="5DC33B33"/>
    <w:rsid w:val="5DE26C0E"/>
    <w:rsid w:val="5DE566DC"/>
    <w:rsid w:val="5DFC53BA"/>
    <w:rsid w:val="5E0947D1"/>
    <w:rsid w:val="5E2036E3"/>
    <w:rsid w:val="5E2D2846"/>
    <w:rsid w:val="5E2E44FF"/>
    <w:rsid w:val="5E394E72"/>
    <w:rsid w:val="5E3968E0"/>
    <w:rsid w:val="5E5A41E8"/>
    <w:rsid w:val="5E746B7E"/>
    <w:rsid w:val="5E82030A"/>
    <w:rsid w:val="5E844F4E"/>
    <w:rsid w:val="5E8836AF"/>
    <w:rsid w:val="5E931C3D"/>
    <w:rsid w:val="5EB14F51"/>
    <w:rsid w:val="5EB475D8"/>
    <w:rsid w:val="5EC04B4D"/>
    <w:rsid w:val="5ED15932"/>
    <w:rsid w:val="5EE17738"/>
    <w:rsid w:val="5EE20336"/>
    <w:rsid w:val="5EF05338"/>
    <w:rsid w:val="5EFF3430"/>
    <w:rsid w:val="5EFF40C9"/>
    <w:rsid w:val="5F2B481E"/>
    <w:rsid w:val="5F33240F"/>
    <w:rsid w:val="5F4E536E"/>
    <w:rsid w:val="5F550DA3"/>
    <w:rsid w:val="5F5D414E"/>
    <w:rsid w:val="5F610503"/>
    <w:rsid w:val="5F7078E4"/>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71F4C3D"/>
    <w:rsid w:val="672D548D"/>
    <w:rsid w:val="6731631F"/>
    <w:rsid w:val="6733751D"/>
    <w:rsid w:val="67565B78"/>
    <w:rsid w:val="676E1A23"/>
    <w:rsid w:val="679113E9"/>
    <w:rsid w:val="67B30DE3"/>
    <w:rsid w:val="67B66CE6"/>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D216F6"/>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6303D0"/>
    <w:rsid w:val="717E7EFB"/>
    <w:rsid w:val="71986586"/>
    <w:rsid w:val="71AE488C"/>
    <w:rsid w:val="71C773DD"/>
    <w:rsid w:val="71D175F7"/>
    <w:rsid w:val="71EF6CF3"/>
    <w:rsid w:val="72051B9F"/>
    <w:rsid w:val="721277A5"/>
    <w:rsid w:val="72234BC1"/>
    <w:rsid w:val="72263C75"/>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0C0C71"/>
    <w:rsid w:val="74136CD5"/>
    <w:rsid w:val="74280096"/>
    <w:rsid w:val="74372947"/>
    <w:rsid w:val="74407120"/>
    <w:rsid w:val="744B2E25"/>
    <w:rsid w:val="74882D47"/>
    <w:rsid w:val="74897CF6"/>
    <w:rsid w:val="748D473B"/>
    <w:rsid w:val="749F4E39"/>
    <w:rsid w:val="74B23B86"/>
    <w:rsid w:val="74DB683A"/>
    <w:rsid w:val="74E62C58"/>
    <w:rsid w:val="74F83220"/>
    <w:rsid w:val="750941EA"/>
    <w:rsid w:val="750D4ED8"/>
    <w:rsid w:val="75310B58"/>
    <w:rsid w:val="75504CD9"/>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6ED2535"/>
    <w:rsid w:val="77280D37"/>
    <w:rsid w:val="773D4185"/>
    <w:rsid w:val="774351A2"/>
    <w:rsid w:val="77440389"/>
    <w:rsid w:val="774A4354"/>
    <w:rsid w:val="77684980"/>
    <w:rsid w:val="778656DA"/>
    <w:rsid w:val="779B0879"/>
    <w:rsid w:val="779D6551"/>
    <w:rsid w:val="779F1ABE"/>
    <w:rsid w:val="77A51B76"/>
    <w:rsid w:val="77A750A9"/>
    <w:rsid w:val="77AC488C"/>
    <w:rsid w:val="77BC6EFE"/>
    <w:rsid w:val="77CD2392"/>
    <w:rsid w:val="77E21659"/>
    <w:rsid w:val="77FF77F0"/>
    <w:rsid w:val="7808157C"/>
    <w:rsid w:val="781432FA"/>
    <w:rsid w:val="78404F59"/>
    <w:rsid w:val="78573CA1"/>
    <w:rsid w:val="78616BB1"/>
    <w:rsid w:val="7863131A"/>
    <w:rsid w:val="78811E89"/>
    <w:rsid w:val="78AB0D53"/>
    <w:rsid w:val="78C45E47"/>
    <w:rsid w:val="78CD246C"/>
    <w:rsid w:val="78F34B87"/>
    <w:rsid w:val="790B6F3F"/>
    <w:rsid w:val="7913381D"/>
    <w:rsid w:val="791820E0"/>
    <w:rsid w:val="791F0037"/>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505630"/>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8777BE"/>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5C1EA7F8-DCC1-4E94-97FA-96F313230D70}">
  <ds:schemaRefs/>
</ds:datastoreItem>
</file>

<file path=customXml/itemProps2.xml><?xml version="1.0" encoding="utf-8"?>
<ds:datastoreItem xmlns:ds="http://schemas.openxmlformats.org/officeDocument/2006/customXml" ds:itemID="{6CA04CEB-1674-46F2-BA64-B5758CB6E33A}">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4E58FF85-CFB6-4EB2-8CB4-FA0A33299A81}">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11</Pages>
  <Words>1180</Words>
  <Characters>6731</Characters>
  <Lines>56</Lines>
  <Paragraphs>15</Paragraphs>
  <TotalTime>8</TotalTime>
  <ScaleCrop>false</ScaleCrop>
  <LinksUpToDate>false</LinksUpToDate>
  <CharactersWithSpaces>7896</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林奕源</cp:lastModifiedBy>
  <cp:lastPrinted>2020-06-22T01:00:00Z</cp:lastPrinted>
  <dcterms:modified xsi:type="dcterms:W3CDTF">2023-04-04T07:51:34Z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959C38748BDA4E4E949E019280E6C4D2</vt:lpwstr>
  </property>
</Properties>
</file>