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ascii="楷体_GB2312" w:eastAsia="楷体_GB2312"/>
          <w:b/>
          <w:color w:val="000000"/>
          <w:sz w:val="36"/>
          <w:szCs w:val="36"/>
        </w:rPr>
      </w:pPr>
      <w:bookmarkStart w:id="0" w:name="_Toc102489700"/>
      <w:r>
        <w:rPr>
          <w:rFonts w:hint="eastAsia" w:ascii="楷体_GB2312" w:eastAsia="楷体_GB2312"/>
          <w:b/>
          <w:color w:val="000000"/>
          <w:sz w:val="36"/>
          <w:szCs w:val="36"/>
        </w:rPr>
        <w:t>2023年5月27日深市股票期权行情订阅功能通关测试暨债券质押式协议回购业务风险控制、北交所证券纳入跨市场指数计算等业务全网测试方案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color w:val="000000"/>
          <w:sz w:val="28"/>
          <w:szCs w:val="28"/>
        </w:rPr>
      </w:pPr>
      <w:r>
        <w:rPr>
          <w:rFonts w:hint="eastAsia"/>
          <w:color w:val="000000"/>
          <w:sz w:val="28"/>
          <w:szCs w:val="28"/>
        </w:rPr>
        <w:t>深圳证券交易所（以下简称深交所）已于2023年1月31日发布《关于调整Level 1行情发送带宽的通知》。为确保相关业务的顺利开展，深交所定于2023年5月27日组织通关测试，通过模拟Level 1地面行情网关增加股票期权行情订阅功能启用后的委托申报、成交回报、行情接收等业务处理过程，检验市场参与各方技术系统的正确性。</w:t>
      </w:r>
    </w:p>
    <w:p>
      <w:pPr>
        <w:widowControl/>
        <w:ind w:firstLine="560" w:firstLineChars="200"/>
        <w:rPr>
          <w:color w:val="000000"/>
          <w:sz w:val="28"/>
          <w:szCs w:val="28"/>
        </w:rPr>
      </w:pPr>
      <w:r>
        <w:rPr>
          <w:rFonts w:hint="eastAsia"/>
          <w:color w:val="000000"/>
          <w:sz w:val="28"/>
          <w:szCs w:val="28"/>
        </w:rPr>
        <w:t>为健全深市债券质押式协议回购（以下简称协议回购）交易风险控制机制，深交所已于2022年12月30日发布《深圳证券交易所债券交易业务指引第4号——债券质押式协议回购风险控制》，并于2023年2月6日起施行。为进一步便利投资者填报风险控制相关内容，深交所于2023年3月6日发布《关于做好债券质押式协议回购业务风险控制的技术准备通知》，组织开展协议回购技术改造，优化协议回购交易约定类信息、向对手方披露类信息、向交易所报送类信息的填报及展示。为确保相关优化功能的顺利实施，深交所联合中国证券登记结算有限责任公司深圳分公司（以下简称中国结算深圳分公司）定于2023年5月27日组织全网测试，通过模拟协议回购的委托申报、成交回报、清算交收等业务处理过程，检验市场参与各方技术系统的正确性。</w:t>
      </w:r>
    </w:p>
    <w:p>
      <w:pPr>
        <w:widowControl/>
        <w:ind w:firstLine="560" w:firstLineChars="200"/>
        <w:rPr>
          <w:color w:val="000000"/>
          <w:sz w:val="28"/>
          <w:szCs w:val="28"/>
        </w:rPr>
      </w:pPr>
      <w:r>
        <w:rPr>
          <w:rFonts w:hint="eastAsia"/>
          <w:color w:val="000000"/>
          <w:sz w:val="28"/>
          <w:szCs w:val="28"/>
        </w:rPr>
        <w:t>深交所已于2023年4月18日发布《关于做好北交所证券纳入跨市场指数计算的技术准备通知》，为确保相关业务的顺利开展，深交所定于2023年5月27日组织全网测试，主要通过模拟交易系统计算、转发相关指数行情等业务处理过程，检验市场参与各方技术系统的正确性。</w:t>
      </w:r>
    </w:p>
    <w:p>
      <w:pPr>
        <w:widowControl/>
        <w:ind w:firstLine="560" w:firstLineChars="200"/>
        <w:rPr>
          <w:rFonts w:hint="eastAsia"/>
          <w:color w:val="000000"/>
          <w:sz w:val="28"/>
          <w:szCs w:val="28"/>
        </w:rPr>
      </w:pPr>
      <w:r>
        <w:rPr>
          <w:rFonts w:hint="eastAsia"/>
          <w:color w:val="000000"/>
          <w:sz w:val="28"/>
          <w:szCs w:val="28"/>
        </w:rPr>
        <w:t>深交所计划升级融资融券业务数据报送相关内部系统（市场无需技术改造）。</w:t>
      </w:r>
      <w:r>
        <w:rPr>
          <w:rFonts w:hint="eastAsia"/>
          <w:sz w:val="28"/>
          <w:szCs w:val="28"/>
        </w:rPr>
        <w:t>为确保相关业务的顺利开展，</w:t>
      </w:r>
      <w:r>
        <w:rPr>
          <w:rFonts w:hint="eastAsia"/>
          <w:color w:val="000000"/>
          <w:sz w:val="28"/>
          <w:szCs w:val="28"/>
        </w:rPr>
        <w:t>深交所定于2023年5月27日组织全网测试，主要通过模拟融资融券业务数据报送和信用违约汇总资料下发处理过程，检验相关业务处理的正确性。</w:t>
      </w:r>
    </w:p>
    <w:p>
      <w:pPr>
        <w:widowControl/>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北京证券交易所</w:t>
      </w:r>
    </w:p>
    <w:p>
      <w:pPr>
        <w:numPr>
          <w:ilvl w:val="0"/>
          <w:numId w:val="2"/>
        </w:numPr>
        <w:ind w:left="0" w:firstLine="140" w:firstLineChars="50"/>
        <w:rPr>
          <w:color w:val="000000"/>
          <w:sz w:val="28"/>
          <w:szCs w:val="28"/>
        </w:rPr>
      </w:pPr>
      <w:r>
        <w:rPr>
          <w:rFonts w:hint="eastAsia"/>
          <w:color w:val="000000"/>
          <w:sz w:val="28"/>
          <w:szCs w:val="28"/>
        </w:rPr>
        <w:t>香港联交所</w:t>
      </w:r>
    </w:p>
    <w:p>
      <w:pPr>
        <w:numPr>
          <w:ilvl w:val="0"/>
          <w:numId w:val="2"/>
        </w:numPr>
        <w:ind w:left="0" w:firstLine="140" w:firstLineChars="50"/>
        <w:rPr>
          <w:color w:val="000000"/>
          <w:sz w:val="28"/>
          <w:szCs w:val="28"/>
        </w:rPr>
      </w:pPr>
      <w:r>
        <w:rPr>
          <w:rFonts w:hint="eastAsia"/>
          <w:color w:val="000000"/>
          <w:sz w:val="28"/>
          <w:szCs w:val="28"/>
        </w:rPr>
        <w:t>中证指数公司</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其他债券交易参与人</w:t>
      </w:r>
    </w:p>
    <w:p>
      <w:pPr>
        <w:numPr>
          <w:ilvl w:val="0"/>
          <w:numId w:val="2"/>
        </w:numPr>
        <w:ind w:left="0" w:firstLine="140" w:firstLineChars="50"/>
        <w:rPr>
          <w:color w:val="000000"/>
          <w:sz w:val="28"/>
          <w:szCs w:val="28"/>
        </w:rPr>
      </w:pPr>
      <w:r>
        <w:rPr>
          <w:rFonts w:hint="eastAsia"/>
          <w:color w:val="000000"/>
          <w:sz w:val="28"/>
          <w:szCs w:val="28"/>
        </w:rPr>
        <w:t>期权经营机构</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深市证券交易系统、结算系统模拟2个业务日的交易、结算（即模拟T日2023年5月27日、T+1日2023年5月28日），港股通证券模拟半日市交易和1个结算日的结算（即模拟T日2023年5月27日）。</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0"/>
          <w:numId w:val="4"/>
        </w:numPr>
        <w:spacing w:line="360" w:lineRule="atLeast"/>
        <w:ind w:left="480" w:leftChars="200"/>
        <w:jc w:val="left"/>
        <w:outlineLvl w:val="1"/>
        <w:rPr>
          <w:b/>
          <w:bCs/>
          <w:color w:val="000000"/>
          <w:sz w:val="28"/>
          <w:szCs w:val="28"/>
        </w:rPr>
      </w:pPr>
      <w:r>
        <w:rPr>
          <w:rFonts w:hint="eastAsia"/>
          <w:b/>
          <w:bCs/>
          <w:color w:val="000000"/>
          <w:sz w:val="28"/>
          <w:szCs w:val="28"/>
        </w:rPr>
        <w:t>深市股票期权行情订阅业务</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会员单位、期货公司和深证信授权股票期权展示许可的行情服务商的股票期权行情接收及展示；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其他参与人的行情接收及展示。</w:t>
      </w:r>
    </w:p>
    <w:p>
      <w:pPr>
        <w:widowControl/>
        <w:numPr>
          <w:ilvl w:val="0"/>
          <w:numId w:val="4"/>
        </w:numPr>
        <w:spacing w:line="360" w:lineRule="atLeast"/>
        <w:ind w:left="480" w:leftChars="200"/>
        <w:jc w:val="left"/>
        <w:outlineLvl w:val="1"/>
        <w:rPr>
          <w:b/>
          <w:bCs/>
          <w:color w:val="000000"/>
          <w:sz w:val="28"/>
          <w:szCs w:val="28"/>
        </w:rPr>
      </w:pPr>
      <w:r>
        <w:rPr>
          <w:rFonts w:hint="eastAsia"/>
          <w:b/>
          <w:bCs/>
          <w:color w:val="000000"/>
          <w:sz w:val="28"/>
          <w:szCs w:val="28"/>
        </w:rPr>
        <w:t>深市债券质押式协议回购业务风险控制</w:t>
      </w:r>
    </w:p>
    <w:p>
      <w:pPr>
        <w:pStyle w:val="72"/>
        <w:numPr>
          <w:ilvl w:val="255"/>
          <w:numId w:val="0"/>
        </w:numPr>
        <w:ind w:firstLine="560" w:firstLineChars="200"/>
        <w:outlineLvl w:val="2"/>
        <w:rPr>
          <w:rFonts w:ascii="楷体_GB2312" w:eastAsia="楷体_GB2312"/>
          <w:color w:val="000000"/>
          <w:sz w:val="28"/>
          <w:szCs w:val="28"/>
          <w:lang w:bidi="ar"/>
        </w:rPr>
      </w:pPr>
      <w:r>
        <w:rPr>
          <w:rFonts w:hint="eastAsia" w:ascii="楷体_GB2312" w:eastAsia="楷体_GB2312"/>
          <w:color w:val="000000"/>
          <w:sz w:val="28"/>
          <w:szCs w:val="28"/>
          <w:lang w:bidi="ar"/>
        </w:rPr>
        <w:t>主要测试协议回购业务风险控制相关信息的报送处理及启用“约定号”字段用于标识对手方经纪客户的相关功能。包括但不限于以下内容：</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协议回购业务初始交易、提前购回、质押券变更、到期续做、到期购回、解除质押的委托申报及回报消息处理；</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交易终端固收专区协议回购初始交易、提前购回、质押券变更、到期续做、到期购回、解除质押的委托申报、主动撤单，逆回购方的委托确认、委托拒绝，当日委托/当日成交查询及导出、消息提醒；</w:t>
      </w:r>
    </w:p>
    <w:p>
      <w:pPr>
        <w:pStyle w:val="72"/>
        <w:widowControl/>
        <w:numPr>
          <w:ilvl w:val="0"/>
          <w:numId w:val="6"/>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lang w:bidi="ar"/>
        </w:rPr>
        <w:t>协议回购初始交易、提前购回、质押券变更、到期续做、到期购回、解除质押的清算交收处理。</w:t>
      </w:r>
    </w:p>
    <w:p>
      <w:pPr>
        <w:numPr>
          <w:ilvl w:val="0"/>
          <w:numId w:val="4"/>
        </w:numPr>
        <w:spacing w:line="360" w:lineRule="atLeast"/>
        <w:ind w:left="480" w:leftChars="200"/>
        <w:outlineLvl w:val="1"/>
        <w:rPr>
          <w:b/>
          <w:bCs/>
          <w:color w:val="000000"/>
          <w:sz w:val="28"/>
          <w:szCs w:val="28"/>
        </w:rPr>
      </w:pPr>
      <w:r>
        <w:rPr>
          <w:rFonts w:hint="eastAsia"/>
          <w:b/>
          <w:bCs/>
          <w:color w:val="000000"/>
          <w:sz w:val="28"/>
          <w:szCs w:val="28"/>
        </w:rPr>
        <w:t>北交所证券纳入跨市场指数计算业务</w:t>
      </w:r>
    </w:p>
    <w:p>
      <w:pPr>
        <w:pStyle w:val="72"/>
        <w:numPr>
          <w:ilvl w:val="0"/>
          <w:numId w:val="7"/>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国证指数信息文件（cnindex_YYYYMMDD.xml）的接收与处理；</w:t>
      </w:r>
    </w:p>
    <w:p>
      <w:pPr>
        <w:pStyle w:val="72"/>
        <w:numPr>
          <w:ilvl w:val="0"/>
          <w:numId w:val="7"/>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交易系统转发的国证系列指数的行情接收、处理与展示；</w:t>
      </w:r>
    </w:p>
    <w:p>
      <w:pPr>
        <w:pStyle w:val="72"/>
        <w:numPr>
          <w:ilvl w:val="0"/>
          <w:numId w:val="7"/>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交易系统计算的国证系列指数的行情接收、处理与展示；</w:t>
      </w:r>
    </w:p>
    <w:p>
      <w:pPr>
        <w:pStyle w:val="72"/>
        <w:numPr>
          <w:ilvl w:val="0"/>
          <w:numId w:val="7"/>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中证系列指数的行情接收、处理与展示。</w:t>
      </w:r>
    </w:p>
    <w:p>
      <w:pPr>
        <w:numPr>
          <w:ilvl w:val="0"/>
          <w:numId w:val="4"/>
        </w:numPr>
        <w:spacing w:line="360" w:lineRule="atLeast"/>
        <w:ind w:left="480" w:leftChars="200"/>
        <w:outlineLvl w:val="1"/>
        <w:rPr>
          <w:b/>
          <w:bCs/>
          <w:color w:val="000000"/>
          <w:sz w:val="28"/>
          <w:szCs w:val="28"/>
          <w:lang w:bidi="ar"/>
        </w:rPr>
      </w:pPr>
      <w:r>
        <w:rPr>
          <w:rFonts w:hint="eastAsia"/>
          <w:b/>
          <w:bCs/>
          <w:color w:val="000000"/>
          <w:sz w:val="28"/>
          <w:szCs w:val="28"/>
          <w:lang w:bidi="ar"/>
        </w:rPr>
        <w:t>融资融券业务数据报送</w:t>
      </w:r>
    </w:p>
    <w:p>
      <w:pPr>
        <w:pStyle w:val="72"/>
        <w:widowControl/>
        <w:numPr>
          <w:ilvl w:val="0"/>
          <w:numId w:val="8"/>
        </w:numPr>
        <w:ind w:left="0" w:firstLine="560" w:firstLineChars="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融资融券业务数据申报并接收处理反馈文件；</w:t>
      </w:r>
    </w:p>
    <w:p>
      <w:pPr>
        <w:pStyle w:val="72"/>
        <w:widowControl/>
        <w:numPr>
          <w:ilvl w:val="0"/>
          <w:numId w:val="8"/>
        </w:numPr>
        <w:ind w:left="0" w:firstLine="560" w:firstLineChars="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信用违约资料申报并接收处理反馈文件；</w:t>
      </w:r>
    </w:p>
    <w:p>
      <w:pPr>
        <w:pStyle w:val="72"/>
        <w:widowControl/>
        <w:numPr>
          <w:ilvl w:val="0"/>
          <w:numId w:val="8"/>
        </w:numPr>
        <w:ind w:left="0" w:firstLine="560" w:firstLineChars="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违约汇总资料接收并处理。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T日测试内容（模拟2023年5月27日）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ascii="Times New Roman"/>
          <w:color w:val="000000"/>
          <w:szCs w:val="28"/>
        </w:rPr>
        <w:t>包括</w:t>
      </w:r>
      <w:r>
        <w:rPr>
          <w:rFonts w:hint="eastAsia"/>
          <w:color w:val="000000"/>
          <w:szCs w:val="28"/>
        </w:rPr>
        <w:t>交易、非交易、</w:t>
      </w:r>
      <w:r>
        <w:rPr>
          <w:rFonts w:hint="eastAsia" w:ascii="Times New Roman"/>
          <w:color w:val="000000"/>
          <w:szCs w:val="28"/>
        </w:rPr>
        <w:t>债券质押式协议回购</w:t>
      </w:r>
      <w:r>
        <w:rPr>
          <w:rFonts w:hint="eastAsia"/>
          <w:color w:val="000000"/>
          <w:szCs w:val="28"/>
        </w:rPr>
        <w:t>等业务的委托申报，港股通证券交易、非交易等业务的委托申报，接收成交回报与实时行情（含</w:t>
      </w:r>
      <w:r>
        <w:rPr>
          <w:rFonts w:hint="eastAsia"/>
          <w:color w:val="000000"/>
          <w:szCs w:val="28"/>
          <w:lang w:eastAsia="zh-CN"/>
        </w:rPr>
        <w:t>现货、期权、</w:t>
      </w:r>
      <w:r>
        <w:rPr>
          <w:rFonts w:hint="eastAsia"/>
          <w:color w:val="000000"/>
          <w:szCs w:val="28"/>
          <w:lang w:bidi="ar"/>
        </w:rPr>
        <w:t>国证系列指数、中证系列指数行情</w:t>
      </w:r>
      <w:r>
        <w:rPr>
          <w:rFonts w:hint="eastAsia"/>
          <w:color w:val="000000"/>
          <w:szCs w:val="28"/>
        </w:rPr>
        <w:t>）。通过交易终端进行委托申报、行情查询、成交查询及数据下载。</w:t>
      </w:r>
    </w:p>
    <w:p>
      <w:pPr>
        <w:pStyle w:val="30"/>
        <w:spacing w:line="240" w:lineRule="auto"/>
        <w:ind w:firstLine="560" w:firstLineChars="200"/>
        <w:rPr>
          <w:color w:val="000000"/>
          <w:szCs w:val="28"/>
        </w:rPr>
      </w:pPr>
      <w:r>
        <w:rPr>
          <w:rFonts w:hint="eastAsia"/>
          <w:color w:val="000000"/>
          <w:szCs w:val="28"/>
        </w:rPr>
        <w:t>深交所模拟交易系统灾备切换，请各参测单位检查自身技术系统的适应性，确保自身技术系统的正确平稳运行。</w:t>
      </w:r>
    </w:p>
    <w:p>
      <w:pPr>
        <w:pStyle w:val="30"/>
        <w:ind w:firstLine="560" w:firstLineChars="200"/>
        <w:rPr>
          <w:color w:val="000000"/>
          <w:szCs w:val="28"/>
        </w:rPr>
      </w:pPr>
      <w:r>
        <w:rPr>
          <w:rFonts w:hint="eastAsia"/>
          <w:color w:val="000000"/>
          <w:szCs w:val="28"/>
        </w:rPr>
        <w:t>测试融资融券业务数据报送。融资融券业务数据报送时仅测试传输通道的连通性和反馈文件格式的正确性，不对内容和稽核结果做正确性验证，报送后若能收到.ERR或.SUC反馈文件均表示报送通道正常，若能收到XYWYHZ.DBF文件，则表示违约汇总资料下发通道正常，若反馈文件能正常处理，则表示文件格式正常。</w:t>
      </w:r>
    </w:p>
    <w:p>
      <w:pPr>
        <w:pStyle w:val="30"/>
        <w:ind w:firstLine="560" w:firstLineChars="20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T+1日测试内容（模拟2023年5月28日）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ascii="Times New Roman"/>
          <w:color w:val="000000"/>
          <w:szCs w:val="28"/>
        </w:rPr>
        <w:t>包括</w:t>
      </w:r>
      <w:r>
        <w:rPr>
          <w:rFonts w:hint="eastAsia"/>
          <w:color w:val="000000"/>
          <w:szCs w:val="28"/>
        </w:rPr>
        <w:t>交易、非交易、</w:t>
      </w:r>
      <w:r>
        <w:rPr>
          <w:rFonts w:hint="eastAsia" w:ascii="Times New Roman"/>
          <w:color w:val="000000"/>
          <w:szCs w:val="28"/>
        </w:rPr>
        <w:t>债券质押式协议回购</w:t>
      </w:r>
      <w:r>
        <w:rPr>
          <w:rFonts w:hint="eastAsia"/>
          <w:color w:val="000000"/>
          <w:szCs w:val="28"/>
        </w:rPr>
        <w:t>等业务的委托申报，接收成交回报与实时行情。通过交易终端进行委托申报、行情查询、成交查询及数据下载。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模拟深市证券（含现货、期权等品种）的股份及资金清算交收等业务处理。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恢复验证测试内容（模拟2023年5月27日）</w:t>
      </w:r>
    </w:p>
    <w:p>
      <w:pPr>
        <w:pStyle w:val="30"/>
        <w:ind w:firstLine="562" w:firstLineChars="200"/>
        <w:rPr>
          <w:color w:val="000000"/>
          <w:szCs w:val="28"/>
        </w:rPr>
      </w:pPr>
      <w:r>
        <w:rPr>
          <w:rFonts w:hint="eastAsia"/>
          <w:b/>
          <w:color w:val="000000"/>
          <w:szCs w:val="28"/>
        </w:rPr>
        <w:t>市场参与人技术系统：交易网关、行情网关、文件网关使用与2023年5月29日生产系统相同配置连接交易及相关系统。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测试时间为2023年5月27日8:30至20:30（含恢复验证测试）。</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5月27日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深市现货、股票期权等品种交易、非交易</w:t>
            </w:r>
            <w:r>
              <w:rPr>
                <w:rFonts w:hint="eastAsia"/>
                <w:color w:val="000000"/>
                <w:sz w:val="21"/>
                <w:szCs w:val="21"/>
                <w:lang w:eastAsia="zh-CN"/>
              </w:rPr>
              <w:t>、债券质押式协议回购</w:t>
            </w:r>
            <w:r>
              <w:rPr>
                <w:rFonts w:hint="eastAsia"/>
                <w:color w:val="000000"/>
                <w:sz w:val="21"/>
                <w:szCs w:val="21"/>
              </w:rPr>
              <w:t>业务。</w:t>
            </w:r>
          </w:p>
          <w:p>
            <w:pPr>
              <w:spacing w:line="300" w:lineRule="exact"/>
              <w:rPr>
                <w:color w:val="000000"/>
                <w:sz w:val="21"/>
                <w:szCs w:val="21"/>
              </w:rPr>
            </w:pPr>
            <w:r>
              <w:rPr>
                <w:rFonts w:hint="eastAsia"/>
                <w:color w:val="FF0000"/>
                <w:sz w:val="21"/>
                <w:szCs w:val="21"/>
              </w:rPr>
              <w:t>深交所将于</w:t>
            </w:r>
            <w:r>
              <w:rPr>
                <w:color w:val="FF0000"/>
                <w:sz w:val="21"/>
                <w:szCs w:val="21"/>
              </w:rPr>
              <w:t>10:00</w:t>
            </w:r>
            <w:r>
              <w:rPr>
                <w:rFonts w:hint="eastAsia"/>
                <w:color w:val="FF0000"/>
                <w:sz w:val="21"/>
                <w:szCs w:val="21"/>
              </w:rPr>
              <w:t>左右模拟</w:t>
            </w:r>
            <w:r>
              <w:rPr>
                <w:rFonts w:hint="eastAsia" w:hAnsi="楷体_GB2312" w:cs="楷体_GB2312"/>
                <w:color w:val="FF0000"/>
                <w:sz w:val="21"/>
                <w:szCs w:val="21"/>
              </w:rPr>
              <w:t>福田数据中心故障，由南方中心单中心运行至收市</w:t>
            </w:r>
            <w:r>
              <w:rPr>
                <w:rFonts w:hint="eastAsia"/>
                <w:color w:val="FF0000"/>
                <w:sz w:val="21"/>
                <w:szCs w:val="21"/>
              </w:rPr>
              <w:t>。请注意观察并记录现象。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wordWrap w:val="0"/>
              <w:jc w:val="center"/>
              <w:rPr>
                <w:rFonts w:hint="eastAsia" w:ascii="΢���ź�" w:hAnsi="΢���ź�" w:cs="宋体"/>
                <w:color w:val="000000"/>
                <w:kern w:val="0"/>
              </w:rPr>
            </w:pPr>
            <w:r>
              <w:rPr>
                <w:rFonts w:hint="eastAsia" w:ascii="Times New Roman"/>
                <w:sz w:val="21"/>
                <w:szCs w:val="21"/>
              </w:rPr>
              <w:t>9:30-11:00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 融资融券业务数据接收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通过文件网关重报5月26日(星期五)的两融余额和信用违约资料，并接收处理反馈文件。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wordWrap w:val="0"/>
              <w:jc w:val="center"/>
              <w:rPr>
                <w:rFonts w:hint="eastAsia" w:ascii="΢���ź�" w:hAnsi="΢���ź�" w:cs="宋体"/>
                <w:color w:val="000000"/>
                <w:kern w:val="0"/>
              </w:rPr>
            </w:pPr>
            <w:r>
              <w:rPr>
                <w:rFonts w:hint="eastAsia" w:ascii="Times New Roman"/>
                <w:sz w:val="21"/>
                <w:szCs w:val="21"/>
              </w:rPr>
              <w:t>11:00-12:00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信用违约汇总资料下发</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通过文件网关接收XYWYHZ.DBF文件（业务日期为20230527），并接收处理反馈文件。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979"/>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w:t>
            </w:r>
            <w:r>
              <w:rPr>
                <w:rFonts w:hint="eastAsia" w:ascii="Times New Roman"/>
                <w:b/>
                <w:bCs/>
                <w:color w:val="000000"/>
                <w:sz w:val="21"/>
                <w:szCs w:val="21"/>
              </w:rPr>
              <w:t>+1</w:t>
            </w:r>
            <w:r>
              <w:rPr>
                <w:rFonts w:ascii="Times New Roman"/>
                <w:b/>
                <w:bCs/>
                <w:color w:val="000000"/>
                <w:sz w:val="21"/>
                <w:szCs w:val="21"/>
              </w:rPr>
              <w: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5月28日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97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4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hAnsi="Times New Roman" w:eastAsia="楷体_GB2312" w:cs="Times New Roman"/>
                <w:kern w:val="2"/>
                <w:sz w:val="21"/>
                <w:szCs w:val="21"/>
                <w:lang w:val="en-US" w:eastAsia="zh-CN" w:bidi="ar-SA"/>
              </w:rPr>
            </w:pPr>
            <w:r>
              <w:rPr>
                <w:rFonts w:hint="eastAsia" w:ascii="Times New Roman"/>
                <w:sz w:val="21"/>
                <w:szCs w:val="21"/>
              </w:rPr>
              <w:t>1</w:t>
            </w:r>
            <w:r>
              <w:rPr>
                <w:rFonts w:hint="eastAsia" w:ascii="Times New Roman"/>
                <w:sz w:val="21"/>
                <w:szCs w:val="21"/>
                <w:lang w:val="en-US" w:eastAsia="zh-CN"/>
              </w:rPr>
              <w:t>5</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hAnsi="Times New Roman" w:eastAsia="楷体_GB2312" w:cs="Times New Roman"/>
                <w:kern w:val="2"/>
                <w:sz w:val="21"/>
                <w:szCs w:val="21"/>
                <w:lang w:val="en-US" w:eastAsia="zh-CN" w:bidi="ar-SA"/>
              </w:rPr>
            </w:pPr>
            <w:r>
              <w:rPr>
                <w:rFonts w:hint="eastAsia" w:ascii="Times New Roman"/>
                <w:sz w:val="21"/>
                <w:szCs w:val="21"/>
                <w:lang w:eastAsia="zh-CN"/>
              </w:rPr>
              <w:t>晚间</w:t>
            </w:r>
            <w:r>
              <w:rPr>
                <w:rFonts w:ascii="Times New Roman"/>
                <w:sz w:val="21"/>
                <w:szCs w:val="21"/>
              </w:rPr>
              <w:t>下发T</w:t>
            </w:r>
            <w:r>
              <w:rPr>
                <w:rFonts w:hint="eastAsia" w:ascii="Times New Roman"/>
                <w:sz w:val="21"/>
                <w:szCs w:val="21"/>
              </w:rPr>
              <w:t>+1</w:t>
            </w:r>
            <w:r>
              <w:rPr>
                <w:rFonts w:ascii="Times New Roman"/>
                <w:sz w:val="21"/>
                <w:szCs w:val="21"/>
              </w:rPr>
              <w:t>日静态交易参考信息文件、股东大会信息文件</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hAnsi="Times New Roman" w:eastAsia="楷体_GB2312" w:cs="Times New Roman"/>
                <w:kern w:val="2"/>
                <w:sz w:val="21"/>
                <w:szCs w:val="21"/>
                <w:lang w:val="en-US" w:eastAsia="zh-CN" w:bidi="ar-SA"/>
              </w:rPr>
            </w:pPr>
            <w:r>
              <w:rPr>
                <w:rFonts w:ascii="Times New Roman"/>
                <w:sz w:val="21"/>
                <w:szCs w:val="21"/>
              </w:rPr>
              <w:t>接收并</w:t>
            </w:r>
            <w:r>
              <w:rPr>
                <w:rFonts w:hint="eastAsia" w:ascii="Times New Roman"/>
                <w:sz w:val="21"/>
                <w:szCs w:val="21"/>
                <w:lang w:eastAsia="zh-CN"/>
              </w:rPr>
              <w:t>处理晚间下发的</w:t>
            </w:r>
            <w:r>
              <w:rPr>
                <w:rFonts w:ascii="Times New Roman"/>
                <w:sz w:val="21"/>
                <w:szCs w:val="21"/>
              </w:rPr>
              <w:t>T</w:t>
            </w:r>
            <w:r>
              <w:rPr>
                <w:rFonts w:hint="eastAsia" w:ascii="Times New Roman"/>
                <w:sz w:val="21"/>
                <w:szCs w:val="21"/>
              </w:rPr>
              <w:t>+1</w:t>
            </w:r>
            <w:r>
              <w:rPr>
                <w:rFonts w:ascii="Times New Roman"/>
                <w:sz w:val="21"/>
                <w:szCs w:val="21"/>
              </w:rPr>
              <w:t>日静态交易参考信息文件、股东大会信息文件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w:t>
            </w:r>
            <w:r>
              <w:rPr>
                <w:rFonts w:hint="eastAsia" w:ascii="Times New Roman"/>
                <w:sz w:val="21"/>
                <w:szCs w:val="21"/>
              </w:rPr>
              <w:t>+1</w:t>
            </w:r>
            <w:r>
              <w:rPr>
                <w:rFonts w:ascii="Times New Roman"/>
                <w:sz w:val="21"/>
                <w:szCs w:val="21"/>
              </w:rPr>
              <w:t>日静态交易参考信息文件、PCF文件、信息公告</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w:t>
            </w:r>
            <w:r>
              <w:rPr>
                <w:rFonts w:hint="eastAsia" w:ascii="Times New Roman"/>
                <w:sz w:val="21"/>
                <w:szCs w:val="21"/>
                <w:lang w:eastAsia="zh-CN"/>
              </w:rPr>
              <w:t>早间下发的</w:t>
            </w:r>
            <w:r>
              <w:rPr>
                <w:rFonts w:ascii="Times New Roman"/>
                <w:sz w:val="21"/>
                <w:szCs w:val="21"/>
              </w:rPr>
              <w:t>T</w:t>
            </w:r>
            <w:r>
              <w:rPr>
                <w:rFonts w:hint="eastAsia" w:ascii="Times New Roman"/>
                <w:sz w:val="21"/>
                <w:szCs w:val="21"/>
              </w:rPr>
              <w:t>+1</w:t>
            </w:r>
            <w:r>
              <w:rPr>
                <w:rFonts w:ascii="Times New Roman"/>
                <w:sz w:val="21"/>
                <w:szCs w:val="21"/>
              </w:rPr>
              <w:t>日静态交易参考信息文件、PCF文件、信息公告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-17:00</w:t>
            </w:r>
          </w:p>
          <w:p>
            <w:pPr>
              <w:spacing w:line="300" w:lineRule="exact"/>
              <w:jc w:val="center"/>
              <w:rPr>
                <w:rFonts w:ascii="Times New Roman"/>
                <w:sz w:val="21"/>
                <w:szCs w:val="21"/>
              </w:rPr>
            </w:pPr>
            <w:r>
              <w:rPr>
                <w:rFonts w:hint="eastAsia" w:ascii="Times New Roman"/>
                <w:sz w:val="21"/>
                <w:szCs w:val="21"/>
              </w:rPr>
              <w:t>（16:30-16:35中午休市）</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eastAsia="楷体_GB2312"/>
                <w:color w:val="000000"/>
                <w:sz w:val="21"/>
                <w:szCs w:val="21"/>
                <w:lang w:val="en-US" w:eastAsia="zh-CN"/>
              </w:rPr>
            </w:pPr>
            <w:r>
              <w:rPr>
                <w:rFonts w:hint="eastAsia"/>
                <w:color w:val="000000"/>
                <w:sz w:val="21"/>
                <w:szCs w:val="21"/>
              </w:rPr>
              <w:t>深市现货、股票期权等品种交易、非交易、债券质押式协议回购业务。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17:00-18:30</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w:t>
            </w:r>
            <w:r>
              <w:rPr>
                <w:rFonts w:hint="eastAsia" w:ascii="Times New Roman"/>
                <w:sz w:val="21"/>
                <w:szCs w:val="21"/>
                <w:lang w:val="en-US" w:eastAsia="zh-CN"/>
              </w:rPr>
              <w:t>+1</w:t>
            </w:r>
            <w:r>
              <w:rPr>
                <w:rFonts w:ascii="Times New Roman"/>
                <w:sz w:val="21"/>
                <w:szCs w:val="21"/>
              </w:rPr>
              <w:t>日股份资金清算交收</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18:30后</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w:t>
            </w:r>
            <w:r>
              <w:rPr>
                <w:rFonts w:hint="eastAsia" w:ascii="Times New Roman"/>
                <w:sz w:val="21"/>
                <w:szCs w:val="21"/>
                <w:lang w:val="en-US" w:eastAsia="zh-CN"/>
              </w:rPr>
              <w:t>+1</w:t>
            </w:r>
            <w:r>
              <w:rPr>
                <w:rFonts w:ascii="Times New Roman"/>
                <w:sz w:val="21"/>
                <w:szCs w:val="21"/>
              </w:rPr>
              <w:t>日结算数据发送</w:t>
            </w:r>
          </w:p>
        </w:tc>
        <w:tc>
          <w:tcPr>
            <w:tcW w:w="2742"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w:t>
            </w:r>
            <w:r>
              <w:rPr>
                <w:rFonts w:hint="eastAsia" w:ascii="Times New Roman"/>
                <w:sz w:val="21"/>
                <w:szCs w:val="21"/>
                <w:lang w:eastAsia="zh-CN"/>
              </w:rPr>
              <w:t>并处理</w:t>
            </w:r>
            <w:r>
              <w:rPr>
                <w:rFonts w:hint="eastAsia" w:ascii="Times New Roman"/>
                <w:sz w:val="21"/>
                <w:szCs w:val="21"/>
              </w:rPr>
              <w:t>T+1日</w:t>
            </w:r>
            <w:r>
              <w:rPr>
                <w:rFonts w:ascii="Times New Roman"/>
                <w:sz w:val="21"/>
                <w:szCs w:val="21"/>
              </w:rPr>
              <w:t>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979"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4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16:00-16:10,16:15-16:30,16:35-16:50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15:10开盘，15:15开始连续竞价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16:00-16:30,16:35-17:00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盘后定价成交的交易时间为16:55-17:00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eastAsia="楷体_GB2312"/>
                <w:sz w:val="21"/>
                <w:szCs w:val="21"/>
                <w:lang w:eastAsia="zh-CN"/>
              </w:rPr>
            </w:pPr>
            <w:r>
              <w:rPr>
                <w:rFonts w:hint="eastAsia" w:ascii="Times New Roman"/>
                <w:sz w:val="21"/>
                <w:szCs w:val="21"/>
              </w:rPr>
              <w:t>期权组合策略保证金、普通仓与备兑仓互转业务申报截止时间为16:5</w:t>
            </w:r>
            <w:r>
              <w:rPr>
                <w:rFonts w:hint="eastAsia" w:ascii="Times New Roman"/>
                <w:sz w:val="21"/>
                <w:szCs w:val="21"/>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16:00-16:30,16:35-16:50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-16:30,16:35-17:00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匹配成交的开盘集合匹配时间16:00-16:10，连续匹配开始时间16:15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tbl>
      <w:tblPr>
        <w:tblStyle w:val="36"/>
        <w:tblpPr w:leftFromText="180" w:rightFromText="180" w:vertAnchor="text" w:horzAnchor="page" w:tblpX="1694" w:tblpY="629"/>
        <w:tblOverlap w:val="never"/>
        <w:tblW w:w="8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9"/>
        <w:gridCol w:w="3255"/>
        <w:gridCol w:w="3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5月27日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前</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hint="eastAsia" w:ascii="Times New Roman"/>
                <w:sz w:val="21"/>
                <w:szCs w:val="21"/>
              </w:rPr>
              <w:t>前</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05中午休市）</w:t>
            </w:r>
          </w:p>
        </w:tc>
        <w:tc>
          <w:tcPr>
            <w:tcW w:w="325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5</w:t>
            </w:r>
            <w:r>
              <w:rPr>
                <w:rFonts w:hint="eastAsia" w:ascii="Times New Roman"/>
                <w:sz w:val="21"/>
                <w:szCs w:val="21"/>
              </w:rPr>
              <w:t>月2</w:t>
            </w:r>
            <w:r>
              <w:rPr>
                <w:rFonts w:hint="eastAsia" w:ascii="Times New Roman"/>
                <w:sz w:val="21"/>
                <w:szCs w:val="21"/>
                <w:lang w:val="en-US" w:eastAsia="zh-CN"/>
              </w:rPr>
              <w:t>9</w:t>
            </w:r>
            <w:r>
              <w:rPr>
                <w:rFonts w:hint="eastAsia" w:ascii="Times New Roman"/>
                <w:sz w:val="21"/>
                <w:szCs w:val="21"/>
              </w:rPr>
              <w:t>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20:30后</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20</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19</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20</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20</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20</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19</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281" w:firstLineChars="100"/>
        <w:rPr>
          <w:rFonts w:hAnsi="楷体_GB2312" w:cs="楷体_GB2312"/>
          <w:color w:val="000000"/>
          <w:sz w:val="28"/>
          <w:szCs w:val="28"/>
        </w:rPr>
      </w:pPr>
      <w:r>
        <w:rPr>
          <w:rFonts w:hint="eastAsia" w:hAnsi="楷体_GB2312" w:cs="楷体_GB2312"/>
          <w:b/>
          <w:bCs/>
          <w:color w:val="000000"/>
          <w:sz w:val="28"/>
          <w:szCs w:val="28"/>
        </w:rPr>
        <w:t>港股通交易结算业务测试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深交所港股通T日测试安排（模拟T日2023年5月27日的交易）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中国结算深圳分公司T日测试安排（模拟T日2023年5月27日的交易）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T日和恢复验证测试均以2023年5月26日（星期五）深市所有证券的收盘行情、收市后的股份数据作为交易的起始数据。</w:t>
      </w:r>
    </w:p>
    <w:p>
      <w:pPr>
        <w:pStyle w:val="72"/>
        <w:numPr>
          <w:ilvl w:val="255"/>
          <w:numId w:val="0"/>
        </w:numPr>
        <w:ind w:firstLine="560" w:firstLineChars="200"/>
        <w:jc w:val="both"/>
        <w:rPr>
          <w:rFonts w:ascii="楷体_GB2312" w:eastAsia="楷体_GB2312"/>
          <w:color w:val="000000"/>
          <w:sz w:val="28"/>
          <w:szCs w:val="28"/>
        </w:rPr>
      </w:pPr>
      <w:r>
        <w:rPr>
          <w:rFonts w:hint="eastAsia" w:ascii="楷体_GB2312" w:eastAsia="楷体_GB2312"/>
          <w:color w:val="000000"/>
          <w:sz w:val="28"/>
          <w:szCs w:val="28"/>
        </w:rPr>
        <w:t xml:space="preserve"> T+1日以T日深市所有证券的收盘行情、收市后的股份数据作为交易结算的起始数据。</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5月29日（星期一）生产系统保持一致。</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所有ETF测试使用的PCF/IOPV文件与2023年5月26日（星期五）交易生产系统保持一致，所有基金管理人均无需上传通关测试使用的PCF/IOPV文件。</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新增测试专用A股证券账户0809900000-0809900001（法人）、0199900000-0199900001（个人）。中国结算深圳分公司为以上测试证券账户在每个有效的A股托管单元新增登记公司债（148255、148256、148263）、非公开发行公司债（133492、133489、133480）、资产支持证券（135839、135937、135938）、基础设施基金（180201）、可转债（123002、123004、123010）、可交换私募债（117203、117204、117205）的‘00’（无限售流通股）股份性质各100，000百元面额（基础设施基金为份）。</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交易系统转发的国证系列跨市场指数，行情发布频道为0011，其中部分跨市场指数的样本股会包含北交所证券。</w:t>
      </w:r>
    </w:p>
    <w:tbl>
      <w:tblPr>
        <w:tblStyle w:val="37"/>
        <w:tblW w:w="79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0"/>
        <w:gridCol w:w="1344"/>
        <w:gridCol w:w="2472"/>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指数代码</w:t>
            </w:r>
          </w:p>
        </w:tc>
        <w:tc>
          <w:tcPr>
            <w:tcW w:w="1344"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指数简称</w:t>
            </w:r>
          </w:p>
        </w:tc>
        <w:tc>
          <w:tcPr>
            <w:tcW w:w="2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国证指数信息文件的ConstituentSource取值</w:t>
            </w:r>
          </w:p>
        </w:tc>
        <w:tc>
          <w:tcPr>
            <w:tcW w:w="3100"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测试场景说明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vAlign w:val="center"/>
          </w:tcPr>
          <w:p>
            <w:pPr>
              <w:jc w:val="center"/>
              <w:rPr>
                <w:rFonts w:hAnsi="楷体"/>
                <w:sz w:val="21"/>
                <w:szCs w:val="21"/>
              </w:rPr>
            </w:pPr>
            <w:r>
              <w:rPr>
                <w:rFonts w:hint="eastAsia" w:hAnsi="楷体"/>
                <w:sz w:val="21"/>
                <w:szCs w:val="21"/>
              </w:rPr>
              <w:t>980001</w:t>
            </w:r>
          </w:p>
        </w:tc>
        <w:tc>
          <w:tcPr>
            <w:tcW w:w="1344"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湾创100</w:t>
            </w:r>
          </w:p>
        </w:tc>
        <w:tc>
          <w:tcPr>
            <w:tcW w:w="2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04</w:t>
            </w:r>
          </w:p>
        </w:tc>
        <w:tc>
          <w:tcPr>
            <w:tcW w:w="3100"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模拟纳入北交所证券样本，“04=深沪港”调整为“04=深沪京港”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vAlign w:val="center"/>
          </w:tcPr>
          <w:p>
            <w:pPr>
              <w:jc w:val="center"/>
              <w:rPr>
                <w:rFonts w:hAnsi="楷体"/>
                <w:sz w:val="21"/>
                <w:szCs w:val="21"/>
              </w:rPr>
            </w:pPr>
            <w:r>
              <w:rPr>
                <w:rFonts w:hint="eastAsia" w:hAnsi="楷体"/>
                <w:sz w:val="21"/>
                <w:szCs w:val="21"/>
              </w:rPr>
              <w:t>980032</w:t>
            </w:r>
          </w:p>
        </w:tc>
        <w:tc>
          <w:tcPr>
            <w:tcW w:w="1344"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新能电池</w:t>
            </w:r>
          </w:p>
        </w:tc>
        <w:tc>
          <w:tcPr>
            <w:tcW w:w="2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03</w:t>
            </w:r>
          </w:p>
        </w:tc>
        <w:tc>
          <w:tcPr>
            <w:tcW w:w="3100"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模拟纳入北交所证券样本，“03=深沪”调整为“03=深沪京”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vAlign w:val="center"/>
          </w:tcPr>
          <w:p>
            <w:pPr>
              <w:jc w:val="center"/>
              <w:rPr>
                <w:rFonts w:hAnsi="楷体"/>
                <w:sz w:val="21"/>
                <w:szCs w:val="21"/>
              </w:rPr>
            </w:pPr>
            <w:r>
              <w:rPr>
                <w:rFonts w:hint="eastAsia" w:hAnsi="楷体"/>
                <w:sz w:val="21"/>
                <w:szCs w:val="21"/>
              </w:rPr>
              <w:t>981001</w:t>
            </w:r>
          </w:p>
        </w:tc>
        <w:tc>
          <w:tcPr>
            <w:tcW w:w="1344"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京市测试</w:t>
            </w:r>
          </w:p>
        </w:tc>
        <w:tc>
          <w:tcPr>
            <w:tcW w:w="2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06</w:t>
            </w:r>
          </w:p>
        </w:tc>
        <w:tc>
          <w:tcPr>
            <w:tcW w:w="3100"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模拟新增“06=京市”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vAlign w:val="center"/>
          </w:tcPr>
          <w:p>
            <w:pPr>
              <w:jc w:val="center"/>
              <w:rPr>
                <w:rFonts w:hAnsi="楷体"/>
                <w:sz w:val="21"/>
                <w:szCs w:val="21"/>
              </w:rPr>
            </w:pPr>
            <w:r>
              <w:rPr>
                <w:rFonts w:hint="eastAsia" w:hAnsi="楷体"/>
                <w:sz w:val="21"/>
                <w:szCs w:val="21"/>
              </w:rPr>
              <w:t>987008</w:t>
            </w:r>
          </w:p>
        </w:tc>
        <w:tc>
          <w:tcPr>
            <w:tcW w:w="1344"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港股通科技</w:t>
            </w:r>
          </w:p>
        </w:tc>
        <w:tc>
          <w:tcPr>
            <w:tcW w:w="2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07</w:t>
            </w:r>
          </w:p>
        </w:tc>
        <w:tc>
          <w:tcPr>
            <w:tcW w:w="3100"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模拟“06=香港”调整为“07=香港”</w:t>
            </w:r>
          </w:p>
        </w:tc>
      </w:tr>
    </w:tbl>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交易系统计算的国证系列跨市场指数，行情发布频道为0010，其中部分跨市场指数的样本股会包含北交所证券。</w:t>
      </w:r>
    </w:p>
    <w:tbl>
      <w:tblPr>
        <w:tblStyle w:val="36"/>
        <w:tblW w:w="5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472"/>
        <w:gridCol w:w="3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指数代码</w:t>
            </w:r>
          </w:p>
        </w:tc>
        <w:tc>
          <w:tcPr>
            <w:tcW w:w="1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指数简称</w:t>
            </w:r>
          </w:p>
        </w:tc>
        <w:tc>
          <w:tcPr>
            <w:tcW w:w="3118"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测试场景说明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399417</w:t>
            </w:r>
          </w:p>
        </w:tc>
        <w:tc>
          <w:tcPr>
            <w:tcW w:w="1472"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新能源车</w:t>
            </w:r>
          </w:p>
        </w:tc>
        <w:tc>
          <w:tcPr>
            <w:tcW w:w="3118" w:type="dxa"/>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399699</w:t>
            </w:r>
          </w:p>
        </w:tc>
        <w:tc>
          <w:tcPr>
            <w:tcW w:w="1472"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金融科技</w:t>
            </w:r>
          </w:p>
        </w:tc>
        <w:tc>
          <w:tcPr>
            <w:tcW w:w="3118"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w:t>
            </w:r>
          </w:p>
        </w:tc>
      </w:tr>
    </w:tbl>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中证系列跨市场指数，行情发布频道为0010，其中部分跨市场指数的样本股会包含北交所证券。</w:t>
      </w:r>
    </w:p>
    <w:tbl>
      <w:tblPr>
        <w:tblStyle w:val="36"/>
        <w:tblW w:w="5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472"/>
        <w:gridCol w:w="3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指数代码</w:t>
            </w:r>
          </w:p>
        </w:tc>
        <w:tc>
          <w:tcPr>
            <w:tcW w:w="1472"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指数简称</w:t>
            </w:r>
          </w:p>
        </w:tc>
        <w:tc>
          <w:tcPr>
            <w:tcW w:w="3118" w:type="dxa"/>
            <w:vAlign w:val="center"/>
          </w:tcPr>
          <w:p>
            <w:pPr>
              <w:pStyle w:val="72"/>
              <w:ind w:firstLine="0" w:firstLineChars="0"/>
              <w:jc w:val="center"/>
              <w:rPr>
                <w:rFonts w:ascii="楷体_GB2312" w:hAnsi="楷体" w:eastAsia="楷体_GB2312"/>
                <w:szCs w:val="21"/>
              </w:rPr>
            </w:pPr>
            <w:r>
              <w:rPr>
                <w:rFonts w:hint="eastAsia" w:ascii="楷体_GB2312" w:hAnsi="楷体" w:eastAsia="楷体_GB2312"/>
                <w:szCs w:val="21"/>
              </w:rPr>
              <w:t>测试场景说明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399806</w:t>
            </w:r>
          </w:p>
        </w:tc>
        <w:tc>
          <w:tcPr>
            <w:tcW w:w="1472"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环境治理</w:t>
            </w:r>
          </w:p>
        </w:tc>
        <w:tc>
          <w:tcPr>
            <w:tcW w:w="3118" w:type="dxa"/>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399928</w:t>
            </w:r>
          </w:p>
        </w:tc>
        <w:tc>
          <w:tcPr>
            <w:tcW w:w="1472" w:type="dxa"/>
          </w:tcPr>
          <w:p>
            <w:pPr>
              <w:pStyle w:val="72"/>
              <w:ind w:firstLine="0" w:firstLineChars="0"/>
              <w:jc w:val="center"/>
              <w:rPr>
                <w:rFonts w:ascii="楷体_GB2312" w:hAnsi="楷体" w:eastAsia="楷体_GB2312"/>
                <w:szCs w:val="21"/>
              </w:rPr>
            </w:pPr>
            <w:r>
              <w:rPr>
                <w:rFonts w:hint="eastAsia" w:ascii="楷体_GB2312" w:hAnsi="楷体" w:eastAsia="楷体_GB2312"/>
                <w:szCs w:val="21"/>
              </w:rPr>
              <w:t>中证能源</w:t>
            </w:r>
          </w:p>
        </w:tc>
        <w:tc>
          <w:tcPr>
            <w:tcW w:w="3118" w:type="dxa"/>
            <w:vAlign w:val="center"/>
          </w:tcPr>
          <w:p>
            <w:pPr>
              <w:pStyle w:val="72"/>
              <w:ind w:firstLine="0" w:firstLineChars="0"/>
              <w:rPr>
                <w:rFonts w:ascii="楷体_GB2312" w:hAnsi="楷体" w:eastAsia="楷体_GB2312"/>
                <w:szCs w:val="21"/>
              </w:rPr>
            </w:pPr>
            <w:r>
              <w:rPr>
                <w:rFonts w:hint="eastAsia" w:ascii="楷体_GB2312" w:hAnsi="楷体" w:eastAsia="楷体_GB2312"/>
                <w:szCs w:val="21"/>
              </w:rPr>
              <w:t>模拟纳入北交所证券样本</w:t>
            </w:r>
          </w:p>
        </w:tc>
      </w:tr>
    </w:tbl>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5月27日的现货结算备付金账户余额修改为100亿元，港股通结算备付金账户余额不做调整。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10"/>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D-COM系统在2023年5月27日期间属于测试环境，2023年5月27日23:45以后将恢复回生产环境。</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测试期间通过交易终端进行的密码修改、用户添加等用户管理相关操作，仅在测试期间有效，仅适用于2023年5月27日测试。</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T+1日测试、恢复验证测试前，交易参与人应当重置其柜台系统的回报记录号（具体方法可详询各自的软件供应商），使得回报同步消息（Report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，再准备2023年5月27日测试相关数据。</w:t>
      </w:r>
      <w:r>
        <w:rPr>
          <w:rFonts w:hint="eastAsia" w:hAnsi="楷体"/>
          <w:color w:val="000000"/>
          <w:sz w:val="28"/>
          <w:szCs w:val="28"/>
        </w:rPr>
        <w:t>测试完成后做好线上系统的变更稽核和数据环境的恢复工作，确保下一交易日（2023年5月29日）生产系统的正确运行。</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深交所已于2023年1月31日发布《关于调整Level 1行情发送带宽的通知》，本次测试将模拟为所有参与人的Level 1地面行情网关增加股票期权行情订阅功能，会员单位、期货公司和深证信授权股票期权展示许可的行情服务商的Level 1地面行情网关将自动获取股票期权行情订阅权限，其他参与人无法收到股票期权行情。</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bookmarkStart w:id="8" w:name="_GoBack"/>
      <w:bookmarkEnd w:id="8"/>
      <w:r>
        <w:rPr>
          <w:rFonts w:hint="eastAsia" w:ascii="楷体_GB2312" w:eastAsia="楷体_GB2312"/>
          <w:b/>
          <w:color w:val="000000"/>
          <w:sz w:val="32"/>
          <w:szCs w:val="32"/>
        </w:rPr>
        <w:t>七、测试要求</w:t>
      </w:r>
      <w:bookmarkEnd w:id="5"/>
    </w:p>
    <w:p>
      <w:pPr>
        <w:numPr>
          <w:ilvl w:val="0"/>
          <w:numId w:val="12"/>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请各会员、其他债券交易参与人、期权经营机构、</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12"/>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2"/>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5月27日20:30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2108" w:firstLineChars="753"/>
        <w:jc w:val="left"/>
        <w:rPr>
          <w:rFonts w:hint="eastAsia" w:eastAsia="楷体_GB2312"/>
          <w:color w:val="2E2E2E"/>
          <w:kern w:val="0"/>
          <w:sz w:val="28"/>
          <w:szCs w:val="28"/>
          <w:lang w:eastAsia="zh-CN"/>
        </w:rPr>
      </w:pPr>
      <w:r>
        <w:rPr>
          <w:rFonts w:hint="eastAsia"/>
          <w:color w:val="2E2E2E"/>
          <w:kern w:val="0"/>
          <w:sz w:val="28"/>
          <w:szCs w:val="28"/>
        </w:rPr>
        <w:t>0755-25918685</w:t>
      </w:r>
      <w:r>
        <w:rPr>
          <w:rFonts w:hint="eastAsia"/>
          <w:color w:val="2E2E2E"/>
          <w:kern w:val="0"/>
          <w:sz w:val="28"/>
          <w:szCs w:val="28"/>
          <w:lang w:eastAsia="zh-CN"/>
        </w:rPr>
        <w:t>（</w:t>
      </w:r>
      <w:r>
        <w:rPr>
          <w:rFonts w:hint="eastAsia"/>
          <w:color w:val="2E2E2E"/>
          <w:kern w:val="0"/>
          <w:sz w:val="28"/>
          <w:szCs w:val="28"/>
          <w:lang w:val="en-US" w:eastAsia="zh-CN"/>
        </w:rPr>
        <w:t>融资融券数据报送</w:t>
      </w:r>
      <w:r>
        <w:rPr>
          <w:rFonts w:hint="eastAsia"/>
          <w:color w:val="2E2E2E"/>
          <w:kern w:val="0"/>
          <w:sz w:val="28"/>
          <w:szCs w:val="28"/>
          <w:lang w:eastAsia="zh-CN"/>
        </w:rPr>
        <w:t>）</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w:t>
      </w:r>
      <w:r>
        <w:rPr>
          <w:rFonts w:hint="eastAsia"/>
          <w:color w:val="000000" w:themeColor="text1"/>
          <w:sz w:val="28"/>
          <w:szCs w:val="28"/>
          <w14:textFill>
            <w14:solidFill>
              <w14:schemeClr w14:val="tx1"/>
            </w14:solidFill>
          </w14:textFill>
        </w:rPr>
        <w:t>88668558</w:t>
      </w:r>
      <w:r>
        <w:rPr>
          <w:rFonts w:hint="eastAsia"/>
          <w:color w:val="2E2E2E"/>
          <w:kern w:val="0"/>
          <w:sz w:val="28"/>
          <w:szCs w:val="28"/>
        </w:rPr>
        <w:t>（协议回购）</w:t>
      </w:r>
    </w:p>
    <w:p>
      <w:pPr>
        <w:widowControl/>
        <w:spacing w:line="360" w:lineRule="atLeast"/>
        <w:ind w:firstLine="991" w:firstLineChars="354"/>
        <w:jc w:val="left"/>
        <w:rPr>
          <w:color w:val="2E2E2E"/>
          <w:kern w:val="0"/>
          <w:sz w:val="28"/>
          <w:szCs w:val="28"/>
        </w:rPr>
      </w:pPr>
      <w:r>
        <w:rPr>
          <w:rFonts w:hint="eastAsia"/>
          <w:color w:val="2E2E2E"/>
          <w:kern w:val="0"/>
          <w:sz w:val="28"/>
          <w:szCs w:val="28"/>
        </w:rPr>
        <w:t xml:space="preserve">        0755-88668346（跨市场指数计算）</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2023年5月23日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2023年5月27日深市股票期权行情订阅功能通关测试暨债券质押式协议回购业务风险控制、北交所证券纳入跨市场指数计算等业务全网测试反馈表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是否参加本次股票期权行情订阅功能全网测试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是否参加本次债券质押式回购业务风险控制测试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是否参加本次北交所证券纳入跨市场指数计算业务测试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_GB2312" w:cs="楷体_GB2312"/>
                <w:sz w:val="20"/>
              </w:rPr>
              <w:t>Level 1 发送带宽调整相关线路是否已就绪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◎无需改造，已评估对现有线路无影响</w:t>
            </w:r>
          </w:p>
          <w:p>
            <w:pPr>
              <w:rPr>
                <w:rFonts w:hAnsi="楷体_GB2312" w:cs="楷体_GB2312"/>
                <w:sz w:val="20"/>
              </w:rPr>
            </w:pPr>
            <w:r>
              <w:rPr>
                <w:rFonts w:hint="eastAsia" w:hAnsi="楷体_GB2312" w:cs="楷体_GB2312"/>
                <w:sz w:val="20"/>
              </w:rPr>
              <w:t>◎需要改造且现有线路已就绪</w:t>
            </w:r>
          </w:p>
          <w:p>
            <w:pPr>
              <w:rPr>
                <w:rFonts w:ascii="楷体" w:hAnsi="楷体" w:eastAsia="楷体"/>
                <w:sz w:val="20"/>
              </w:rPr>
            </w:pPr>
            <w:r>
              <w:rPr>
                <w:rFonts w:hint="eastAsia" w:hAnsi="楷体_GB2312" w:cs="楷体_GB2312"/>
                <w:sz w:val="20"/>
              </w:rPr>
              <w:t>◎需要改造但现有线路暂未就绪，预计就绪时间: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_GB2312" w:eastAsia="楷体_GB2312" w:cs="楷体_GB2312"/>
                <w:sz w:val="20"/>
                <w:lang w:eastAsia="zh-CN"/>
              </w:rPr>
            </w:pPr>
            <w:r>
              <w:rPr>
                <w:rFonts w:hint="eastAsia" w:hAnsi="楷体_GB2312" w:cs="楷体_GB2312"/>
                <w:sz w:val="20"/>
              </w:rPr>
              <w:t>股票期权行情订阅功能</w:t>
            </w:r>
            <w:r>
              <w:rPr>
                <w:rFonts w:hint="eastAsia" w:hAnsi="楷体_GB2312" w:cs="楷体_GB2312"/>
                <w:sz w:val="20"/>
                <w:lang w:eastAsia="zh-CN"/>
              </w:rPr>
              <w:t>相关技术系统是否已上线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highlight w:val="yellow"/>
                <w:lang w:eastAsia="zh-CN"/>
              </w:rPr>
            </w:pPr>
            <w:r>
              <w:rPr>
                <w:rFonts w:hint="eastAsia" w:hAnsi="楷体_GB2312" w:cs="楷体_GB2312"/>
                <w:sz w:val="20"/>
              </w:rPr>
              <w:t>债券质押式回购业务风险控制相关技术系统是否已</w:t>
            </w:r>
            <w:r>
              <w:rPr>
                <w:rFonts w:hint="eastAsia" w:hAnsi="楷体_GB2312" w:cs="楷体_GB2312"/>
                <w:sz w:val="20"/>
                <w:lang w:eastAsia="zh-CN"/>
              </w:rPr>
              <w:t>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就绪</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就绪</w:t>
            </w:r>
            <w:r>
              <w:rPr>
                <w:rFonts w:hint="eastAsia" w:hAnsi="楷体_GB2312" w:cs="楷体_GB2312"/>
                <w:sz w:val="20"/>
              </w:rPr>
              <w:t>，预计</w:t>
            </w:r>
            <w:r>
              <w:rPr>
                <w:rFonts w:hint="eastAsia" w:hAnsi="楷体_GB2312" w:cs="楷体_GB2312"/>
                <w:sz w:val="20"/>
                <w:lang w:eastAsia="zh-CN"/>
              </w:rPr>
              <w:t>就绪</w:t>
            </w:r>
            <w:r>
              <w:rPr>
                <w:rFonts w:hint="eastAsia" w:hAnsi="楷体_GB2312" w:cs="楷体_GB2312"/>
                <w:sz w:val="20"/>
              </w:rPr>
              <w:t>时间: ________。深交所、结算公司技术系统上线后，已评估现有业务均可正常开展。</w:t>
            </w:r>
          </w:p>
          <w:p>
            <w:pPr>
              <w:rPr>
                <w:rFonts w:ascii="楷体" w:hAnsi="楷体" w:eastAsia="楷体"/>
                <w:sz w:val="20"/>
              </w:rPr>
            </w:pPr>
            <w:r>
              <w:rPr>
                <w:rFonts w:hint="eastAsia" w:hAnsi="楷体_GB2312" w:cs="楷体_GB2312"/>
                <w:sz w:val="20"/>
              </w:rPr>
              <w:t>◎需要改造但技术系统暂未</w:t>
            </w:r>
            <w:r>
              <w:rPr>
                <w:rFonts w:hint="eastAsia" w:hAnsi="楷体_GB2312" w:cs="楷体_GB2312"/>
                <w:sz w:val="20"/>
                <w:lang w:eastAsia="zh-CN"/>
              </w:rPr>
              <w:t>就绪</w:t>
            </w:r>
            <w:r>
              <w:rPr>
                <w:rFonts w:hint="eastAsia" w:hAnsi="楷体_GB2312" w:cs="楷体_GB2312"/>
                <w:sz w:val="20"/>
              </w:rPr>
              <w:t>，预计</w:t>
            </w:r>
            <w:r>
              <w:rPr>
                <w:rFonts w:hint="eastAsia" w:hAnsi="楷体_GB2312" w:cs="楷体_GB2312"/>
                <w:sz w:val="20"/>
                <w:lang w:eastAsia="zh-CN"/>
              </w:rPr>
              <w:t>就绪</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highlight w:val="yellow"/>
              </w:rPr>
            </w:pPr>
            <w:r>
              <w:rPr>
                <w:rFonts w:hint="eastAsia" w:hAnsi="楷体_GB2312" w:cs="楷体_GB2312"/>
                <w:sz w:val="20"/>
              </w:rPr>
              <w:t>北交所证券纳入跨市场指数计算业务相关技术系统是否已就绪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ascii="楷体" w:hAnsi="楷体" w:eastAsia="楷体"/>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债券质押式回购业务风险控制测试反馈项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债券质押式协议回购初始交易的委托申报、成交回报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债券质押式协议回购到期续做的委托申报、成交回报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债券质押式协议回购到期购回的委托申报、成交回报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债券质押式协议回购质押券变更的委托申报、成交回报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债券质押式协议回购提前购回的委托申报、成交回报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cs="宋体"/>
                <w:color w:val="000000"/>
                <w:kern w:val="0"/>
                <w:sz w:val="20"/>
              </w:rPr>
              <w:t>债券质押式协议回购解除质押的委托申报、成交回报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cs="宋体"/>
                <w:color w:val="000000"/>
                <w:kern w:val="0"/>
                <w:sz w:val="20"/>
              </w:rPr>
              <w:t>通过交易终端进行协议回购初始交易的委托申报、主动撤单，逆回购方的委托确认及拒绝、成交回报，当日委托、当日成交的查询及导出、消息提醒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cs="宋体"/>
                <w:color w:val="000000"/>
                <w:kern w:val="0"/>
                <w:sz w:val="20"/>
              </w:rPr>
              <w:t>通过交易终端进行协议回购在途合约提前购回、质押券变更、到期续做、到期购回、解除质押的的委托申报、主动撤单，逆回购方的委托确认及拒绝、成交回报，</w:t>
            </w:r>
          </w:p>
          <w:p>
            <w:pPr>
              <w:jc w:val="left"/>
              <w:rPr>
                <w:rFonts w:cs="宋体"/>
                <w:color w:val="000000"/>
                <w:kern w:val="0"/>
                <w:sz w:val="20"/>
              </w:rPr>
            </w:pPr>
            <w:r>
              <w:rPr>
                <w:rFonts w:hint="eastAsia" w:cs="宋体"/>
                <w:color w:val="000000"/>
                <w:kern w:val="0"/>
                <w:sz w:val="20"/>
              </w:rPr>
              <w:t>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协议回购初始交易、质押券变更、提前购回、到期购回、到期续做变更对手方、到期续做不变更对手方、解除质押等业务的清算交收处理</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北交所证券纳入跨市场指数计算业务测试反馈项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国证指数信息文件（cnindex_YYYYMMDD.xml）的接收与处理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交易系统转发的国证系列指数的实时行情接收、处理与展示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交易系统计算的国证系列指数的实时行情接收、处理与展示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中证系列指数实时行情接收、处理与展示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深证系列指数实时行情接收、处理与展示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深交所交易系统灾备切换相关测试反馈(T日)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cs="宋体"/>
                <w:color w:val="000000"/>
                <w:kern w:val="0"/>
                <w:sz w:val="20"/>
              </w:rPr>
              <w:t>模拟福田数据中心故障期间，通过交易网关申报各类业务的委托，并接收成交回报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cs="宋体"/>
                <w:color w:val="000000"/>
                <w:kern w:val="0"/>
                <w:sz w:val="20"/>
              </w:rPr>
              <w:t>模拟福田数据中心故障期间，通过行情网关接收各类业务的行情并显示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 w:hAnsi="楷体" w:eastAsia="楷体" w:cs="宋体"/>
                <w:color w:val="000000"/>
                <w:kern w:val="0"/>
                <w:sz w:val="20"/>
              </w:rPr>
            </w:pPr>
            <w:r>
              <w:rPr>
                <w:rFonts w:hint="eastAsia" w:hAnsi="楷体" w:cs="宋体"/>
                <w:b/>
                <w:kern w:val="0"/>
                <w:sz w:val="20"/>
              </w:rPr>
              <w:t>融资融券业务数据报送相关测试反馈(仅开展融资融券业务</w:t>
            </w:r>
            <w:r>
              <w:rPr>
                <w:rFonts w:hint="eastAsia" w:hAnsi="楷体" w:cs="宋体"/>
                <w:b/>
                <w:kern w:val="0"/>
                <w:sz w:val="20"/>
                <w:lang w:eastAsia="zh-CN"/>
              </w:rPr>
              <w:t>的</w:t>
            </w:r>
            <w:r>
              <w:rPr>
                <w:rFonts w:hint="eastAsia" w:hAnsi="楷体" w:cs="宋体"/>
                <w:b/>
                <w:kern w:val="0"/>
                <w:sz w:val="20"/>
              </w:rPr>
              <w:t>会员填写)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cs="宋体"/>
                <w:color w:val="000000"/>
                <w:kern w:val="0"/>
                <w:sz w:val="20"/>
              </w:rPr>
            </w:pPr>
            <w:r>
              <w:rPr>
                <w:rFonts w:hint="eastAsia" w:cs="宋体"/>
                <w:color w:val="000000"/>
                <w:kern w:val="0"/>
                <w:sz w:val="20"/>
              </w:rPr>
              <w:t>融资融券余额数据申报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cs="宋体"/>
                <w:color w:val="000000"/>
                <w:kern w:val="0"/>
                <w:sz w:val="20"/>
              </w:rPr>
            </w:pPr>
            <w:r>
              <w:rPr>
                <w:rFonts w:hint="eastAsia" w:cs="宋体"/>
                <w:color w:val="000000"/>
                <w:kern w:val="0"/>
                <w:sz w:val="20"/>
              </w:rPr>
              <w:t>接收融资融券余额数据申报反馈文件，并正常处理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cs="宋体"/>
                <w:color w:val="000000"/>
                <w:kern w:val="0"/>
                <w:sz w:val="20"/>
              </w:rPr>
            </w:pPr>
            <w:r>
              <w:rPr>
                <w:rFonts w:hint="eastAsia" w:cs="宋体"/>
                <w:color w:val="000000"/>
                <w:kern w:val="0"/>
                <w:sz w:val="20"/>
              </w:rPr>
              <w:t>信用违约资料申报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cs="宋体"/>
                <w:color w:val="000000"/>
                <w:kern w:val="0"/>
                <w:sz w:val="20"/>
              </w:rPr>
            </w:pPr>
            <w:r>
              <w:rPr>
                <w:rFonts w:hint="eastAsia" w:cs="宋体"/>
                <w:color w:val="000000"/>
                <w:kern w:val="0"/>
                <w:sz w:val="20"/>
              </w:rPr>
              <w:t>接收信用违约资料申报反馈文件，并正常处理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cs="宋体"/>
                <w:color w:val="000000"/>
                <w:kern w:val="0"/>
                <w:sz w:val="20"/>
              </w:rPr>
            </w:pPr>
            <w:r>
              <w:rPr>
                <w:rFonts w:hint="eastAsia" w:cs="宋体"/>
                <w:color w:val="000000"/>
                <w:kern w:val="0"/>
                <w:sz w:val="20"/>
              </w:rPr>
              <w:t>接收违约汇总资料，并正常处理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晚间下发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港股通平台相关业务的委托申报、成交回报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ź�">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6C369"/>
    <w:multiLevelType w:val="singleLevel"/>
    <w:tmpl w:val="C586C369"/>
    <w:lvl w:ilvl="0" w:tentative="0">
      <w:start w:val="1"/>
      <w:numFmt w:val="decimal"/>
      <w:suff w:val="nothing"/>
      <w:lvlText w:val="（%1）"/>
      <w:lvlJc w:val="left"/>
      <w:pPr>
        <w:ind w:left="490"/>
      </w:pPr>
      <w:rPr>
        <w:rFonts w:hint="default"/>
        <w:color w:val="auto"/>
      </w:rPr>
    </w:lvl>
  </w:abstractNum>
  <w:abstractNum w:abstractNumId="1">
    <w:nsid w:val="CA51B9C6"/>
    <w:multiLevelType w:val="singleLevel"/>
    <w:tmpl w:val="CA51B9C6"/>
    <w:lvl w:ilvl="0" w:tentative="0">
      <w:start w:val="1"/>
      <w:numFmt w:val="decimal"/>
      <w:lvlText w:val="%1."/>
      <w:lvlJc w:val="left"/>
      <w:pPr>
        <w:tabs>
          <w:tab w:val="left" w:pos="312"/>
        </w:tabs>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1F29431"/>
    <w:multiLevelType w:val="singleLevel"/>
    <w:tmpl w:val="01F29431"/>
    <w:lvl w:ilvl="0" w:tentative="0">
      <w:start w:val="1"/>
      <w:numFmt w:val="decimal"/>
      <w:suff w:val="nothing"/>
      <w:lvlText w:val="（%1）"/>
      <w:lvlJc w:val="left"/>
      <w:pPr>
        <w:ind w:left="490"/>
      </w:pPr>
      <w:rPr>
        <w:rFonts w:hint="default"/>
        <w:color w:val="auto"/>
      </w:rPr>
    </w:lvl>
  </w:abstractNum>
  <w:abstractNum w:abstractNumId="4">
    <w:nsid w:val="059B5B69"/>
    <w:multiLevelType w:val="singleLevel"/>
    <w:tmpl w:val="059B5B69"/>
    <w:lvl w:ilvl="0" w:tentative="0">
      <w:start w:val="1"/>
      <w:numFmt w:val="decimal"/>
      <w:suff w:val="nothing"/>
      <w:lvlText w:val="（%1）"/>
      <w:lvlJc w:val="left"/>
      <w:pPr>
        <w:ind w:left="490"/>
      </w:pPr>
      <w:rPr>
        <w:rFonts w:hint="default"/>
        <w:color w:val="auto"/>
      </w:rPr>
    </w:lvl>
  </w:abstractNum>
  <w:abstractNum w:abstractNumId="5">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7">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A10541C"/>
    <w:multiLevelType w:val="singleLevel"/>
    <w:tmpl w:val="2A10541C"/>
    <w:lvl w:ilvl="0" w:tentative="0">
      <w:start w:val="1"/>
      <w:numFmt w:val="decimal"/>
      <w:suff w:val="nothing"/>
      <w:lvlText w:val="（%1）"/>
      <w:lvlJc w:val="left"/>
      <w:pPr>
        <w:ind w:left="490"/>
      </w:pPr>
      <w:rPr>
        <w:rFonts w:hint="default"/>
        <w:color w:val="auto"/>
      </w:rPr>
    </w:lvl>
  </w:abstractNum>
  <w:abstractNum w:abstractNumId="9">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0">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11">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11"/>
  </w:num>
  <w:num w:numId="3">
    <w:abstractNumId w:val="2"/>
  </w:num>
  <w:num w:numId="4">
    <w:abstractNumId w:val="1"/>
  </w:num>
  <w:num w:numId="5">
    <w:abstractNumId w:val="3"/>
  </w:num>
  <w:num w:numId="6">
    <w:abstractNumId w:val="0"/>
  </w:num>
  <w:num w:numId="7">
    <w:abstractNumId w:val="8"/>
  </w:num>
  <w:num w:numId="8">
    <w:abstractNumId w:val="4"/>
  </w:num>
  <w:num w:numId="9">
    <w:abstractNumId w:val="9"/>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652CA2"/>
    <w:rsid w:val="036D6942"/>
    <w:rsid w:val="03740DE1"/>
    <w:rsid w:val="038F118E"/>
    <w:rsid w:val="03994471"/>
    <w:rsid w:val="03BE24C7"/>
    <w:rsid w:val="03CA4D95"/>
    <w:rsid w:val="03D40D58"/>
    <w:rsid w:val="03DE10F9"/>
    <w:rsid w:val="03EF2EEF"/>
    <w:rsid w:val="04063FE1"/>
    <w:rsid w:val="041C7221"/>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B4C33"/>
    <w:rsid w:val="0550176B"/>
    <w:rsid w:val="05542D26"/>
    <w:rsid w:val="055A0936"/>
    <w:rsid w:val="05821D18"/>
    <w:rsid w:val="05833E73"/>
    <w:rsid w:val="0590322C"/>
    <w:rsid w:val="059E6F5E"/>
    <w:rsid w:val="05CC7F10"/>
    <w:rsid w:val="05D92ECD"/>
    <w:rsid w:val="05DF20B2"/>
    <w:rsid w:val="060C32BF"/>
    <w:rsid w:val="0619570F"/>
    <w:rsid w:val="062338B2"/>
    <w:rsid w:val="06265C73"/>
    <w:rsid w:val="06387666"/>
    <w:rsid w:val="065345EF"/>
    <w:rsid w:val="065A2E3C"/>
    <w:rsid w:val="06676354"/>
    <w:rsid w:val="06A2743B"/>
    <w:rsid w:val="06A5297F"/>
    <w:rsid w:val="06A55B12"/>
    <w:rsid w:val="06C078D8"/>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62160"/>
    <w:rsid w:val="131C7703"/>
    <w:rsid w:val="132C272D"/>
    <w:rsid w:val="13367949"/>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E73CAB"/>
    <w:rsid w:val="15F41F95"/>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667170"/>
    <w:rsid w:val="176A0AF3"/>
    <w:rsid w:val="177C6745"/>
    <w:rsid w:val="177D4640"/>
    <w:rsid w:val="177E0356"/>
    <w:rsid w:val="1799781F"/>
    <w:rsid w:val="179A6E4A"/>
    <w:rsid w:val="17A35DD9"/>
    <w:rsid w:val="17B95D08"/>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C60123"/>
    <w:rsid w:val="23CE56A6"/>
    <w:rsid w:val="23F93CD0"/>
    <w:rsid w:val="24024816"/>
    <w:rsid w:val="24046497"/>
    <w:rsid w:val="24100DC1"/>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30D2B"/>
    <w:rsid w:val="322A2AC0"/>
    <w:rsid w:val="326D42CE"/>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A27A5"/>
    <w:rsid w:val="396B2F42"/>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D4EC4"/>
    <w:rsid w:val="42ED5B59"/>
    <w:rsid w:val="42F23148"/>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CC56D3"/>
    <w:rsid w:val="4DCD7164"/>
    <w:rsid w:val="4DD362F4"/>
    <w:rsid w:val="4DE97EFD"/>
    <w:rsid w:val="4E13750E"/>
    <w:rsid w:val="4E2F04E0"/>
    <w:rsid w:val="4E6E3FBD"/>
    <w:rsid w:val="4E7D54D1"/>
    <w:rsid w:val="4E811839"/>
    <w:rsid w:val="4E886CF6"/>
    <w:rsid w:val="4E966219"/>
    <w:rsid w:val="4EAC60B4"/>
    <w:rsid w:val="4EB9262C"/>
    <w:rsid w:val="4EC1071B"/>
    <w:rsid w:val="4EDB28AC"/>
    <w:rsid w:val="4EEC3808"/>
    <w:rsid w:val="4EF460F6"/>
    <w:rsid w:val="4EF64306"/>
    <w:rsid w:val="4F006F0A"/>
    <w:rsid w:val="4F026F7F"/>
    <w:rsid w:val="4F1F027E"/>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880281"/>
    <w:rsid w:val="51944665"/>
    <w:rsid w:val="519D6372"/>
    <w:rsid w:val="51A9549E"/>
    <w:rsid w:val="51AA1F93"/>
    <w:rsid w:val="51B40AD7"/>
    <w:rsid w:val="51CF7E46"/>
    <w:rsid w:val="51D15047"/>
    <w:rsid w:val="51E342F0"/>
    <w:rsid w:val="51F837D1"/>
    <w:rsid w:val="520603DE"/>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EC0966"/>
    <w:rsid w:val="5AED3B83"/>
    <w:rsid w:val="5B0D5CEF"/>
    <w:rsid w:val="5B291F55"/>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6D24D1"/>
    <w:rsid w:val="5C901728"/>
    <w:rsid w:val="5CF24C0B"/>
    <w:rsid w:val="5D247600"/>
    <w:rsid w:val="5D350F25"/>
    <w:rsid w:val="5D461DE8"/>
    <w:rsid w:val="5D4B2146"/>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DB7677"/>
    <w:rsid w:val="61E97DB0"/>
    <w:rsid w:val="61EA78B2"/>
    <w:rsid w:val="61F54B0E"/>
    <w:rsid w:val="620B7B6C"/>
    <w:rsid w:val="620C27CC"/>
    <w:rsid w:val="621B46DF"/>
    <w:rsid w:val="621E0D0C"/>
    <w:rsid w:val="62207DBC"/>
    <w:rsid w:val="623951B5"/>
    <w:rsid w:val="628F325B"/>
    <w:rsid w:val="62A34AE2"/>
    <w:rsid w:val="62D548A1"/>
    <w:rsid w:val="62F37D50"/>
    <w:rsid w:val="62FB7EA1"/>
    <w:rsid w:val="62FE2766"/>
    <w:rsid w:val="63194A7D"/>
    <w:rsid w:val="631D6ACB"/>
    <w:rsid w:val="63392A57"/>
    <w:rsid w:val="635E5A92"/>
    <w:rsid w:val="637242A9"/>
    <w:rsid w:val="63872FC3"/>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705FF1"/>
    <w:rsid w:val="69C53915"/>
    <w:rsid w:val="69C6564D"/>
    <w:rsid w:val="69E1177C"/>
    <w:rsid w:val="69E31E2C"/>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71984"/>
    <w:rsid w:val="6CF15A94"/>
    <w:rsid w:val="6D292007"/>
    <w:rsid w:val="6D2D0CCA"/>
    <w:rsid w:val="6D406186"/>
    <w:rsid w:val="6D476ABD"/>
    <w:rsid w:val="6D495E7B"/>
    <w:rsid w:val="6D5118E8"/>
    <w:rsid w:val="6D55513E"/>
    <w:rsid w:val="6D5C484E"/>
    <w:rsid w:val="6D642B67"/>
    <w:rsid w:val="6D6E1B1E"/>
    <w:rsid w:val="6D817A53"/>
    <w:rsid w:val="6D936C28"/>
    <w:rsid w:val="6D9F2E92"/>
    <w:rsid w:val="6DB00C2B"/>
    <w:rsid w:val="6DD94583"/>
    <w:rsid w:val="6DDE1782"/>
    <w:rsid w:val="6DF04CF1"/>
    <w:rsid w:val="6DFC64FD"/>
    <w:rsid w:val="6E1164A3"/>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21</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马赟琪</cp:lastModifiedBy>
  <cp:lastPrinted>2020-06-22T01:00:00Z</cp:lastPrinted>
  <dcterms:modified xsi:type="dcterms:W3CDTF">2023-05-23T05:43:41Z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A98550B4461F4C0787D6020CBCAFE23C</vt:lpwstr>
  </property>
</Properties>
</file>