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outlineLvl w:val="0"/>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2023年6月17日可转债退市整理期业务</w:t>
      </w:r>
      <w:r>
        <w:rPr>
          <w:rFonts w:hint="eastAsia" w:ascii="楷体_GB2312" w:eastAsia="楷体_GB2312"/>
          <w:b/>
          <w:color w:val="000000"/>
          <w:sz w:val="36"/>
          <w:szCs w:val="36"/>
          <w:lang w:eastAsia="zh-CN"/>
        </w:rPr>
        <w:t>全网测试</w:t>
      </w:r>
      <w:r>
        <w:rPr>
          <w:rFonts w:hint="eastAsia" w:ascii="楷体_GB2312" w:eastAsia="楷体_GB2312"/>
          <w:b/>
          <w:color w:val="000000"/>
          <w:sz w:val="36"/>
          <w:szCs w:val="36"/>
        </w:rPr>
        <w:t>方案</w:t>
      </w:r>
    </w:p>
    <w:p>
      <w:pPr>
        <w:pStyle w:val="15"/>
        <w:outlineLvl w:val="0"/>
        <w:rPr>
          <w:rFonts w:hint="eastAsia"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rFonts w:hint="eastAsia" w:ascii="楷体_GB2312" w:hAnsi="Times New Roman"/>
          <w:kern w:val="2"/>
          <w:sz w:val="28"/>
          <w:szCs w:val="28"/>
          <w:highlight w:val="none"/>
        </w:rPr>
      </w:pPr>
      <w:r>
        <w:rPr>
          <w:rFonts w:hint="eastAsia" w:ascii="楷体_GB2312" w:hAnsi="Times New Roman"/>
          <w:kern w:val="2"/>
          <w:sz w:val="28"/>
          <w:szCs w:val="28"/>
          <w:highlight w:val="none"/>
        </w:rPr>
        <w:t>深圳证券交易所（以下简称深交所）已于2023年5月9日发布《关于做好可转债退市整理期技术准备的通知》。为确保相关业务的顺利实施，深交所联合中国证券登记结算有限责任公司深圳分公司（以下简称中国结算深圳分公司）定于2023年6月17日组织全网测试，主要通过模拟向不特定对象发行的可转债（以下简称可转债）退市整理期的委托申报、成交回报、行情接收与展示、清算交收等业务处理过程，检验市场参与各方技术系统的正确性。</w:t>
      </w:r>
    </w:p>
    <w:p>
      <w:pPr>
        <w:widowControl/>
        <w:ind w:firstLine="560" w:firstLineChars="200"/>
        <w:rPr>
          <w:rFonts w:hint="eastAsia" w:ascii="楷体_GB2312" w:hAnsi="Times New Roman"/>
          <w:kern w:val="2"/>
          <w:sz w:val="28"/>
          <w:szCs w:val="28"/>
          <w:highlight w:val="none"/>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340" w:firstLine="140" w:firstLineChars="0"/>
        <w:rPr>
          <w:color w:val="000000"/>
          <w:sz w:val="28"/>
          <w:szCs w:val="28"/>
        </w:rPr>
      </w:pPr>
      <w:r>
        <w:rPr>
          <w:rFonts w:hint="eastAsia"/>
          <w:color w:val="000000"/>
          <w:sz w:val="28"/>
          <w:szCs w:val="28"/>
        </w:rPr>
        <w:t>深交所</w:t>
      </w:r>
    </w:p>
    <w:p>
      <w:pPr>
        <w:numPr>
          <w:ilvl w:val="0"/>
          <w:numId w:val="2"/>
        </w:numPr>
        <w:ind w:left="340" w:firstLine="140" w:firstLineChars="0"/>
        <w:rPr>
          <w:color w:val="000000"/>
          <w:sz w:val="28"/>
          <w:szCs w:val="28"/>
        </w:rPr>
      </w:pPr>
      <w:r>
        <w:rPr>
          <w:rFonts w:hint="eastAsia"/>
          <w:color w:val="000000"/>
          <w:sz w:val="28"/>
          <w:szCs w:val="28"/>
        </w:rPr>
        <w:t>中国结算深圳分公司</w:t>
      </w:r>
    </w:p>
    <w:p>
      <w:pPr>
        <w:numPr>
          <w:ilvl w:val="0"/>
          <w:numId w:val="2"/>
        </w:numPr>
        <w:ind w:left="340" w:firstLine="140" w:firstLineChars="0"/>
        <w:rPr>
          <w:color w:val="000000"/>
          <w:sz w:val="28"/>
          <w:szCs w:val="28"/>
        </w:rPr>
      </w:pPr>
      <w:r>
        <w:rPr>
          <w:rFonts w:hint="eastAsia"/>
          <w:color w:val="000000"/>
          <w:sz w:val="28"/>
          <w:szCs w:val="28"/>
          <w:lang w:val="en-US" w:eastAsia="zh-CN"/>
        </w:rPr>
        <w:t>港交所</w:t>
      </w:r>
    </w:p>
    <w:p>
      <w:pPr>
        <w:numPr>
          <w:ilvl w:val="0"/>
          <w:numId w:val="2"/>
        </w:numPr>
        <w:ind w:left="340" w:firstLine="140" w:firstLineChars="0"/>
        <w:rPr>
          <w:color w:val="000000"/>
          <w:sz w:val="28"/>
          <w:szCs w:val="28"/>
        </w:rPr>
      </w:pPr>
      <w:r>
        <w:rPr>
          <w:rFonts w:hint="eastAsia"/>
          <w:color w:val="000000"/>
          <w:sz w:val="28"/>
          <w:szCs w:val="28"/>
        </w:rPr>
        <w:t>深圳证券通信有限公司</w:t>
      </w:r>
    </w:p>
    <w:p>
      <w:pPr>
        <w:numPr>
          <w:ilvl w:val="0"/>
          <w:numId w:val="2"/>
        </w:numPr>
        <w:ind w:left="340" w:firstLine="140" w:firstLineChars="0"/>
        <w:rPr>
          <w:color w:val="000000"/>
          <w:sz w:val="28"/>
          <w:szCs w:val="28"/>
        </w:rPr>
      </w:pPr>
      <w:r>
        <w:rPr>
          <w:rFonts w:hint="eastAsia"/>
          <w:color w:val="000000"/>
          <w:sz w:val="28"/>
          <w:szCs w:val="28"/>
        </w:rPr>
        <w:t>深圳证券信息有限公司</w:t>
      </w:r>
    </w:p>
    <w:p>
      <w:pPr>
        <w:numPr>
          <w:ilvl w:val="0"/>
          <w:numId w:val="2"/>
        </w:numPr>
        <w:ind w:left="340" w:firstLine="140" w:firstLineChars="0"/>
        <w:rPr>
          <w:color w:val="000000"/>
          <w:sz w:val="28"/>
          <w:szCs w:val="28"/>
        </w:rPr>
      </w:pPr>
      <w:r>
        <w:rPr>
          <w:rFonts w:hint="eastAsia"/>
          <w:color w:val="000000"/>
          <w:sz w:val="28"/>
          <w:szCs w:val="28"/>
        </w:rPr>
        <w:t>会员单位</w:t>
      </w:r>
    </w:p>
    <w:p>
      <w:pPr>
        <w:numPr>
          <w:ilvl w:val="0"/>
          <w:numId w:val="2"/>
        </w:numPr>
        <w:ind w:left="340" w:firstLine="140" w:firstLineChars="0"/>
        <w:rPr>
          <w:color w:val="000000"/>
          <w:sz w:val="28"/>
          <w:szCs w:val="28"/>
        </w:rPr>
      </w:pPr>
      <w:r>
        <w:rPr>
          <w:rFonts w:hint="eastAsia"/>
          <w:color w:val="000000"/>
          <w:sz w:val="28"/>
          <w:szCs w:val="28"/>
        </w:rPr>
        <w:t>行情服务商</w:t>
      </w:r>
    </w:p>
    <w:p>
      <w:pPr>
        <w:numPr>
          <w:ilvl w:val="0"/>
          <w:numId w:val="2"/>
        </w:numPr>
        <w:ind w:left="340" w:firstLine="140" w:firstLineChars="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6月17日</w:t>
      </w:r>
      <w:r>
        <w:rPr>
          <w:rFonts w:hint="eastAsia"/>
          <w:color w:val="000000"/>
          <w:sz w:val="28"/>
          <w:szCs w:val="28"/>
        </w:rPr>
        <w:t>），</w:t>
      </w:r>
      <w:r>
        <w:rPr>
          <w:rFonts w:hint="eastAsia" w:ascii="楷体_GB2312" w:hAnsi="楷体_GB2312" w:eastAsia="楷体_GB2312" w:cs="楷体_GB2312"/>
          <w:sz w:val="28"/>
          <w:szCs w:val="28"/>
        </w:rPr>
        <w:t>港股通证券模拟半日市交易和1个结算日的结算。</w:t>
      </w:r>
    </w:p>
    <w:p>
      <w:pPr>
        <w:numPr>
          <w:ilvl w:val="0"/>
          <w:numId w:val="3"/>
        </w:numPr>
        <w:shd w:val="clear"/>
        <w:spacing w:line="360" w:lineRule="atLeast"/>
        <w:ind w:firstLine="562"/>
        <w:outlineLvl w:val="1"/>
        <w:rPr>
          <w:rFonts w:ascii="楷体_GB2312" w:eastAsia="楷体_GB2312"/>
          <w:color w:val="000000"/>
          <w:sz w:val="28"/>
          <w:szCs w:val="28"/>
        </w:rPr>
      </w:pPr>
      <w:r>
        <w:rPr>
          <w:rFonts w:hint="eastAsia"/>
          <w:b/>
          <w:bCs/>
          <w:color w:val="000000"/>
          <w:sz w:val="28"/>
          <w:szCs w:val="28"/>
        </w:rPr>
        <w:t>测试重点</w:t>
      </w:r>
    </w:p>
    <w:p>
      <w:pPr>
        <w:pStyle w:val="72"/>
        <w:numPr>
          <w:ilvl w:val="0"/>
          <w:numId w:val="4"/>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bidi="ar"/>
        </w:rPr>
        <w:t>静态交易参考信息文件的接收和处理</w:t>
      </w:r>
      <w:r>
        <w:rPr>
          <w:rFonts w:hint="eastAsia" w:ascii="楷体_GB2312" w:eastAsia="楷体_GB2312"/>
          <w:color w:val="000000"/>
          <w:sz w:val="28"/>
          <w:szCs w:val="28"/>
          <w:lang w:eastAsia="zh-CN" w:bidi="ar"/>
        </w:rPr>
        <w:t>；</w:t>
      </w:r>
    </w:p>
    <w:p>
      <w:pPr>
        <w:pStyle w:val="72"/>
        <w:numPr>
          <w:ilvl w:val="0"/>
          <w:numId w:val="4"/>
        </w:numPr>
        <w:ind w:left="0" w:firstLine="560"/>
        <w:jc w:val="left"/>
        <w:outlineLvl w:val="2"/>
        <w:rPr>
          <w:rFonts w:hint="default" w:ascii="楷体_GB2312" w:eastAsia="楷体_GB2312"/>
          <w:color w:val="000000"/>
          <w:sz w:val="28"/>
          <w:szCs w:val="28"/>
          <w:lang w:bidi="ar"/>
        </w:rPr>
      </w:pPr>
      <w:r>
        <w:rPr>
          <w:rFonts w:hint="default" w:ascii="楷体_GB2312" w:eastAsia="楷体_GB2312"/>
          <w:color w:val="000000"/>
          <w:sz w:val="28"/>
          <w:szCs w:val="28"/>
          <w:lang w:val="en-US" w:eastAsia="zh-CN" w:bidi="ar"/>
        </w:rPr>
        <w:t>可转债退市整理</w:t>
      </w:r>
      <w:r>
        <w:rPr>
          <w:rFonts w:hint="eastAsia" w:ascii="楷体_GB2312" w:eastAsia="楷体_GB2312"/>
          <w:color w:val="000000"/>
          <w:sz w:val="28"/>
          <w:szCs w:val="28"/>
          <w:lang w:val="en-US" w:eastAsia="zh-CN" w:bidi="ar"/>
        </w:rPr>
        <w:t>期匹配成交（现货集中竞价）、协商成交（协议交易）、</w:t>
      </w:r>
      <w:r>
        <w:rPr>
          <w:rFonts w:hint="eastAsia" w:ascii="楷体_GB2312" w:eastAsia="楷体_GB2312"/>
          <w:color w:val="000000"/>
          <w:sz w:val="28"/>
          <w:szCs w:val="28"/>
          <w:lang w:eastAsia="zh-CN" w:bidi="ar"/>
        </w:rPr>
        <w:t>盘后定价</w:t>
      </w:r>
      <w:r>
        <w:rPr>
          <w:rFonts w:hint="eastAsia" w:ascii="楷体_GB2312" w:eastAsia="楷体_GB2312"/>
          <w:color w:val="000000"/>
          <w:sz w:val="28"/>
          <w:szCs w:val="28"/>
          <w:lang w:val="en-US" w:eastAsia="zh-CN" w:bidi="ar"/>
        </w:rPr>
        <w:t>成交（盘后定价大宗交易）</w:t>
      </w:r>
      <w:r>
        <w:rPr>
          <w:rFonts w:hint="eastAsia" w:ascii="楷体_GB2312" w:eastAsia="楷体_GB2312"/>
          <w:color w:val="000000"/>
          <w:sz w:val="28"/>
          <w:szCs w:val="28"/>
          <w:lang w:eastAsia="zh-CN" w:bidi="ar"/>
        </w:rPr>
        <w:t>、转股、回售、转托管</w:t>
      </w:r>
      <w:r>
        <w:rPr>
          <w:rFonts w:hint="eastAsia" w:ascii="楷体_GB2312" w:eastAsia="楷体_GB2312"/>
          <w:color w:val="000000"/>
          <w:sz w:val="28"/>
          <w:szCs w:val="28"/>
          <w:lang w:val="en-US" w:eastAsia="zh-CN" w:bidi="ar"/>
        </w:rPr>
        <w:t>等</w:t>
      </w:r>
      <w:r>
        <w:rPr>
          <w:rFonts w:hint="default" w:ascii="楷体_GB2312" w:eastAsia="楷体_GB2312"/>
          <w:color w:val="000000"/>
          <w:sz w:val="28"/>
          <w:szCs w:val="28"/>
          <w:lang w:bidi="ar"/>
        </w:rPr>
        <w:t>业务的委托申报、成交回报、行情接收与展示、清算交收等业务处理；</w:t>
      </w:r>
    </w:p>
    <w:p>
      <w:pPr>
        <w:pStyle w:val="72"/>
        <w:numPr>
          <w:ilvl w:val="0"/>
          <w:numId w:val="4"/>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eastAsia="zh-CN" w:bidi="ar"/>
        </w:rPr>
        <w:t>可转债退市整理期证券状态的接收和展示；</w:t>
      </w:r>
    </w:p>
    <w:p>
      <w:pPr>
        <w:pStyle w:val="72"/>
        <w:numPr>
          <w:ilvl w:val="0"/>
          <w:numId w:val="4"/>
        </w:numPr>
        <w:ind w:left="0" w:firstLine="560"/>
        <w:jc w:val="left"/>
        <w:outlineLvl w:val="2"/>
        <w:rPr>
          <w:rFonts w:hint="eastAsia" w:ascii="楷体_GB2312" w:eastAsia="楷体_GB2312"/>
          <w:color w:val="000000"/>
          <w:sz w:val="28"/>
          <w:szCs w:val="28"/>
          <w:lang w:bidi="ar"/>
        </w:rPr>
      </w:pPr>
      <w:r>
        <w:rPr>
          <w:rFonts w:hint="eastAsia" w:ascii="楷体_GB2312" w:eastAsia="楷体_GB2312"/>
          <w:color w:val="000000"/>
          <w:sz w:val="28"/>
          <w:szCs w:val="28"/>
          <w:lang w:val="en-US" w:eastAsia="zh-CN" w:bidi="ar"/>
        </w:rPr>
        <w:t>可转债退市整理期首日自动临时停牌公告的接收和处理；</w:t>
      </w:r>
    </w:p>
    <w:p>
      <w:pPr>
        <w:pStyle w:val="72"/>
        <w:numPr>
          <w:ilvl w:val="0"/>
          <w:numId w:val="4"/>
        </w:numPr>
        <w:ind w:left="0" w:firstLine="560"/>
        <w:jc w:val="left"/>
        <w:outlineLvl w:val="2"/>
        <w:rPr>
          <w:rFonts w:hint="eastAsia" w:ascii="楷体_GB2312" w:hAnsi="Times New Roman" w:eastAsia="楷体_GB2312" w:cs="Times New Roman"/>
          <w:color w:val="000000"/>
          <w:sz w:val="28"/>
          <w:szCs w:val="28"/>
          <w:lang w:bidi="ar"/>
        </w:rPr>
      </w:pPr>
      <w:r>
        <w:rPr>
          <w:rFonts w:hint="eastAsia" w:ascii="楷体_GB2312" w:eastAsia="楷体_GB2312"/>
          <w:color w:val="000000"/>
          <w:sz w:val="28"/>
          <w:szCs w:val="28"/>
          <w:lang w:eastAsia="zh-CN" w:bidi="ar"/>
        </w:rPr>
        <w:t>可转债退市整理期投资者适当性管理。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6月17日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模拟深市证券（含现货、期权等品种）交易、非交易等业务（</w:t>
      </w:r>
      <w:r>
        <w:rPr>
          <w:rFonts w:hint="eastAsia"/>
          <w:color w:val="000000"/>
          <w:szCs w:val="28"/>
          <w:lang w:val="en-US" w:eastAsia="zh-CN"/>
        </w:rPr>
        <w:t>重点测试可转债退市整理期首日</w:t>
      </w:r>
      <w:r>
        <w:rPr>
          <w:rFonts w:hint="eastAsia"/>
          <w:color w:val="000000"/>
          <w:szCs w:val="28"/>
        </w:rPr>
        <w:t>）的委托申报，接收成交回报与实时行情。通过交易终端进行委托申报、行情查询、成交查询及数据下载。</w:t>
      </w:r>
    </w:p>
    <w:p>
      <w:pPr>
        <w:pStyle w:val="30"/>
        <w:ind w:firstLine="560" w:firstLineChars="200"/>
        <w:rPr>
          <w:rFonts w:hint="eastAsia"/>
          <w:color w:val="000000"/>
          <w:szCs w:val="28"/>
        </w:rPr>
      </w:pPr>
      <w:r>
        <w:rPr>
          <w:rFonts w:hint="eastAsia"/>
          <w:color w:val="000000"/>
          <w:szCs w:val="28"/>
        </w:rPr>
        <w:t>模拟深市证券（含现货、期权等品种）的股份及资金清算交收等业务处理。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rFonts w:hint="eastAsia"/>
          <w:b/>
          <w:color w:val="000000"/>
          <w:sz w:val="28"/>
          <w:szCs w:val="28"/>
          <w:lang w:eastAsia="zh-CN"/>
        </w:rPr>
      </w:pPr>
      <w:r>
        <w:rPr>
          <w:rFonts w:hint="eastAsia"/>
          <w:b/>
          <w:color w:val="000000"/>
          <w:sz w:val="28"/>
          <w:szCs w:val="28"/>
        </w:rPr>
        <w:t>测试时间为2023年</w:t>
      </w:r>
      <w:r>
        <w:rPr>
          <w:rFonts w:hint="eastAsia"/>
          <w:b/>
          <w:color w:val="000000"/>
          <w:sz w:val="28"/>
          <w:szCs w:val="28"/>
          <w:lang w:eastAsia="zh-CN"/>
        </w:rPr>
        <w:t>6月17日8:30至</w:t>
      </w:r>
      <w:r>
        <w:rPr>
          <w:rFonts w:hint="eastAsia"/>
          <w:b/>
          <w:color w:val="000000"/>
          <w:sz w:val="28"/>
          <w:szCs w:val="28"/>
          <w:lang w:val="en-US" w:eastAsia="zh-CN"/>
        </w:rPr>
        <w:t>14</w:t>
      </w:r>
      <w:r>
        <w:rPr>
          <w:rFonts w:hint="eastAsia"/>
          <w:b/>
          <w:color w:val="000000"/>
          <w:sz w:val="28"/>
          <w:szCs w:val="28"/>
          <w:lang w:eastAsia="zh-CN"/>
        </w:rPr>
        <w:t>:</w:t>
      </w:r>
      <w:r>
        <w:rPr>
          <w:rFonts w:hint="eastAsia"/>
          <w:b/>
          <w:color w:val="000000"/>
          <w:sz w:val="28"/>
          <w:szCs w:val="28"/>
          <w:lang w:val="en-US" w:eastAsia="zh-CN"/>
        </w:rPr>
        <w:t>00</w:t>
      </w:r>
      <w:r>
        <w:rPr>
          <w:rFonts w:hint="eastAsia"/>
          <w:b/>
          <w:color w:val="000000"/>
          <w:sz w:val="28"/>
          <w:szCs w:val="28"/>
          <w:lang w:eastAsia="zh-CN"/>
        </w:rPr>
        <w:t>。</w:t>
      </w:r>
      <w:bookmarkStart w:id="4" w:name="_Toc102489705"/>
    </w:p>
    <w:p>
      <w:pPr>
        <w:ind w:firstLine="562" w:firstLineChars="200"/>
        <w:jc w:val="left"/>
        <w:rPr>
          <w:rFonts w:hint="eastAsia"/>
          <w:b/>
          <w:color w:val="000000"/>
          <w:sz w:val="28"/>
          <w:szCs w:val="28"/>
          <w:lang w:eastAsia="zh-CN"/>
        </w:rPr>
      </w:pPr>
      <w:r>
        <w:rPr>
          <w:rFonts w:hint="eastAsia"/>
          <w:b/>
          <w:color w:val="000000"/>
          <w:sz w:val="28"/>
          <w:szCs w:val="28"/>
          <w:lang w:eastAsia="zh-CN"/>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6月17日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default" w:ascii="Times New Roman"/>
                <w:sz w:val="21"/>
                <w:szCs w:val="21"/>
                <w:lang w:val="en-US"/>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3"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lang w:val="en-US" w:eastAsia="zh-CN"/>
              </w:rPr>
            </w:pPr>
            <w:r>
              <w:rPr>
                <w:rFonts w:hint="eastAsia"/>
                <w:color w:val="000000"/>
                <w:sz w:val="21"/>
                <w:szCs w:val="21"/>
                <w:lang w:val="en-US" w:eastAsia="zh-CN"/>
              </w:rPr>
              <w:t>可转债退市整理期首日相关</w:t>
            </w:r>
            <w:r>
              <w:rPr>
                <w:rFonts w:hint="eastAsia"/>
                <w:color w:val="000000"/>
                <w:sz w:val="21"/>
                <w:szCs w:val="21"/>
              </w:rPr>
              <w:t>业务</w:t>
            </w:r>
            <w:r>
              <w:rPr>
                <w:rFonts w:hint="eastAsia"/>
                <w:color w:val="000000"/>
                <w:sz w:val="21"/>
                <w:szCs w:val="21"/>
                <w:lang w:val="en-US" w:eastAsia="zh-CN"/>
              </w:rPr>
              <w:t>的</w:t>
            </w:r>
            <w:r>
              <w:rPr>
                <w:rFonts w:hint="eastAsia"/>
                <w:color w:val="000000"/>
                <w:sz w:val="21"/>
                <w:szCs w:val="21"/>
              </w:rPr>
              <w:t>委托申报、成交回报</w:t>
            </w:r>
            <w:r>
              <w:rPr>
                <w:rFonts w:hint="eastAsia"/>
                <w:color w:val="000000"/>
                <w:sz w:val="21"/>
                <w:szCs w:val="21"/>
                <w:lang w:eastAsia="zh-CN"/>
              </w:rPr>
              <w:t>、</w:t>
            </w:r>
            <w:r>
              <w:rPr>
                <w:rFonts w:hint="eastAsia"/>
                <w:color w:val="000000"/>
                <w:sz w:val="21"/>
                <w:szCs w:val="21"/>
                <w:lang w:val="en-US" w:eastAsia="zh-CN"/>
              </w:rPr>
              <w:t>行情接收与展示</w:t>
            </w:r>
          </w:p>
          <w:p>
            <w:pPr>
              <w:spacing w:line="300" w:lineRule="exact"/>
              <w:rPr>
                <w:rFonts w:hint="default"/>
                <w:color w:val="000000"/>
                <w:sz w:val="21"/>
                <w:szCs w:val="21"/>
                <w:lang w:val="en-US" w:eastAsia="zh-CN"/>
              </w:rPr>
            </w:pPr>
            <w:r>
              <w:rPr>
                <w:rFonts w:hint="eastAsia"/>
                <w:color w:val="000000"/>
                <w:sz w:val="21"/>
                <w:szCs w:val="21"/>
                <w:lang w:val="en-US" w:eastAsia="zh-CN"/>
              </w:rPr>
              <w:t>正常状态可转债相关</w:t>
            </w:r>
            <w:r>
              <w:rPr>
                <w:rFonts w:hint="eastAsia"/>
                <w:color w:val="000000"/>
                <w:sz w:val="21"/>
                <w:szCs w:val="21"/>
              </w:rPr>
              <w:t>业务</w:t>
            </w:r>
            <w:r>
              <w:rPr>
                <w:rFonts w:hint="eastAsia"/>
                <w:color w:val="000000"/>
                <w:sz w:val="21"/>
                <w:szCs w:val="21"/>
                <w:lang w:val="en-US" w:eastAsia="zh-CN"/>
              </w:rPr>
              <w:t>的</w:t>
            </w:r>
            <w:r>
              <w:rPr>
                <w:rFonts w:hint="eastAsia"/>
                <w:color w:val="000000"/>
                <w:sz w:val="21"/>
                <w:szCs w:val="21"/>
              </w:rPr>
              <w:t>委托申报、成交回报</w:t>
            </w:r>
            <w:r>
              <w:rPr>
                <w:rFonts w:hint="eastAsia"/>
                <w:color w:val="000000"/>
                <w:sz w:val="21"/>
                <w:szCs w:val="21"/>
                <w:lang w:eastAsia="zh-CN"/>
              </w:rPr>
              <w:t>、</w:t>
            </w:r>
            <w:r>
              <w:rPr>
                <w:rFonts w:hint="eastAsia"/>
                <w:color w:val="000000"/>
                <w:sz w:val="21"/>
                <w:szCs w:val="21"/>
                <w:lang w:val="en-US" w:eastAsia="zh-CN"/>
              </w:rPr>
              <w:t>行情接收与展示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ind w:firstLine="480"/>
        <w:rPr>
          <w:rFonts w:hint="eastAsia" w:ascii="楷体_GB2312" w:hAnsi="楷体_GB2312" w:eastAsia="楷体_GB2312" w:cs="楷体_GB2312"/>
          <w:b/>
          <w:bCs/>
          <w:color w:val="000000"/>
          <w:sz w:val="28"/>
          <w:szCs w:val="28"/>
          <w:highlight w:val="none"/>
        </w:rPr>
      </w:pPr>
    </w:p>
    <w:p>
      <w:pPr>
        <w:ind w:firstLine="480"/>
        <w:rPr>
          <w:rFonts w:hint="eastAsia" w:ascii="楷体_GB2312" w:hAnsi="楷体_GB2312" w:eastAsia="楷体_GB2312" w:cs="楷体_GB2312"/>
          <w:color w:val="000000"/>
          <w:sz w:val="28"/>
          <w:szCs w:val="28"/>
        </w:rPr>
      </w:pPr>
      <w:r>
        <w:rPr>
          <w:rFonts w:hint="eastAsia" w:ascii="楷体_GB2312" w:hAnsi="楷体_GB2312" w:eastAsia="楷体_GB2312" w:cs="楷体_GB2312"/>
          <w:b/>
          <w:bCs/>
          <w:color w:val="000000"/>
          <w:sz w:val="28"/>
          <w:szCs w:val="28"/>
          <w:highlight w:val="none"/>
        </w:rPr>
        <w:t>港股通</w:t>
      </w:r>
      <w:r>
        <w:rPr>
          <w:rFonts w:hint="eastAsia" w:ascii="楷体_GB2312" w:hAnsi="楷体_GB2312" w:eastAsia="楷体_GB2312" w:cs="楷体_GB2312"/>
          <w:b/>
          <w:bCs/>
          <w:color w:val="000000"/>
          <w:sz w:val="28"/>
          <w:szCs w:val="28"/>
        </w:rPr>
        <w:t>交易结算业务测试</w:t>
      </w:r>
      <w:r>
        <w:rPr>
          <w:rFonts w:hint="eastAsia" w:ascii="楷体_GB2312" w:hAnsi="楷体_GB2312" w:eastAsia="楷体_GB2312" w:cs="楷体_GB2312"/>
          <w:bCs/>
          <w:color w:val="000000"/>
          <w:sz w:val="28"/>
          <w:szCs w:val="28"/>
        </w:rPr>
        <w:t>的</w:t>
      </w:r>
      <w:r>
        <w:rPr>
          <w:rFonts w:hint="eastAsia" w:ascii="楷体_GB2312" w:hAnsi="楷体_GB2312" w:eastAsia="楷体_GB2312" w:cs="楷体_GB2312"/>
          <w:color w:val="000000"/>
          <w:sz w:val="28"/>
          <w:szCs w:val="28"/>
        </w:rPr>
        <w:t>具体安排请见下表：</w:t>
      </w:r>
    </w:p>
    <w:tbl>
      <w:tblPr>
        <w:tblStyle w:val="36"/>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hint="eastAsia" w:ascii="楷体_GB2312" w:hAnsi="楷体_GB2312" w:eastAsia="楷体_GB2312" w:cs="楷体_GB2312"/>
                <w:b/>
                <w:bCs/>
                <w:szCs w:val="24"/>
              </w:rPr>
            </w:pPr>
            <w:r>
              <w:rPr>
                <w:rFonts w:hint="eastAsia" w:ascii="楷体_GB2312" w:hAnsi="楷体_GB2312" w:eastAsia="楷体_GB2312" w:cs="楷体_GB2312"/>
                <w:b/>
                <w:bCs/>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hint="eastAsia" w:ascii="楷体_GB2312" w:hAnsi="楷体_GB2312" w:eastAsia="楷体_GB2312" w:cs="楷体_GB2312"/>
                <w:b/>
                <w:bCs/>
                <w:szCs w:val="24"/>
              </w:rPr>
            </w:pPr>
            <w:r>
              <w:rPr>
                <w:rFonts w:hint="eastAsia" w:ascii="楷体_GB2312" w:hAnsi="楷体_GB2312" w:eastAsia="楷体_GB2312" w:cs="楷体_GB2312"/>
                <w:b/>
                <w:bCs/>
                <w:sz w:val="21"/>
                <w:szCs w:val="24"/>
              </w:rPr>
              <w:t>深交所港股通T日测试安排（模拟T日202</w:t>
            </w:r>
            <w:r>
              <w:rPr>
                <w:rFonts w:hint="eastAsia" w:ascii="楷体_GB2312" w:hAnsi="楷体_GB2312" w:cs="楷体_GB2312"/>
                <w:b/>
                <w:bCs/>
                <w:sz w:val="21"/>
                <w:szCs w:val="24"/>
                <w:lang w:val="en-US"/>
              </w:rPr>
              <w:t>3</w:t>
            </w:r>
            <w:r>
              <w:rPr>
                <w:rFonts w:hint="eastAsia" w:ascii="楷体_GB2312" w:hAnsi="楷体_GB2312" w:eastAsia="楷体_GB2312" w:cs="楷体_GB2312"/>
                <w:b/>
                <w:bCs/>
                <w:sz w:val="21"/>
                <w:szCs w:val="24"/>
              </w:rPr>
              <w:t>年</w:t>
            </w:r>
            <w:r>
              <w:rPr>
                <w:rFonts w:hint="eastAsia" w:ascii="楷体_GB2312" w:hAnsi="楷体_GB2312" w:cs="楷体_GB2312"/>
                <w:b/>
                <w:bCs/>
                <w:sz w:val="21"/>
                <w:szCs w:val="24"/>
                <w:lang w:val="en-US" w:eastAsia="zh-CN"/>
              </w:rPr>
              <w:t>6</w:t>
            </w:r>
            <w:r>
              <w:rPr>
                <w:rFonts w:hint="eastAsia" w:ascii="楷体_GB2312" w:hAnsi="楷体_GB2312" w:eastAsia="楷体_GB2312" w:cs="楷体_GB2312"/>
                <w:b/>
                <w:bCs/>
                <w:sz w:val="21"/>
                <w:szCs w:val="24"/>
              </w:rPr>
              <w:t>月</w:t>
            </w:r>
            <w:r>
              <w:rPr>
                <w:rFonts w:hint="eastAsia" w:ascii="楷体_GB2312" w:hAnsi="楷体_GB2312" w:cs="楷体_GB2312"/>
                <w:b/>
                <w:bCs/>
                <w:sz w:val="21"/>
                <w:szCs w:val="24"/>
                <w:lang w:val="en-US" w:eastAsia="zh-CN"/>
              </w:rPr>
              <w:t>17</w:t>
            </w:r>
            <w:r>
              <w:rPr>
                <w:rFonts w:hint="eastAsia" w:ascii="楷体_GB2312" w:hAnsi="楷体_GB2312" w:eastAsia="楷体_GB2312" w:cs="楷体_GB2312"/>
                <w:b/>
                <w:bCs/>
                <w:sz w:val="21"/>
                <w:szCs w:val="24"/>
              </w:rPr>
              <w:t>日的交易）</w:t>
            </w:r>
          </w:p>
        </w:tc>
      </w:tr>
      <w:tr>
        <w:tblPrEx>
          <w:tblCellMar>
            <w:top w:w="0" w:type="dxa"/>
            <w:left w:w="108" w:type="dxa"/>
            <w:bottom w:w="0" w:type="dxa"/>
            <w:right w:w="108" w:type="dxa"/>
          </w:tblCellMar>
        </w:tblPrEx>
        <w:trPr>
          <w:trHeight w:val="9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9:00-9:30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模拟港股通交易业务的委托申报，并接收成交回报；实时行情的接收与展示。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9:30-12:00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12:00-12:10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12:10-12:45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发布港股收盘价格文件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hint="eastAsia" w:ascii="楷体_GB2312" w:hAnsi="楷体_GB2312" w:eastAsia="楷体_GB2312" w:cs="楷体_GB2312"/>
                <w:color w:val="2E2E2E"/>
                <w:kern w:val="0"/>
                <w:szCs w:val="24"/>
              </w:rPr>
            </w:pPr>
            <w:r>
              <w:rPr>
                <w:rFonts w:hint="eastAsia" w:ascii="楷体_GB2312" w:hAnsi="楷体_GB2312" w:eastAsia="楷体_GB2312" w:cs="楷体_GB2312"/>
                <w:b/>
                <w:bCs/>
                <w:kern w:val="2"/>
                <w:sz w:val="21"/>
                <w:szCs w:val="24"/>
                <w:lang w:val="en-US" w:eastAsia="zh-CN" w:bidi="ar-SA"/>
              </w:rPr>
              <w:t>中国结算深圳分公司T日测试安排（模拟T日2023年</w:t>
            </w:r>
            <w:r>
              <w:rPr>
                <w:rFonts w:hint="eastAsia" w:hAnsi="楷体_GB2312" w:cs="楷体_GB2312"/>
                <w:b/>
                <w:bCs/>
                <w:kern w:val="2"/>
                <w:sz w:val="21"/>
                <w:szCs w:val="24"/>
                <w:lang w:val="en-US" w:eastAsia="zh-CN" w:bidi="ar-SA"/>
              </w:rPr>
              <w:t>6</w:t>
            </w:r>
            <w:r>
              <w:rPr>
                <w:rFonts w:hint="eastAsia" w:ascii="楷体_GB2312" w:hAnsi="楷体_GB2312" w:eastAsia="楷体_GB2312" w:cs="楷体_GB2312"/>
                <w:b/>
                <w:bCs/>
                <w:kern w:val="2"/>
                <w:sz w:val="21"/>
                <w:szCs w:val="24"/>
                <w:lang w:val="en-US" w:eastAsia="zh-CN" w:bidi="ar-SA"/>
              </w:rPr>
              <w:t>月</w:t>
            </w:r>
            <w:r>
              <w:rPr>
                <w:rFonts w:hint="eastAsia" w:hAnsi="楷体_GB2312" w:cs="楷体_GB2312"/>
                <w:b/>
                <w:bCs/>
                <w:kern w:val="2"/>
                <w:sz w:val="21"/>
                <w:szCs w:val="24"/>
                <w:lang w:val="en-US" w:eastAsia="zh-CN" w:bidi="ar-SA"/>
              </w:rPr>
              <w:t>17</w:t>
            </w:r>
            <w:r>
              <w:rPr>
                <w:rFonts w:hint="eastAsia" w:ascii="楷体_GB2312" w:hAnsi="楷体_GB2312" w:eastAsia="楷体_GB2312" w:cs="楷体_GB2312"/>
                <w:b/>
                <w:bCs/>
                <w:kern w:val="2"/>
                <w:sz w:val="21"/>
                <w:szCs w:val="24"/>
                <w:lang w:val="en-US" w:eastAsia="zh-CN" w:bidi="ar-SA"/>
              </w:rPr>
              <w:t>日的结算）</w:t>
            </w: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8:30-12:</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12:10-1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1</w:t>
            </w:r>
            <w:r>
              <w:rPr>
                <w:rFonts w:hint="eastAsia" w:ascii="楷体_GB2312" w:hAnsi="楷体_GB2312" w:eastAsia="楷体_GB2312" w:cs="楷体_GB2312"/>
                <w:color w:val="000000"/>
                <w:sz w:val="21"/>
                <w:szCs w:val="21"/>
                <w:lang w:val="en-US"/>
              </w:rPr>
              <w:t>4</w:t>
            </w:r>
            <w:r>
              <w:rPr>
                <w:rFonts w:hint="eastAsia" w:ascii="楷体_GB2312" w:hAnsi="楷体_GB2312" w:eastAsia="楷体_GB2312" w:cs="楷体_GB2312"/>
                <w:color w:val="000000"/>
                <w:sz w:val="21"/>
                <w:szCs w:val="21"/>
              </w:rPr>
              <w:t>:</w:t>
            </w:r>
            <w:r>
              <w:rPr>
                <w:rFonts w:hint="eastAsia" w:ascii="楷体_GB2312" w:hAnsi="楷体_GB2312" w:eastAsia="楷体_GB2312" w:cs="楷体_GB2312"/>
                <w:color w:val="000000"/>
                <w:sz w:val="21"/>
                <w:szCs w:val="21"/>
                <w:lang w:val="en-US"/>
              </w:rPr>
              <w:t>0</w:t>
            </w:r>
            <w:r>
              <w:rPr>
                <w:rFonts w:hint="eastAsia" w:ascii="楷体_GB2312" w:hAnsi="楷体_GB2312" w:eastAsia="楷体_GB2312" w:cs="楷体_GB2312"/>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ascii="楷体_GB2312" w:hAnsi="楷体_GB2312" w:eastAsia="楷体_GB2312" w:cs="楷体_GB2312"/>
                <w:color w:val="000000"/>
                <w:sz w:val="21"/>
                <w:szCs w:val="21"/>
              </w:rPr>
            </w:pPr>
            <w:r>
              <w:rPr>
                <w:rFonts w:hint="eastAsia" w:ascii="楷体_GB2312" w:hAnsi="楷体_GB2312" w:eastAsia="楷体_GB2312" w:cs="楷体_GB2312"/>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ascii="楷体_GB2312" w:hAnsi="楷体_GB2312" w:eastAsia="楷体_GB2312" w:cs="楷体_GB2312"/>
                <w:color w:val="000000"/>
                <w:sz w:val="21"/>
                <w:szCs w:val="21"/>
              </w:rPr>
            </w:pPr>
          </w:p>
        </w:tc>
      </w:tr>
    </w:tbl>
    <w:p>
      <w:pPr>
        <w:pStyle w:val="15"/>
        <w:outlineLvl w:val="0"/>
        <w:rPr>
          <w:rFonts w:hint="eastAsia" w:ascii="楷体_GB2312" w:eastAsia="楷体_GB2312"/>
          <w:b/>
          <w:color w:val="000000"/>
          <w:sz w:val="32"/>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eastAsia="zh-CN"/>
        </w:rPr>
        <w:t>6月</w:t>
      </w:r>
      <w:r>
        <w:rPr>
          <w:rFonts w:hint="eastAsia" w:ascii="楷体_GB2312" w:eastAsia="楷体_GB2312"/>
          <w:color w:val="000000"/>
          <w:sz w:val="28"/>
          <w:szCs w:val="28"/>
          <w:lang w:val="en-US" w:eastAsia="zh-CN"/>
        </w:rPr>
        <w:t>16</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val="en-US" w:eastAsia="zh-CN"/>
        </w:rPr>
        <w:t>6</w:t>
      </w:r>
      <w:r>
        <w:rPr>
          <w:rFonts w:hint="eastAsia" w:ascii="楷体_GB2312" w:eastAsia="楷体_GB2312"/>
          <w:color w:val="000000"/>
          <w:sz w:val="28"/>
          <w:szCs w:val="28"/>
        </w:rPr>
        <w:t>月</w:t>
      </w:r>
      <w:r>
        <w:rPr>
          <w:rFonts w:hint="eastAsia" w:ascii="楷体_GB2312" w:eastAsia="楷体_GB2312"/>
          <w:color w:val="000000"/>
          <w:sz w:val="28"/>
          <w:szCs w:val="28"/>
          <w:lang w:val="en-US" w:eastAsia="zh-CN"/>
        </w:rPr>
        <w:t>19</w:t>
      </w:r>
      <w:r>
        <w:rPr>
          <w:rFonts w:hint="eastAsia" w:ascii="楷体_GB2312" w:eastAsia="楷体_GB2312"/>
          <w:color w:val="000000"/>
          <w:sz w:val="28"/>
          <w:szCs w:val="28"/>
        </w:rPr>
        <w:t>日（星期一）生产系统保持一致。</w:t>
      </w:r>
    </w:p>
    <w:p>
      <w:pPr>
        <w:pStyle w:val="72"/>
        <w:numPr>
          <w:ilvl w:val="0"/>
          <w:numId w:val="5"/>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hAnsi="楷体" w:eastAsia="楷体_GB2312"/>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6月</w:t>
      </w:r>
      <w:r>
        <w:rPr>
          <w:rFonts w:hint="eastAsia" w:ascii="楷体_GB2312" w:eastAsia="楷体_GB2312"/>
          <w:color w:val="000000"/>
          <w:sz w:val="28"/>
          <w:szCs w:val="28"/>
          <w:lang w:val="en-US" w:eastAsia="zh-CN"/>
        </w:rPr>
        <w:t>16</w:t>
      </w:r>
      <w:r>
        <w:rPr>
          <w:rFonts w:hint="eastAsia" w:ascii="楷体_GB2312" w:eastAsia="楷体_GB2312"/>
          <w:color w:val="000000"/>
          <w:sz w:val="28"/>
          <w:szCs w:val="28"/>
          <w:lang w:eastAsia="zh-CN"/>
        </w:rPr>
        <w:t>日</w:t>
      </w:r>
      <w:r>
        <w:rPr>
          <w:rFonts w:hint="eastAsia" w:ascii="楷体_GB2312" w:eastAsia="楷体_GB2312"/>
          <w:color w:val="000000"/>
          <w:sz w:val="28"/>
          <w:szCs w:val="28"/>
        </w:rPr>
        <w:t>（星期五）交易生产系统保持一致，所有基金管理人均无需上传测试使用的PCF/IOPV文件。</w:t>
      </w:r>
    </w:p>
    <w:p>
      <w:pPr>
        <w:pStyle w:val="72"/>
        <w:numPr>
          <w:ilvl w:val="0"/>
          <w:numId w:val="5"/>
        </w:numPr>
        <w:spacing w:line="560" w:lineRule="exact"/>
        <w:ind w:firstLine="560" w:firstLineChars="0"/>
        <w:rPr>
          <w:rFonts w:ascii="Times New Roman" w:hAnsi="Times New Roman"/>
          <w:kern w:val="0"/>
          <w:sz w:val="28"/>
          <w:szCs w:val="28"/>
          <w:highlight w:val="none"/>
        </w:rPr>
      </w:pPr>
      <w:r>
        <w:rPr>
          <w:rFonts w:hint="eastAsia" w:ascii="楷体_GB2312" w:hAnsi="楷体" w:eastAsia="楷体_GB2312"/>
          <w:sz w:val="28"/>
          <w:szCs w:val="28"/>
          <w:lang w:val="en-US" w:eastAsia="zh-CN"/>
        </w:rPr>
        <w:t>可转债</w:t>
      </w:r>
      <w:r>
        <w:rPr>
          <w:rFonts w:hint="eastAsia" w:ascii="楷体_GB2312" w:hAnsi="楷体" w:eastAsia="楷体_GB2312"/>
          <w:sz w:val="28"/>
          <w:szCs w:val="28"/>
        </w:rPr>
        <w:t>退市整理期交易业务测试安排</w:t>
      </w:r>
    </w:p>
    <w:tbl>
      <w:tblPr>
        <w:tblStyle w:val="37"/>
        <w:tblW w:w="94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4"/>
        <w:gridCol w:w="1360"/>
        <w:gridCol w:w="1902"/>
        <w:gridCol w:w="1960"/>
        <w:gridCol w:w="1237"/>
        <w:gridCol w:w="18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194"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证券代码</w:t>
            </w:r>
          </w:p>
        </w:tc>
        <w:tc>
          <w:tcPr>
            <w:tcW w:w="1360"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证券简称</w:t>
            </w:r>
          </w:p>
        </w:tc>
        <w:tc>
          <w:tcPr>
            <w:tcW w:w="1902" w:type="dxa"/>
            <w:shd w:val="clear" w:color="auto" w:fill="BEBEBE" w:themeFill="background1" w:themeFillShade="BF"/>
            <w:vAlign w:val="center"/>
          </w:tcPr>
          <w:p>
            <w:pPr>
              <w:jc w:val="center"/>
              <w:rPr>
                <w:rFonts w:ascii="楷体" w:hAnsi="楷体" w:eastAsia="楷体"/>
                <w:kern w:val="0"/>
                <w:sz w:val="24"/>
              </w:rPr>
            </w:pPr>
            <w:r>
              <w:rPr>
                <w:rFonts w:hint="eastAsia" w:ascii="楷体" w:hAnsi="楷体" w:eastAsia="楷体"/>
                <w:kern w:val="0"/>
                <w:sz w:val="24"/>
              </w:rPr>
              <w:t>退市整理期</w:t>
            </w:r>
            <w:r>
              <w:rPr>
                <w:rFonts w:ascii="楷体" w:hAnsi="楷体" w:eastAsia="楷体"/>
                <w:kern w:val="0"/>
                <w:sz w:val="24"/>
              </w:rPr>
              <w:t>首日</w:t>
            </w:r>
          </w:p>
        </w:tc>
        <w:tc>
          <w:tcPr>
            <w:tcW w:w="1960" w:type="dxa"/>
            <w:shd w:val="clear" w:color="auto" w:fill="BEBEBE" w:themeFill="background1" w:themeFillShade="BF"/>
            <w:vAlign w:val="center"/>
          </w:tcPr>
          <w:p>
            <w:pPr>
              <w:jc w:val="center"/>
              <w:rPr>
                <w:rFonts w:ascii="楷体" w:hAnsi="楷体" w:eastAsia="楷体"/>
                <w:kern w:val="0"/>
                <w:sz w:val="24"/>
              </w:rPr>
            </w:pPr>
            <w:r>
              <w:rPr>
                <w:rFonts w:hint="eastAsia" w:ascii="楷体" w:hAnsi="楷体" w:eastAsia="楷体"/>
                <w:kern w:val="0"/>
                <w:sz w:val="24"/>
              </w:rPr>
              <w:t>开盘参考价（元）</w:t>
            </w:r>
          </w:p>
        </w:tc>
        <w:tc>
          <w:tcPr>
            <w:tcW w:w="1237" w:type="dxa"/>
            <w:shd w:val="clear" w:color="auto" w:fill="BEBEBE" w:themeFill="background1" w:themeFillShade="BF"/>
            <w:vAlign w:val="center"/>
          </w:tcPr>
          <w:p>
            <w:pPr>
              <w:jc w:val="center"/>
              <w:rPr>
                <w:rFonts w:ascii="楷体" w:hAnsi="楷体" w:eastAsia="楷体"/>
                <w:kern w:val="0"/>
                <w:sz w:val="24"/>
              </w:rPr>
            </w:pPr>
            <w:r>
              <w:rPr>
                <w:rFonts w:hint="default" w:ascii="楷体" w:hAnsi="楷体" w:eastAsia="楷体"/>
                <w:kern w:val="0"/>
                <w:sz w:val="24"/>
                <w:lang w:val="en-US" w:eastAsia="zh-CN"/>
              </w:rPr>
              <w:t>正股代码</w:t>
            </w:r>
          </w:p>
        </w:tc>
        <w:tc>
          <w:tcPr>
            <w:tcW w:w="1825" w:type="dxa"/>
            <w:shd w:val="clear" w:color="auto" w:fill="BEBEBE" w:themeFill="background1" w:themeFillShade="BF"/>
            <w:vAlign w:val="top"/>
          </w:tcPr>
          <w:p>
            <w:pPr>
              <w:jc w:val="center"/>
              <w:rPr>
                <w:rFonts w:hint="eastAsia" w:ascii="楷体" w:hAnsi="楷体" w:eastAsia="楷体"/>
                <w:kern w:val="0"/>
                <w:sz w:val="24"/>
                <w:lang w:val="en-US" w:eastAsia="zh-CN"/>
              </w:rPr>
            </w:pPr>
            <w:r>
              <w:rPr>
                <w:rFonts w:hint="eastAsia" w:ascii="楷体" w:hAnsi="楷体" w:eastAsia="楷体"/>
                <w:kern w:val="0"/>
                <w:sz w:val="24"/>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123901</w:t>
            </w:r>
          </w:p>
        </w:tc>
        <w:tc>
          <w:tcPr>
            <w:tcW w:w="13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rPr>
            </w:pPr>
            <w:r>
              <w:rPr>
                <w:rFonts w:hint="eastAsia" w:ascii="楷体" w:hAnsi="楷体" w:eastAsia="楷体"/>
                <w:sz w:val="24"/>
                <w:szCs w:val="21"/>
                <w:lang w:eastAsia="zh-CN"/>
              </w:rPr>
              <w:t>创转</w:t>
            </w:r>
            <w:r>
              <w:rPr>
                <w:rFonts w:hint="eastAsia" w:ascii="楷体" w:hAnsi="楷体" w:eastAsia="楷体"/>
                <w:sz w:val="24"/>
                <w:szCs w:val="21"/>
                <w:lang w:val="en-US" w:eastAsia="zh-CN"/>
              </w:rPr>
              <w:t>1退</w:t>
            </w:r>
          </w:p>
        </w:tc>
        <w:tc>
          <w:tcPr>
            <w:tcW w:w="1902"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6月17日</w:t>
            </w:r>
          </w:p>
        </w:tc>
        <w:tc>
          <w:tcPr>
            <w:tcW w:w="19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101</w:t>
            </w:r>
          </w:p>
        </w:tc>
        <w:tc>
          <w:tcPr>
            <w:tcW w:w="1237" w:type="dxa"/>
            <w:shd w:val="clear" w:color="auto" w:fill="FFFFFF" w:themeFill="background1"/>
            <w:vAlign w:val="center"/>
          </w:tcPr>
          <w:p>
            <w:pPr>
              <w:pStyle w:val="67"/>
              <w:widowControl/>
              <w:spacing w:line="360" w:lineRule="atLeast"/>
              <w:ind w:firstLine="0" w:firstLineChars="0"/>
              <w:jc w:val="center"/>
              <w:rPr>
                <w:rFonts w:ascii="楷体" w:hAnsi="楷体" w:eastAsia="楷体"/>
                <w:sz w:val="24"/>
                <w:szCs w:val="21"/>
              </w:rPr>
            </w:pPr>
            <w:r>
              <w:rPr>
                <w:rFonts w:hint="eastAsia" w:ascii="楷体" w:hAnsi="楷体" w:eastAsia="楷体"/>
                <w:sz w:val="24"/>
                <w:szCs w:val="21"/>
                <w:lang w:val="en-US" w:eastAsia="zh-CN"/>
              </w:rPr>
              <w:t>30</w:t>
            </w:r>
            <w:r>
              <w:rPr>
                <w:rFonts w:hint="eastAsia" w:ascii="楷体" w:hAnsi="楷体" w:eastAsia="楷体"/>
                <w:sz w:val="24"/>
                <w:szCs w:val="21"/>
              </w:rPr>
              <w:t>1513</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创业板可转债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127901</w:t>
            </w:r>
          </w:p>
        </w:tc>
        <w:tc>
          <w:tcPr>
            <w:tcW w:w="13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eastAsia="zh-CN"/>
              </w:rPr>
              <w:t>主转</w:t>
            </w:r>
            <w:r>
              <w:rPr>
                <w:rFonts w:hint="eastAsia" w:ascii="楷体" w:hAnsi="楷体" w:eastAsia="楷体"/>
                <w:sz w:val="24"/>
                <w:szCs w:val="21"/>
                <w:lang w:val="en-US" w:eastAsia="zh-CN"/>
              </w:rPr>
              <w:t>1退</w:t>
            </w:r>
          </w:p>
        </w:tc>
        <w:tc>
          <w:tcPr>
            <w:tcW w:w="1902"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6月17日</w:t>
            </w:r>
          </w:p>
        </w:tc>
        <w:tc>
          <w:tcPr>
            <w:tcW w:w="1960"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101</w:t>
            </w:r>
          </w:p>
        </w:tc>
        <w:tc>
          <w:tcPr>
            <w:tcW w:w="1237" w:type="dxa"/>
            <w:shd w:val="clear" w:color="auto" w:fill="FFFFFF" w:themeFill="background1"/>
            <w:vAlign w:val="center"/>
          </w:tcPr>
          <w:p>
            <w:pPr>
              <w:pStyle w:val="67"/>
              <w:widowControl/>
              <w:spacing w:line="360" w:lineRule="atLeast"/>
              <w:ind w:firstLine="0" w:firstLineChars="0"/>
              <w:jc w:val="center"/>
              <w:rPr>
                <w:rFonts w:ascii="楷体" w:hAnsi="楷体" w:eastAsia="楷体"/>
                <w:sz w:val="24"/>
                <w:szCs w:val="21"/>
              </w:rPr>
            </w:pPr>
            <w:r>
              <w:rPr>
                <w:rFonts w:hint="eastAsia" w:ascii="楷体" w:hAnsi="楷体" w:eastAsia="楷体"/>
                <w:sz w:val="24"/>
                <w:szCs w:val="21"/>
              </w:rPr>
              <w:t>001513</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主板可转债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123902</w:t>
            </w:r>
          </w:p>
        </w:tc>
        <w:tc>
          <w:tcPr>
            <w:tcW w:w="13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创转</w:t>
            </w:r>
            <w:r>
              <w:rPr>
                <w:rFonts w:hint="eastAsia" w:ascii="楷体" w:hAnsi="楷体" w:eastAsia="楷体"/>
                <w:sz w:val="24"/>
                <w:szCs w:val="21"/>
                <w:lang w:val="en-US" w:eastAsia="zh-CN"/>
              </w:rPr>
              <w:t>2退</w:t>
            </w:r>
          </w:p>
        </w:tc>
        <w:tc>
          <w:tcPr>
            <w:tcW w:w="1902"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6月17日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102</w:t>
            </w:r>
          </w:p>
        </w:tc>
        <w:tc>
          <w:tcPr>
            <w:tcW w:w="1237"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30</w:t>
            </w:r>
            <w:r>
              <w:rPr>
                <w:rFonts w:hint="eastAsia" w:ascii="楷体" w:hAnsi="楷体" w:eastAsia="楷体"/>
                <w:sz w:val="24"/>
                <w:szCs w:val="21"/>
              </w:rPr>
              <w:t>151</w:t>
            </w:r>
            <w:r>
              <w:rPr>
                <w:rFonts w:hint="eastAsia" w:ascii="楷体" w:hAnsi="楷体" w:eastAsia="楷体"/>
                <w:sz w:val="24"/>
                <w:szCs w:val="21"/>
                <w:lang w:val="en-US" w:eastAsia="zh-CN"/>
              </w:rPr>
              <w:t>4</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创业板可转债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128902</w:t>
            </w:r>
          </w:p>
        </w:tc>
        <w:tc>
          <w:tcPr>
            <w:tcW w:w="13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主转</w:t>
            </w:r>
            <w:r>
              <w:rPr>
                <w:rFonts w:hint="eastAsia" w:ascii="楷体" w:hAnsi="楷体" w:eastAsia="楷体"/>
                <w:sz w:val="24"/>
                <w:szCs w:val="21"/>
                <w:lang w:val="en-US" w:eastAsia="zh-CN"/>
              </w:rPr>
              <w:t>2退</w:t>
            </w:r>
          </w:p>
        </w:tc>
        <w:tc>
          <w:tcPr>
            <w:tcW w:w="1902"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lang w:val="en-US" w:eastAsia="zh-CN"/>
              </w:rPr>
              <w:t>6月17日</w:t>
            </w:r>
          </w:p>
        </w:tc>
        <w:tc>
          <w:tcPr>
            <w:tcW w:w="1960"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102</w:t>
            </w:r>
          </w:p>
        </w:tc>
        <w:tc>
          <w:tcPr>
            <w:tcW w:w="1237"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rPr>
            </w:pPr>
            <w:r>
              <w:rPr>
                <w:rFonts w:hint="eastAsia" w:ascii="楷体" w:hAnsi="楷体" w:eastAsia="楷体"/>
                <w:sz w:val="24"/>
                <w:szCs w:val="21"/>
              </w:rPr>
              <w:t>00151</w:t>
            </w:r>
            <w:r>
              <w:rPr>
                <w:rFonts w:hint="eastAsia" w:ascii="楷体" w:hAnsi="楷体" w:eastAsia="楷体"/>
                <w:sz w:val="24"/>
                <w:szCs w:val="21"/>
                <w:lang w:val="en-US" w:eastAsia="zh-CN"/>
              </w:rPr>
              <w:t>4</w:t>
            </w:r>
          </w:p>
        </w:tc>
        <w:tc>
          <w:tcPr>
            <w:tcW w:w="1825" w:type="dxa"/>
            <w:shd w:val="clear" w:color="auto" w:fill="FFFFFF" w:themeFill="background1"/>
            <w:vAlign w:val="top"/>
          </w:tcPr>
          <w:p>
            <w:pPr>
              <w:pStyle w:val="67"/>
              <w:widowControl/>
              <w:spacing w:line="360" w:lineRule="atLeast"/>
              <w:ind w:firstLine="0" w:firstLineChars="0"/>
              <w:jc w:val="center"/>
              <w:rPr>
                <w:rFonts w:hint="eastAsia" w:ascii="楷体" w:hAnsi="楷体" w:eastAsia="楷体"/>
                <w:sz w:val="24"/>
                <w:szCs w:val="21"/>
                <w:lang w:eastAsia="zh-CN"/>
              </w:rPr>
            </w:pPr>
            <w:r>
              <w:rPr>
                <w:rFonts w:hint="eastAsia" w:ascii="楷体" w:hAnsi="楷体" w:eastAsia="楷体"/>
                <w:sz w:val="24"/>
                <w:szCs w:val="21"/>
                <w:lang w:eastAsia="zh-CN"/>
              </w:rPr>
              <w:t>主板可转债</w:t>
            </w:r>
          </w:p>
        </w:tc>
      </w:tr>
    </w:tbl>
    <w:p>
      <w:pPr>
        <w:pStyle w:val="72"/>
        <w:numPr>
          <w:ilvl w:val="255"/>
          <w:numId w:val="0"/>
        </w:numPr>
        <w:ind w:firstLine="560"/>
        <w:jc w:val="both"/>
        <w:rPr>
          <w:rFonts w:hint="eastAsia" w:ascii="楷体_GB2312" w:eastAsia="楷体_GB2312"/>
          <w:color w:val="000000"/>
          <w:sz w:val="28"/>
          <w:szCs w:val="28"/>
          <w:lang w:val="en-US" w:eastAsia="zh-CN"/>
        </w:rPr>
      </w:pPr>
      <w:r>
        <w:rPr>
          <w:rFonts w:hint="eastAsia" w:ascii="楷体_GB2312" w:eastAsia="楷体_GB2312"/>
          <w:color w:val="000000"/>
          <w:sz w:val="28"/>
          <w:szCs w:val="28"/>
          <w:lang w:val="en-US" w:eastAsia="zh-CN"/>
        </w:rPr>
        <w:t>中国结算深圳分公司为0199900000、0199900001、0809900000、0809900001测试证券账户在每个有效的A股托管单元新增登记上述测试证券各1,000,000</w:t>
      </w:r>
      <w:r>
        <w:rPr>
          <w:rFonts w:hint="eastAsia" w:ascii="楷体_GB2312" w:eastAsia="楷体_GB2312"/>
          <w:color w:val="000000"/>
          <w:sz w:val="28"/>
          <w:szCs w:val="28"/>
          <w:highlight w:val="none"/>
          <w:lang w:val="en-US" w:eastAsia="zh-CN"/>
        </w:rPr>
        <w:t>张</w:t>
      </w:r>
      <w:r>
        <w:rPr>
          <w:rFonts w:hint="eastAsia" w:ascii="楷体_GB2312" w:eastAsia="楷体_GB2312"/>
          <w:color w:val="000000"/>
          <w:sz w:val="28"/>
          <w:szCs w:val="28"/>
          <w:lang w:val="en-US" w:eastAsia="zh-CN"/>
        </w:rPr>
        <w:t>。</w:t>
      </w:r>
    </w:p>
    <w:p>
      <w:pPr>
        <w:pStyle w:val="72"/>
        <w:numPr>
          <w:ilvl w:val="0"/>
          <w:numId w:val="5"/>
        </w:numPr>
        <w:spacing w:line="560" w:lineRule="exact"/>
        <w:ind w:firstLine="560" w:firstLineChars="0"/>
        <w:rPr>
          <w:rFonts w:hint="eastAsia" w:ascii="楷体_GB2312" w:hAnsi="楷体" w:eastAsia="楷体_GB2312"/>
          <w:sz w:val="28"/>
          <w:szCs w:val="28"/>
          <w:lang w:val="en-US" w:eastAsia="zh-CN"/>
        </w:rPr>
      </w:pPr>
      <w:r>
        <w:rPr>
          <w:rFonts w:hint="eastAsia" w:ascii="楷体_GB2312" w:hAnsi="楷体" w:eastAsia="楷体_GB2312"/>
          <w:sz w:val="28"/>
          <w:szCs w:val="28"/>
          <w:lang w:val="en-US" w:eastAsia="zh-CN"/>
        </w:rPr>
        <w:t>可转债转股回售业务安排</w:t>
      </w:r>
    </w:p>
    <w:tbl>
      <w:tblPr>
        <w:tblStyle w:val="37"/>
        <w:tblW w:w="8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7"/>
        <w:gridCol w:w="1273"/>
        <w:gridCol w:w="2399"/>
        <w:gridCol w:w="3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67" w:type="dxa"/>
            <w:shd w:val="clear" w:color="auto" w:fill="BEBEBE" w:themeFill="background1" w:themeFillShade="BF"/>
            <w:vAlign w:val="center"/>
          </w:tcPr>
          <w:p>
            <w:pPr>
              <w:jc w:val="center"/>
              <w:rPr>
                <w:rFonts w:ascii="楷体" w:hAnsi="楷体" w:eastAsia="楷体"/>
                <w:kern w:val="0"/>
                <w:sz w:val="24"/>
              </w:rPr>
            </w:pPr>
            <w:r>
              <w:rPr>
                <w:rFonts w:ascii="楷体" w:hAnsi="楷体" w:eastAsia="楷体"/>
                <w:kern w:val="0"/>
                <w:sz w:val="24"/>
              </w:rPr>
              <w:t>证券代码</w:t>
            </w:r>
          </w:p>
        </w:tc>
        <w:tc>
          <w:tcPr>
            <w:tcW w:w="1273" w:type="dxa"/>
            <w:shd w:val="clear" w:color="auto" w:fill="BEBEBE" w:themeFill="background1" w:themeFillShade="BF"/>
            <w:vAlign w:val="center"/>
          </w:tcPr>
          <w:p>
            <w:pPr>
              <w:jc w:val="center"/>
              <w:rPr>
                <w:rFonts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证券简称</w:t>
            </w:r>
          </w:p>
        </w:tc>
        <w:tc>
          <w:tcPr>
            <w:tcW w:w="2399" w:type="dxa"/>
            <w:shd w:val="clear" w:color="auto" w:fill="BEBEBE" w:themeFill="background1" w:themeFillShade="BF"/>
            <w:vAlign w:val="center"/>
          </w:tcPr>
          <w:p>
            <w:pPr>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业务日期</w:t>
            </w:r>
          </w:p>
        </w:tc>
        <w:tc>
          <w:tcPr>
            <w:tcW w:w="3235" w:type="dxa"/>
            <w:shd w:val="clear" w:color="auto" w:fill="BEBEBE" w:themeFill="background1" w:themeFillShade="BF"/>
          </w:tcPr>
          <w:p>
            <w:pPr>
              <w:jc w:val="center"/>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业务方案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123901</w:t>
            </w:r>
          </w:p>
        </w:tc>
        <w:tc>
          <w:tcPr>
            <w:tcW w:w="1273"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eastAsia="zh-CN"/>
              </w:rPr>
              <w:t>创转</w:t>
            </w:r>
            <w:r>
              <w:rPr>
                <w:rFonts w:hint="eastAsia" w:ascii="楷体" w:hAnsi="楷体" w:eastAsia="楷体"/>
                <w:sz w:val="24"/>
                <w:szCs w:val="21"/>
                <w:lang w:val="en-US" w:eastAsia="zh-CN"/>
              </w:rPr>
              <w:t>1退</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6月17日</w:t>
            </w:r>
          </w:p>
        </w:tc>
        <w:tc>
          <w:tcPr>
            <w:tcW w:w="3235" w:type="dxa"/>
            <w:shd w:val="clear" w:color="auto" w:fill="FFFFFF" w:themeFill="background1"/>
          </w:tcPr>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转股</w:t>
            </w:r>
            <w:r>
              <w:rPr>
                <w:rFonts w:ascii="楷体" w:hAnsi="楷体" w:eastAsia="楷体" w:cs="Times New Roman"/>
                <w:kern w:val="0"/>
                <w:sz w:val="24"/>
                <w:szCs w:val="24"/>
                <w:lang w:val="en-US" w:eastAsia="zh-CN" w:bidi="ar-SA"/>
              </w:rPr>
              <w:t>标的证券代码：</w:t>
            </w:r>
            <w:r>
              <w:rPr>
                <w:rFonts w:hint="eastAsia" w:ascii="楷体" w:hAnsi="楷体" w:eastAsia="楷体"/>
                <w:sz w:val="24"/>
                <w:szCs w:val="21"/>
                <w:lang w:val="en-US" w:eastAsia="zh-CN"/>
              </w:rPr>
              <w:t>30</w:t>
            </w:r>
            <w:r>
              <w:rPr>
                <w:rFonts w:hint="eastAsia" w:ascii="楷体" w:hAnsi="楷体" w:eastAsia="楷体"/>
                <w:sz w:val="24"/>
                <w:szCs w:val="21"/>
              </w:rPr>
              <w:t>1513</w:t>
            </w:r>
          </w:p>
          <w:p>
            <w:pPr>
              <w:pStyle w:val="67"/>
              <w:widowControl/>
              <w:spacing w:line="360" w:lineRule="atLeast"/>
              <w:ind w:firstLine="0" w:firstLineChars="0"/>
              <w:jc w:val="both"/>
              <w:rPr>
                <w:rFonts w:hint="default"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转股价格</w:t>
            </w:r>
            <w:r>
              <w:rPr>
                <w:rFonts w:hint="eastAsia" w:ascii="楷体" w:hAnsi="楷体" w:eastAsia="楷体" w:cs="Times New Roman"/>
                <w:kern w:val="0"/>
                <w:sz w:val="24"/>
                <w:szCs w:val="24"/>
                <w:lang w:val="en-US" w:eastAsia="zh-CN" w:bidi="ar-SA"/>
              </w:rPr>
              <w:t>100元</w:t>
            </w:r>
            <w:r>
              <w:rPr>
                <w:rFonts w:ascii="楷体" w:hAnsi="楷体" w:eastAsia="楷体" w:cs="Times New Roman"/>
                <w:kern w:val="0"/>
                <w:sz w:val="24"/>
                <w:szCs w:val="24"/>
                <w:lang w:val="en-US" w:eastAsia="zh-CN" w:bidi="ar-SA"/>
              </w:rPr>
              <w:t>/</w:t>
            </w:r>
            <w:r>
              <w:rPr>
                <w:rFonts w:hint="eastAsia" w:ascii="楷体" w:hAnsi="楷体" w:eastAsia="楷体" w:cs="Times New Roman"/>
                <w:kern w:val="0"/>
                <w:sz w:val="24"/>
                <w:szCs w:val="24"/>
                <w:lang w:val="en-US" w:eastAsia="zh-CN" w:bidi="ar-SA"/>
              </w:rPr>
              <w:t>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127901</w:t>
            </w:r>
          </w:p>
        </w:tc>
        <w:tc>
          <w:tcPr>
            <w:tcW w:w="1273" w:type="dxa"/>
            <w:shd w:val="clear" w:color="auto" w:fill="FFFFFF" w:themeFill="background1"/>
            <w:vAlign w:val="center"/>
          </w:tcPr>
          <w:p>
            <w:pPr>
              <w:pStyle w:val="67"/>
              <w:widowControl/>
              <w:spacing w:line="360" w:lineRule="atLeast"/>
              <w:ind w:firstLine="0" w:firstLineChars="0"/>
              <w:jc w:val="center"/>
              <w:rPr>
                <w:rFonts w:ascii="楷体" w:hAnsi="楷体" w:eastAsia="楷体" w:cs="Times New Roman"/>
                <w:kern w:val="0"/>
                <w:sz w:val="24"/>
                <w:szCs w:val="24"/>
                <w:lang w:val="en-US" w:eastAsia="zh-CN" w:bidi="ar-SA"/>
              </w:rPr>
            </w:pPr>
            <w:r>
              <w:rPr>
                <w:rFonts w:hint="eastAsia" w:ascii="楷体" w:hAnsi="楷体" w:eastAsia="楷体"/>
                <w:sz w:val="24"/>
                <w:szCs w:val="21"/>
                <w:lang w:eastAsia="zh-CN"/>
              </w:rPr>
              <w:t>主转</w:t>
            </w:r>
            <w:r>
              <w:rPr>
                <w:rFonts w:hint="eastAsia" w:ascii="楷体" w:hAnsi="楷体" w:eastAsia="楷体"/>
                <w:sz w:val="24"/>
                <w:szCs w:val="21"/>
                <w:lang w:val="en-US" w:eastAsia="zh-CN"/>
              </w:rPr>
              <w:t>1退</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6月17日</w:t>
            </w:r>
          </w:p>
        </w:tc>
        <w:tc>
          <w:tcPr>
            <w:tcW w:w="3235" w:type="dxa"/>
            <w:shd w:val="clear" w:color="auto" w:fill="FFFFFF" w:themeFill="background1"/>
          </w:tcPr>
          <w:p>
            <w:pPr>
              <w:pStyle w:val="67"/>
              <w:widowControl/>
              <w:spacing w:line="360" w:lineRule="atLeast"/>
              <w:ind w:firstLine="0" w:firstLineChars="0"/>
              <w:jc w:val="left"/>
              <w:rPr>
                <w:rFonts w:hint="default"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转股</w:t>
            </w:r>
            <w:r>
              <w:rPr>
                <w:rFonts w:ascii="楷体" w:hAnsi="楷体" w:eastAsia="楷体" w:cs="Times New Roman"/>
                <w:kern w:val="0"/>
                <w:sz w:val="24"/>
                <w:szCs w:val="24"/>
                <w:lang w:val="en-US" w:eastAsia="zh-CN" w:bidi="ar-SA"/>
              </w:rPr>
              <w:t>标的证券代码：</w:t>
            </w:r>
            <w:r>
              <w:rPr>
                <w:rFonts w:hint="eastAsia" w:ascii="楷体" w:hAnsi="楷体" w:eastAsia="楷体"/>
                <w:sz w:val="24"/>
                <w:szCs w:val="21"/>
              </w:rPr>
              <w:t>001513</w:t>
            </w:r>
            <w:r>
              <w:rPr>
                <w:rFonts w:hint="eastAsia" w:ascii="楷体" w:hAnsi="楷体" w:eastAsia="楷体" w:cs="Times New Roman"/>
                <w:kern w:val="0"/>
                <w:sz w:val="24"/>
                <w:szCs w:val="24"/>
                <w:lang w:val="en-US" w:eastAsia="zh-CN" w:bidi="ar-SA"/>
              </w:rPr>
              <w:t xml:space="preserve"> </w:t>
            </w:r>
          </w:p>
          <w:p>
            <w:pPr>
              <w:pStyle w:val="67"/>
              <w:widowControl/>
              <w:spacing w:line="360" w:lineRule="atLeast"/>
              <w:ind w:firstLine="0" w:firstLineChars="0"/>
              <w:jc w:val="both"/>
              <w:rPr>
                <w:rFonts w:ascii="楷体" w:hAnsi="楷体" w:eastAsia="楷体" w:cs="Times New Roman"/>
                <w:kern w:val="0"/>
                <w:sz w:val="24"/>
                <w:szCs w:val="24"/>
                <w:lang w:val="en-US" w:eastAsia="zh-CN" w:bidi="ar-SA"/>
              </w:rPr>
            </w:pPr>
            <w:r>
              <w:rPr>
                <w:rFonts w:ascii="楷体" w:hAnsi="楷体" w:eastAsia="楷体" w:cs="Times New Roman"/>
                <w:kern w:val="0"/>
                <w:sz w:val="24"/>
                <w:szCs w:val="24"/>
                <w:lang w:val="en-US" w:eastAsia="zh-CN" w:bidi="ar-SA"/>
              </w:rPr>
              <w:t>转股价格</w:t>
            </w:r>
            <w:r>
              <w:rPr>
                <w:rFonts w:hint="eastAsia" w:ascii="楷体" w:hAnsi="楷体" w:eastAsia="楷体" w:cs="Times New Roman"/>
                <w:kern w:val="0"/>
                <w:sz w:val="24"/>
                <w:szCs w:val="24"/>
                <w:lang w:val="en-US" w:eastAsia="zh-CN" w:bidi="ar-SA"/>
              </w:rPr>
              <w:t>101元</w:t>
            </w:r>
            <w:r>
              <w:rPr>
                <w:rFonts w:ascii="楷体" w:hAnsi="楷体" w:eastAsia="楷体" w:cs="Times New Roman"/>
                <w:kern w:val="0"/>
                <w:sz w:val="24"/>
                <w:szCs w:val="24"/>
                <w:lang w:val="en-US" w:eastAsia="zh-CN" w:bidi="ar-SA"/>
              </w:rPr>
              <w:t>/</w:t>
            </w:r>
            <w:r>
              <w:rPr>
                <w:rFonts w:hint="eastAsia" w:ascii="楷体" w:hAnsi="楷体" w:eastAsia="楷体" w:cs="Times New Roman"/>
                <w:kern w:val="0"/>
                <w:sz w:val="24"/>
                <w:szCs w:val="24"/>
                <w:lang w:val="en-US" w:eastAsia="zh-CN" w:bidi="ar-SA"/>
              </w:rPr>
              <w:t>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sz w:val="24"/>
                <w:szCs w:val="21"/>
                <w:lang w:val="en-US" w:eastAsia="zh-CN"/>
              </w:rPr>
            </w:pPr>
            <w:r>
              <w:rPr>
                <w:rFonts w:hint="eastAsia" w:ascii="楷体" w:hAnsi="楷体" w:eastAsia="楷体"/>
                <w:sz w:val="24"/>
                <w:szCs w:val="21"/>
                <w:lang w:val="en-US" w:eastAsia="zh-CN"/>
              </w:rPr>
              <w:t>123902</w:t>
            </w:r>
          </w:p>
        </w:tc>
        <w:tc>
          <w:tcPr>
            <w:tcW w:w="1273"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0"/>
                <w:sz w:val="24"/>
                <w:szCs w:val="24"/>
                <w:lang w:val="en-US" w:eastAsia="zh-CN" w:bidi="ar-SA"/>
              </w:rPr>
            </w:pPr>
            <w:r>
              <w:rPr>
                <w:rFonts w:hint="eastAsia" w:ascii="楷体" w:hAnsi="楷体" w:eastAsia="楷体"/>
                <w:sz w:val="24"/>
                <w:szCs w:val="21"/>
                <w:lang w:eastAsia="zh-CN"/>
              </w:rPr>
              <w:t>创转</w:t>
            </w:r>
            <w:r>
              <w:rPr>
                <w:rFonts w:hint="eastAsia" w:ascii="楷体" w:hAnsi="楷体" w:eastAsia="楷体"/>
                <w:sz w:val="24"/>
                <w:szCs w:val="21"/>
                <w:lang w:val="en-US" w:eastAsia="zh-CN"/>
              </w:rPr>
              <w:t>2退</w:t>
            </w:r>
          </w:p>
        </w:tc>
        <w:tc>
          <w:tcPr>
            <w:tcW w:w="2399" w:type="dxa"/>
            <w:shd w:val="clear" w:color="auto" w:fill="FFFFFF" w:themeFill="background1"/>
            <w:vAlign w:val="center"/>
          </w:tcPr>
          <w:p>
            <w:pPr>
              <w:pStyle w:val="67"/>
              <w:widowControl/>
              <w:spacing w:line="360" w:lineRule="atLeast"/>
              <w:ind w:firstLine="0" w:firstLineChars="0"/>
              <w:jc w:val="center"/>
              <w:rPr>
                <w:rFonts w:hint="default"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6月17日</w:t>
            </w:r>
          </w:p>
        </w:tc>
        <w:tc>
          <w:tcPr>
            <w:tcW w:w="3235" w:type="dxa"/>
            <w:shd w:val="clear" w:color="auto" w:fill="FFFFFF" w:themeFill="background1"/>
            <w:vAlign w:val="top"/>
          </w:tcPr>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本金：</w:t>
            </w:r>
            <w:r>
              <w:rPr>
                <w:rFonts w:hint="eastAsia" w:ascii="楷体" w:hAnsi="楷体" w:eastAsia="楷体" w:cs="Times New Roman"/>
                <w:kern w:val="0"/>
                <w:sz w:val="24"/>
                <w:szCs w:val="24"/>
                <w:lang w:val="en-US" w:eastAsia="zh-CN" w:bidi="ar-SA"/>
              </w:rPr>
              <w:t>100元</w:t>
            </w:r>
          </w:p>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利息：5</w:t>
            </w:r>
            <w:r>
              <w:rPr>
                <w:rFonts w:hint="eastAsia" w:ascii="楷体" w:hAnsi="楷体" w:eastAsia="楷体" w:cs="Times New Roman"/>
                <w:kern w:val="0"/>
                <w:sz w:val="24"/>
                <w:szCs w:val="24"/>
                <w:lang w:val="en-US" w:eastAsia="zh-CN" w:bidi="ar-SA"/>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7"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sz w:val="24"/>
                <w:szCs w:val="21"/>
                <w:lang w:val="en-US" w:eastAsia="zh-CN"/>
              </w:rPr>
            </w:pPr>
            <w:r>
              <w:rPr>
                <w:rFonts w:hint="eastAsia" w:ascii="楷体" w:hAnsi="楷体" w:eastAsia="楷体"/>
                <w:sz w:val="24"/>
                <w:szCs w:val="21"/>
                <w:lang w:val="en-US" w:eastAsia="zh-CN"/>
              </w:rPr>
              <w:t>128902</w:t>
            </w:r>
          </w:p>
        </w:tc>
        <w:tc>
          <w:tcPr>
            <w:tcW w:w="1273"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0"/>
                <w:sz w:val="24"/>
                <w:szCs w:val="24"/>
                <w:lang w:val="en-US" w:eastAsia="zh-CN" w:bidi="ar-SA"/>
              </w:rPr>
            </w:pPr>
            <w:r>
              <w:rPr>
                <w:rFonts w:hint="eastAsia" w:ascii="楷体" w:hAnsi="楷体" w:eastAsia="楷体"/>
                <w:sz w:val="24"/>
                <w:szCs w:val="21"/>
                <w:lang w:eastAsia="zh-CN"/>
              </w:rPr>
              <w:t>主转</w:t>
            </w:r>
            <w:r>
              <w:rPr>
                <w:rFonts w:hint="eastAsia" w:ascii="楷体" w:hAnsi="楷体" w:eastAsia="楷体"/>
                <w:sz w:val="24"/>
                <w:szCs w:val="21"/>
                <w:lang w:val="en-US" w:eastAsia="zh-CN"/>
              </w:rPr>
              <w:t>2退</w:t>
            </w:r>
          </w:p>
        </w:tc>
        <w:tc>
          <w:tcPr>
            <w:tcW w:w="2399" w:type="dxa"/>
            <w:shd w:val="clear" w:color="auto" w:fill="FFFFFF" w:themeFill="background1"/>
            <w:vAlign w:val="center"/>
          </w:tcPr>
          <w:p>
            <w:pPr>
              <w:pStyle w:val="67"/>
              <w:widowControl/>
              <w:spacing w:line="360" w:lineRule="atLeast"/>
              <w:ind w:firstLine="0" w:firstLineChars="0"/>
              <w:jc w:val="center"/>
              <w:rPr>
                <w:rFonts w:hint="eastAsia" w:ascii="楷体" w:hAnsi="楷体" w:eastAsia="楷体" w:cs="Times New Roman"/>
                <w:kern w:val="0"/>
                <w:sz w:val="24"/>
                <w:szCs w:val="24"/>
                <w:lang w:val="en-US" w:eastAsia="zh-CN" w:bidi="ar-SA"/>
              </w:rPr>
            </w:pPr>
            <w:r>
              <w:rPr>
                <w:rFonts w:hint="eastAsia" w:ascii="楷体" w:hAnsi="楷体" w:eastAsia="楷体"/>
                <w:sz w:val="24"/>
                <w:szCs w:val="21"/>
                <w:lang w:val="en-US" w:eastAsia="zh-CN"/>
              </w:rPr>
              <w:t>6月17日</w:t>
            </w:r>
          </w:p>
        </w:tc>
        <w:tc>
          <w:tcPr>
            <w:tcW w:w="3235" w:type="dxa"/>
            <w:shd w:val="clear" w:color="auto" w:fill="FFFFFF" w:themeFill="background1"/>
            <w:vAlign w:val="top"/>
          </w:tcPr>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本金：</w:t>
            </w:r>
            <w:r>
              <w:rPr>
                <w:rFonts w:hint="eastAsia" w:ascii="楷体" w:hAnsi="楷体" w:eastAsia="楷体" w:cs="Times New Roman"/>
                <w:kern w:val="0"/>
                <w:sz w:val="24"/>
                <w:szCs w:val="24"/>
                <w:lang w:val="en-US" w:eastAsia="zh-CN" w:bidi="ar-SA"/>
              </w:rPr>
              <w:t>100元</w:t>
            </w:r>
          </w:p>
          <w:p>
            <w:pPr>
              <w:pStyle w:val="67"/>
              <w:widowControl/>
              <w:spacing w:line="360" w:lineRule="atLeast"/>
              <w:ind w:firstLine="0" w:firstLineChars="0"/>
              <w:jc w:val="left"/>
              <w:rPr>
                <w:rFonts w:ascii="楷体" w:hAnsi="楷体" w:eastAsia="楷体" w:cs="Times New Roman"/>
                <w:kern w:val="0"/>
                <w:sz w:val="24"/>
                <w:szCs w:val="24"/>
                <w:lang w:val="en-US" w:eastAsia="zh-CN" w:bidi="ar-SA"/>
              </w:rPr>
            </w:pPr>
            <w:r>
              <w:rPr>
                <w:rFonts w:hint="eastAsia" w:ascii="楷体" w:hAnsi="楷体" w:eastAsia="楷体" w:cs="Times New Roman"/>
                <w:kern w:val="0"/>
                <w:sz w:val="24"/>
                <w:szCs w:val="24"/>
                <w:lang w:val="en-US" w:eastAsia="zh-CN" w:bidi="ar-SA"/>
              </w:rPr>
              <w:t>每张回售</w:t>
            </w:r>
            <w:r>
              <w:rPr>
                <w:rFonts w:ascii="楷体" w:hAnsi="楷体" w:eastAsia="楷体" w:cs="Times New Roman"/>
                <w:kern w:val="0"/>
                <w:sz w:val="24"/>
                <w:szCs w:val="24"/>
                <w:lang w:val="en-US" w:eastAsia="zh-CN" w:bidi="ar-SA"/>
              </w:rPr>
              <w:t>利息：5</w:t>
            </w:r>
            <w:r>
              <w:rPr>
                <w:rFonts w:hint="eastAsia" w:ascii="楷体" w:hAnsi="楷体" w:eastAsia="楷体" w:cs="Times New Roman"/>
                <w:kern w:val="0"/>
                <w:sz w:val="24"/>
                <w:szCs w:val="24"/>
                <w:lang w:val="en-US" w:eastAsia="zh-CN" w:bidi="ar-SA"/>
              </w:rPr>
              <w:t>元</w:t>
            </w:r>
          </w:p>
        </w:tc>
      </w:tr>
    </w:tbl>
    <w:p>
      <w:pPr>
        <w:pStyle w:val="72"/>
        <w:numPr>
          <w:ilvl w:val="0"/>
          <w:numId w:val="5"/>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6月17日</w:t>
      </w:r>
      <w:r>
        <w:rPr>
          <w:rFonts w:hint="eastAsia" w:ascii="楷体_GB2312" w:eastAsia="楷体_GB2312"/>
          <w:color w:val="000000"/>
          <w:sz w:val="28"/>
          <w:szCs w:val="28"/>
        </w:rPr>
        <w:t>的现货结算备付金账户余额修改为100亿元。如果需要调整，可致电中国结算深圳分公司进行账户余额的调整，联系电话：0755-88666429。</w:t>
      </w:r>
    </w:p>
    <w:p>
      <w:pPr>
        <w:pStyle w:val="72"/>
        <w:numPr>
          <w:ilvl w:val="255"/>
          <w:numId w:val="0"/>
        </w:numPr>
        <w:spacing w:line="240" w:lineRule="auto"/>
        <w:ind w:left="0" w:leftChars="0" w:firstLine="560"/>
        <w:outlineLvl w:val="9"/>
        <w:rPr>
          <w:rFonts w:hint="eastAsia" w:ascii="楷体_GB2312" w:eastAsia="楷体_GB2312"/>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6"/>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6月17日</w:t>
      </w:r>
      <w:r>
        <w:rPr>
          <w:rFonts w:hint="eastAsia"/>
          <w:sz w:val="28"/>
          <w:szCs w:val="28"/>
        </w:rPr>
        <w:t>期间属于测试环境，2023年</w:t>
      </w:r>
      <w:r>
        <w:rPr>
          <w:rFonts w:hint="eastAsia"/>
          <w:sz w:val="28"/>
          <w:szCs w:val="28"/>
          <w:lang w:eastAsia="zh-CN"/>
        </w:rPr>
        <w:t>6月17日</w:t>
      </w:r>
      <w:r>
        <w:rPr>
          <w:rFonts w:hint="eastAsia"/>
          <w:sz w:val="28"/>
          <w:szCs w:val="28"/>
        </w:rPr>
        <w:t>23:45以后将恢复回生产环境。</w:t>
      </w:r>
    </w:p>
    <w:p>
      <w:pPr>
        <w:numPr>
          <w:ilvl w:val="0"/>
          <w:numId w:val="7"/>
        </w:numPr>
        <w:tabs>
          <w:tab w:val="left" w:pos="840"/>
          <w:tab w:val="left" w:pos="928"/>
          <w:tab w:val="left" w:pos="1003"/>
          <w:tab w:val="left" w:pos="1050"/>
        </w:tabs>
        <w:ind w:left="0" w:firstLine="567"/>
        <w:rPr>
          <w:rFonts w:hint="eastAsia"/>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6月17日</w:t>
      </w:r>
      <w:r>
        <w:rPr>
          <w:rFonts w:hint="eastAsia"/>
          <w:sz w:val="28"/>
          <w:szCs w:val="28"/>
        </w:rPr>
        <w:t>测试。</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6月17日</w:t>
      </w:r>
      <w:r>
        <w:rPr>
          <w:rFonts w:hint="eastAsia"/>
          <w:sz w:val="28"/>
          <w:szCs w:val="28"/>
        </w:rPr>
        <w:t>测试相关数据。</w:t>
      </w:r>
      <w:r>
        <w:rPr>
          <w:rFonts w:hint="eastAsia" w:hAnsi="楷体"/>
          <w:color w:val="000000"/>
          <w:sz w:val="28"/>
          <w:szCs w:val="28"/>
        </w:rPr>
        <w:t>测试完成后做好线上系统的变更稽核和数据环境的恢复工作，确保下一交易日（2023年</w:t>
      </w:r>
      <w:r>
        <w:rPr>
          <w:rFonts w:hint="eastAsia" w:hAnsi="楷体"/>
          <w:color w:val="000000"/>
          <w:sz w:val="28"/>
          <w:szCs w:val="28"/>
          <w:lang w:val="en-US" w:eastAsia="zh-CN"/>
        </w:rPr>
        <w:t>6</w:t>
      </w:r>
      <w:r>
        <w:rPr>
          <w:rFonts w:hint="eastAsia" w:hAnsi="楷体"/>
          <w:color w:val="000000"/>
          <w:sz w:val="28"/>
          <w:szCs w:val="28"/>
        </w:rPr>
        <w:t>月</w:t>
      </w:r>
      <w:r>
        <w:rPr>
          <w:rFonts w:hint="eastAsia" w:hAnsi="楷体"/>
          <w:color w:val="000000"/>
          <w:sz w:val="28"/>
          <w:szCs w:val="28"/>
          <w:lang w:val="en-US" w:eastAsia="zh-CN"/>
        </w:rPr>
        <w:t>19</w:t>
      </w:r>
      <w:r>
        <w:rPr>
          <w:rFonts w:hint="eastAsia" w:hAnsi="楷体"/>
          <w:color w:val="000000"/>
          <w:sz w:val="28"/>
          <w:szCs w:val="28"/>
        </w:rPr>
        <w:t>日）生产系统的正确运行。</w:t>
      </w:r>
    </w:p>
    <w:p>
      <w:pPr>
        <w:numPr>
          <w:ilvl w:val="0"/>
          <w:numId w:val="7"/>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请各相关单位务必参加测试，因故不能参加测试者，务必填写反馈表（参见附件）说明原因，并通知深交所。</w:t>
      </w:r>
    </w:p>
    <w:p>
      <w:pPr>
        <w:numPr>
          <w:ilvl w:val="0"/>
          <w:numId w:val="8"/>
        </w:numPr>
        <w:tabs>
          <w:tab w:val="left" w:pos="840"/>
          <w:tab w:val="left" w:pos="928"/>
          <w:tab w:val="left" w:pos="1050"/>
        </w:tabs>
        <w:ind w:left="0" w:firstLine="567"/>
        <w:rPr>
          <w:rFonts w:hint="eastAsia"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8"/>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6月17日</w:t>
      </w:r>
      <w:r>
        <w:rPr>
          <w:rFonts w:hint="eastAsia" w:hAnsi="楷体"/>
          <w:color w:val="000000"/>
          <w:sz w:val="28"/>
          <w:szCs w:val="28"/>
          <w:lang w:val="en-US" w:eastAsia="zh-CN"/>
        </w:rPr>
        <w:t>14</w:t>
      </w:r>
      <w:r>
        <w:rPr>
          <w:rFonts w:hint="eastAsia" w:hAnsi="楷体"/>
          <w:color w:val="000000"/>
          <w:sz w:val="28"/>
          <w:szCs w:val="28"/>
        </w:rPr>
        <w:t>:</w:t>
      </w:r>
      <w:r>
        <w:rPr>
          <w:rFonts w:hint="eastAsia" w:hAnsi="楷体"/>
          <w:color w:val="000000"/>
          <w:sz w:val="28"/>
          <w:szCs w:val="28"/>
          <w:lang w:val="en-US" w:eastAsia="zh-CN"/>
        </w:rPr>
        <w:t>00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托管行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rFonts w:hint="eastAsia"/>
          <w:color w:val="2E2E2E"/>
          <w:kern w:val="0"/>
          <w:sz w:val="28"/>
          <w:szCs w:val="28"/>
          <w:lang w:val="en-US" w:eastAsia="zh-CN"/>
        </w:rPr>
      </w:pPr>
      <w:r>
        <w:rPr>
          <w:rFonts w:hint="eastAsia"/>
          <w:color w:val="2E2E2E"/>
          <w:kern w:val="0"/>
          <w:sz w:val="28"/>
          <w:szCs w:val="28"/>
        </w:rPr>
        <w:t>深交所：0755-88668</w:t>
      </w:r>
      <w:r>
        <w:rPr>
          <w:rFonts w:hint="eastAsia"/>
          <w:color w:val="2E2E2E"/>
          <w:kern w:val="0"/>
          <w:sz w:val="28"/>
          <w:szCs w:val="28"/>
          <w:lang w:val="en-US" w:eastAsia="zh-CN"/>
        </w:rPr>
        <w:t>361、88668178</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6</w:t>
      </w:r>
      <w:r>
        <w:rPr>
          <w:rFonts w:hint="eastAsia"/>
          <w:color w:val="000000"/>
          <w:sz w:val="28"/>
          <w:szCs w:val="28"/>
        </w:rPr>
        <w:t>月</w:t>
      </w:r>
      <w:r>
        <w:rPr>
          <w:rFonts w:hint="eastAsia"/>
          <w:color w:val="000000"/>
          <w:sz w:val="28"/>
          <w:szCs w:val="28"/>
          <w:lang w:val="en-US" w:eastAsia="zh-CN"/>
        </w:rPr>
        <w:t>14</w:t>
      </w:r>
      <w:bookmarkStart w:id="8" w:name="_GoBack"/>
      <w:bookmarkEnd w:id="8"/>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2023年6月17日可转债退市整理期业务</w:t>
      </w:r>
      <w:r>
        <w:rPr>
          <w:rFonts w:hint="eastAsia" w:ascii="楷体" w:hAnsi="楷体" w:eastAsia="楷体" w:cs="楷体"/>
          <w:b/>
          <w:color w:val="000000"/>
          <w:sz w:val="32"/>
          <w:szCs w:val="28"/>
          <w:lang w:eastAsia="zh-CN"/>
        </w:rPr>
        <w:t>全网测试</w:t>
      </w:r>
      <w:r>
        <w:rPr>
          <w:rFonts w:hint="eastAsia" w:ascii="楷体" w:hAnsi="楷体" w:eastAsia="楷体" w:cs="楷体"/>
          <w:b/>
          <w:color w:val="000000"/>
          <w:sz w:val="32"/>
          <w:szCs w:val="28"/>
        </w:rPr>
        <w:t>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3108"/>
        <w:gridCol w:w="2531"/>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531"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783"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vAlign w:val="top"/>
          </w:tcPr>
          <w:p>
            <w:pPr>
              <w:rPr>
                <w:rFonts w:hint="eastAsia" w:ascii="楷体_GB2312" w:hAnsi="楷体" w:eastAsia="楷体_GB2312" w:cs="Times New Roman"/>
                <w:kern w:val="2"/>
                <w:sz w:val="20"/>
                <w:lang w:val="en-US" w:eastAsia="zh-CN" w:bidi="ar-SA"/>
              </w:rPr>
            </w:pPr>
            <w:r>
              <w:rPr>
                <w:rFonts w:hint="eastAsia" w:hAnsi="楷体"/>
                <w:sz w:val="20"/>
              </w:rPr>
              <w:t>是否参加本次可转债退市整理期业务测试</w:t>
            </w:r>
          </w:p>
        </w:tc>
        <w:tc>
          <w:tcPr>
            <w:tcW w:w="6783"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int="eastAsia" w:ascii="楷体_GB2312" w:hAnsi="楷体" w:eastAsia="楷体_GB2312" w:cs="Times New Roman"/>
                <w:kern w:val="2"/>
                <w:sz w:val="20"/>
                <w:lang w:val="en-US" w:eastAsia="zh-CN" w:bidi="ar-SA"/>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560" w:type="dxa"/>
            <w:gridSpan w:val="2"/>
            <w:tcBorders>
              <w:top w:val="single" w:color="auto" w:sz="4" w:space="0"/>
              <w:left w:val="single" w:color="auto" w:sz="4" w:space="0"/>
              <w:bottom w:val="single" w:color="auto" w:sz="4" w:space="0"/>
              <w:right w:val="single" w:color="auto" w:sz="4" w:space="0"/>
            </w:tcBorders>
          </w:tcPr>
          <w:p>
            <w:pPr>
              <w:rPr>
                <w:rFonts w:hint="eastAsia" w:hAnsi="楷体_GB2312" w:eastAsia="楷体_GB2312" w:cs="楷体_GB2312"/>
                <w:sz w:val="20"/>
                <w:lang w:eastAsia="zh-CN"/>
              </w:rPr>
            </w:pPr>
            <w:r>
              <w:rPr>
                <w:rFonts w:hint="eastAsia" w:hAnsi="楷体"/>
                <w:sz w:val="20"/>
              </w:rPr>
              <w:t>可转债退市整理期业务</w:t>
            </w:r>
            <w:r>
              <w:rPr>
                <w:rFonts w:hint="eastAsia" w:hAnsi="楷体_GB2312" w:cs="楷体_GB2312"/>
                <w:sz w:val="20"/>
              </w:rPr>
              <w:t>相关技术系统是否已</w:t>
            </w:r>
            <w:r>
              <w:rPr>
                <w:rFonts w:hint="eastAsia" w:hAnsi="楷体_GB2312" w:cs="楷体_GB2312"/>
                <w:sz w:val="20"/>
                <w:lang w:eastAsia="zh-CN"/>
              </w:rPr>
              <w:t>上线</w:t>
            </w:r>
          </w:p>
        </w:tc>
        <w:tc>
          <w:tcPr>
            <w:tcW w:w="6783" w:type="dxa"/>
            <w:gridSpan w:val="4"/>
            <w:tcBorders>
              <w:top w:val="single" w:color="auto" w:sz="4" w:space="0"/>
              <w:left w:val="nil"/>
              <w:bottom w:val="single" w:color="auto" w:sz="4" w:space="0"/>
              <w:right w:val="single" w:color="auto" w:sz="4" w:space="0"/>
            </w:tcBorders>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◎无需改造，已评估对现有系统无影响</w:t>
            </w:r>
          </w:p>
          <w:p>
            <w:pPr>
              <w:rPr>
                <w:rFonts w:hint="eastAsia" w:hAnsi="楷体_GB2312" w:eastAsia="楷体_GB2312" w:cs="楷体_GB2312"/>
                <w:sz w:val="20"/>
                <w:lang w:eastAsia="zh-CN"/>
              </w:rPr>
            </w:pPr>
            <w:r>
              <w:rPr>
                <w:rFonts w:hint="eastAsia" w:hAnsi="楷体_GB2312" w:cs="楷体_GB2312"/>
                <w:sz w:val="20"/>
              </w:rPr>
              <w:t>◎需要改造且技术系统已</w:t>
            </w:r>
            <w:r>
              <w:rPr>
                <w:rFonts w:hint="eastAsia" w:hAnsi="楷体_GB2312" w:cs="楷体_GB2312"/>
                <w:sz w:val="20"/>
                <w:lang w:eastAsia="zh-CN"/>
              </w:rPr>
              <w:t>上线</w:t>
            </w:r>
          </w:p>
          <w:p>
            <w:pPr>
              <w:rPr>
                <w:rFonts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________。深交所、结算公司技术系统上线后，已评估现有业务均可正常开展。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________。深交所、结算公司技术系统上线后，已评估现有业务</w:t>
            </w:r>
            <w:r>
              <w:rPr>
                <w:rFonts w:hint="eastAsia" w:hAnsi="楷体_GB2312" w:cs="楷体_GB2312"/>
                <w:b/>
                <w:sz w:val="20"/>
              </w:rPr>
              <w:t>无法</w:t>
            </w:r>
            <w:r>
              <w:rPr>
                <w:rFonts w:hint="eastAsia" w:hAnsi="楷体_GB2312" w:cs="楷体_GB2312"/>
                <w:sz w:val="20"/>
              </w:rPr>
              <w:t>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可转债退市整理期业务相关测试反馈</w:t>
            </w:r>
            <w:r>
              <w:rPr>
                <w:rFonts w:hint="eastAsia" w:ascii="楷体" w:hAnsi="楷体" w:eastAsia="楷体" w:cs="宋体"/>
                <w:b/>
                <w:kern w:val="0"/>
                <w:sz w:val="20"/>
              </w:rPr>
              <w:t>（行情服务商</w:t>
            </w:r>
            <w:r>
              <w:rPr>
                <w:rFonts w:hint="eastAsia" w:ascii="楷体" w:hAnsi="楷体" w:eastAsia="楷体" w:cs="宋体"/>
                <w:b/>
                <w:kern w:val="0"/>
                <w:sz w:val="20"/>
                <w:lang w:val="en-US" w:eastAsia="zh-CN"/>
              </w:rPr>
              <w:t>反馈1-3项</w:t>
            </w:r>
            <w:r>
              <w:rPr>
                <w:rFonts w:hint="eastAsia" w:ascii="楷体" w:hAnsi="楷体" w:eastAsia="楷体" w:cs="宋体"/>
                <w:b/>
                <w:kern w:val="0"/>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现货集中竞价交易业务参考信息cashauctionparams的接收与处理</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证券信息securities的接收与处理</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spacing w:beforeLines="0" w:afterLines="0"/>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ascii="楷体" w:hAnsi="楷体" w:eastAsia="楷体" w:cs="宋体"/>
                <w:color w:val="000000"/>
                <w:kern w:val="0"/>
                <w:sz w:val="20"/>
                <w:lang w:val="zh-CN"/>
              </w:rPr>
              <w:t>协议交易业务参考信息negotiationparams</w:t>
            </w:r>
            <w:r>
              <w:rPr>
                <w:rFonts w:hint="eastAsia" w:ascii="楷体" w:hAnsi="楷体" w:eastAsia="楷体" w:cs="宋体"/>
                <w:color w:val="000000"/>
                <w:kern w:val="0"/>
                <w:sz w:val="20"/>
              </w:rPr>
              <w:t>的接收与处理</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rPr>
              <w:t>可转债退市整理期匹配成交（现货集中竞价）业务的委托申报及成交回报</w:t>
            </w:r>
          </w:p>
        </w:tc>
        <w:tc>
          <w:tcPr>
            <w:tcW w:w="3402" w:type="dxa"/>
            <w:gridSpan w:val="2"/>
            <w:vAlign w:val="center"/>
          </w:tcPr>
          <w:p>
            <w:pPr>
              <w:widowControl/>
              <w:jc w:val="center"/>
              <w:rPr>
                <w:rFonts w:ascii="楷体" w:hAnsi="楷体" w:eastAsia="楷体" w:cs="宋体"/>
                <w:color w:val="000000"/>
                <w:kern w:val="0"/>
                <w:sz w:val="20"/>
                <w:highlight w:val="yellow"/>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b/>
                <w:bCs/>
                <w:color w:val="FF0000"/>
                <w:sz w:val="20"/>
              </w:rPr>
              <w:t>*</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rPr>
              <w:t>可转债匹配成交（现货集中竞价）业务的委托申报及成交回报</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rPr>
              <w:t>可转债退市整理期协商成交（协议交易）业务的委托申报及成交回报</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b/>
                <w:bCs/>
                <w:color w:val="FF0000"/>
                <w:sz w:val="20"/>
              </w:rPr>
              <w:t>*</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rPr>
              <w:t>可转债协商成交（协议交易）业务的委托申报及成交回报</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ascii="楷体" w:hAnsi="楷体" w:eastAsia="楷体" w:cs="宋体"/>
                <w:color w:val="000000"/>
                <w:kern w:val="0"/>
                <w:sz w:val="20"/>
                <w:lang w:val="en-US" w:eastAsia="zh-CN"/>
              </w:rPr>
              <w:t>可转债</w:t>
            </w:r>
            <w:r>
              <w:rPr>
                <w:rFonts w:hint="eastAsia" w:ascii="楷体" w:hAnsi="楷体" w:eastAsia="楷体" w:cs="宋体"/>
                <w:color w:val="000000"/>
                <w:kern w:val="0"/>
                <w:sz w:val="20"/>
              </w:rPr>
              <w:t>退市整理期</w:t>
            </w:r>
            <w:r>
              <w:rPr>
                <w:rFonts w:hint="eastAsia" w:ascii="楷体" w:hAnsi="楷体" w:eastAsia="楷体" w:cs="宋体"/>
                <w:color w:val="000000"/>
                <w:kern w:val="0"/>
                <w:sz w:val="20"/>
                <w:lang w:val="en-US" w:eastAsia="zh-CN"/>
              </w:rPr>
              <w:t>盘后定价成交（盘后定价大宗交易）</w:t>
            </w:r>
            <w:r>
              <w:rPr>
                <w:rFonts w:hint="eastAsia" w:ascii="楷体" w:hAnsi="楷体" w:eastAsia="楷体" w:cs="宋体"/>
                <w:color w:val="000000"/>
                <w:kern w:val="0"/>
                <w:sz w:val="20"/>
              </w:rPr>
              <w:t>业务的委托申报</w:t>
            </w:r>
            <w:r>
              <w:rPr>
                <w:rFonts w:hint="eastAsia" w:ascii="楷体" w:hAnsi="楷体" w:eastAsia="楷体" w:cs="宋体"/>
                <w:color w:val="000000"/>
                <w:kern w:val="0"/>
                <w:sz w:val="20"/>
                <w:lang w:val="en-US" w:eastAsia="zh-CN"/>
              </w:rPr>
              <w:t>及成交回报</w:t>
            </w:r>
          </w:p>
        </w:tc>
        <w:tc>
          <w:tcPr>
            <w:tcW w:w="3402" w:type="dxa"/>
            <w:gridSpan w:val="2"/>
            <w:vAlign w:val="center"/>
          </w:tcPr>
          <w:p>
            <w:pPr>
              <w:widowControl/>
              <w:jc w:val="center"/>
              <w:rPr>
                <w:rFonts w:hint="eastAsia" w:ascii="楷体" w:hAnsi="楷体" w:eastAsia="楷体" w:cs="宋体"/>
                <w:color w:val="000000"/>
                <w:kern w:val="0"/>
                <w:sz w:val="20"/>
                <w:highlight w:val="yellow"/>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lang w:val="en-US" w:eastAsia="zh-CN"/>
              </w:rPr>
              <w:t>可转债盘后定价成交（盘后定价大宗交易）</w:t>
            </w:r>
            <w:r>
              <w:rPr>
                <w:rFonts w:hint="eastAsia" w:ascii="楷体" w:hAnsi="楷体" w:eastAsia="楷体" w:cs="宋体"/>
                <w:color w:val="000000"/>
                <w:kern w:val="0"/>
                <w:sz w:val="20"/>
              </w:rPr>
              <w:t>业务的委托申报</w:t>
            </w:r>
            <w:r>
              <w:rPr>
                <w:rFonts w:hint="eastAsia" w:ascii="楷体" w:hAnsi="楷体" w:eastAsia="楷体" w:cs="宋体"/>
                <w:color w:val="000000"/>
                <w:kern w:val="0"/>
                <w:sz w:val="20"/>
                <w:lang w:val="en-US" w:eastAsia="zh-CN"/>
              </w:rPr>
              <w:t>及成交回报</w:t>
            </w:r>
          </w:p>
        </w:tc>
        <w:tc>
          <w:tcPr>
            <w:tcW w:w="3402" w:type="dxa"/>
            <w:gridSpan w:val="2"/>
            <w:vAlign w:val="center"/>
          </w:tcPr>
          <w:p>
            <w:pPr>
              <w:widowControl/>
              <w:jc w:val="center"/>
              <w:rPr>
                <w:rFonts w:hint="eastAsia" w:hAnsi="楷体_GB2312" w:cs="楷体_GB2312"/>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rPr>
            </w:pPr>
            <w:r>
              <w:rPr>
                <w:rFonts w:hint="eastAsia"/>
                <w:b/>
                <w:bCs/>
                <w:color w:val="FF0000"/>
                <w:sz w:val="20"/>
              </w:rPr>
              <w:t>*</w:t>
            </w:r>
            <w:r>
              <w:rPr>
                <w:rFonts w:hint="eastAsia" w:ascii="楷体" w:hAnsi="楷体" w:eastAsia="楷体" w:cs="宋体"/>
                <w:color w:val="000000"/>
                <w:kern w:val="0"/>
                <w:sz w:val="20"/>
                <w:lang w:val="en-US" w:eastAsia="zh-CN"/>
              </w:rPr>
              <w:t>（</w:t>
            </w:r>
            <w:r>
              <w:rPr>
                <w:rFonts w:hint="eastAsia" w:ascii="楷体" w:hAnsi="楷体" w:eastAsia="楷体" w:cs="宋体"/>
                <w:color w:val="000000"/>
                <w:kern w:val="0"/>
                <w:sz w:val="20"/>
              </w:rPr>
              <w:t>退市整理期</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lang w:val="en-US" w:eastAsia="zh-CN"/>
              </w:rPr>
              <w:t>）可转债转股业务的委托申报及成交回报</w:t>
            </w:r>
          </w:p>
        </w:tc>
        <w:tc>
          <w:tcPr>
            <w:tcW w:w="3402" w:type="dxa"/>
            <w:gridSpan w:val="2"/>
            <w:vAlign w:val="top"/>
          </w:tcPr>
          <w:p>
            <w:pPr>
              <w:widowControl/>
              <w:jc w:val="both"/>
              <w:rPr>
                <w:rFonts w:hint="eastAsia" w:hAnsi="楷体_GB2312" w:cs="楷体_GB2312"/>
                <w:kern w:val="0"/>
                <w:sz w:val="20"/>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lang w:val="en-US" w:eastAsia="zh-CN"/>
              </w:rPr>
              <w:t>（</w:t>
            </w:r>
            <w:r>
              <w:rPr>
                <w:rFonts w:hint="eastAsia" w:ascii="楷体" w:hAnsi="楷体" w:eastAsia="楷体" w:cs="宋体"/>
                <w:color w:val="000000"/>
                <w:kern w:val="0"/>
                <w:sz w:val="20"/>
              </w:rPr>
              <w:t>退市整理期</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lang w:val="en-US" w:eastAsia="zh-CN"/>
              </w:rPr>
              <w:t>）可转债回售业务的委托申报及成交回报</w:t>
            </w:r>
          </w:p>
        </w:tc>
        <w:tc>
          <w:tcPr>
            <w:tcW w:w="3402" w:type="dxa"/>
            <w:gridSpan w:val="2"/>
            <w:vAlign w:val="top"/>
          </w:tcPr>
          <w:p>
            <w:pPr>
              <w:widowControl/>
              <w:jc w:val="both"/>
              <w:rPr>
                <w:rFonts w:hint="eastAsia" w:ascii="楷体_GB2312" w:hAnsi="楷体_GB2312" w:eastAsia="楷体_GB2312" w:cs="楷体_GB2312"/>
                <w:kern w:val="0"/>
                <w:sz w:val="20"/>
                <w:lang w:val="en-US" w:eastAsia="zh-CN" w:bidi="ar-SA"/>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lang w:val="en-US" w:eastAsia="zh-CN"/>
              </w:rPr>
            </w:pPr>
            <w:r>
              <w:rPr>
                <w:rFonts w:hint="eastAsia" w:ascii="楷体" w:hAnsi="楷体" w:eastAsia="楷体" w:cs="宋体"/>
                <w:color w:val="000000"/>
                <w:kern w:val="0"/>
                <w:sz w:val="20"/>
                <w:lang w:val="en-US" w:eastAsia="zh-CN"/>
              </w:rPr>
              <w:t>（</w:t>
            </w:r>
            <w:r>
              <w:rPr>
                <w:rFonts w:hint="eastAsia" w:ascii="楷体" w:hAnsi="楷体" w:eastAsia="楷体" w:cs="宋体"/>
                <w:color w:val="000000"/>
                <w:kern w:val="0"/>
                <w:sz w:val="20"/>
              </w:rPr>
              <w:t>退市整理期</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lang w:val="en-US" w:eastAsia="zh-CN"/>
              </w:rPr>
              <w:t>）可转债转托管业务的委托申报及成交回报</w:t>
            </w:r>
          </w:p>
        </w:tc>
        <w:tc>
          <w:tcPr>
            <w:tcW w:w="3402" w:type="dxa"/>
            <w:gridSpan w:val="2"/>
            <w:vAlign w:val="top"/>
          </w:tcPr>
          <w:p>
            <w:pPr>
              <w:widowControl/>
              <w:jc w:val="both"/>
              <w:rPr>
                <w:rFonts w:hint="eastAsia" w:hAnsi="楷体_GB2312" w:cs="楷体_GB2312"/>
                <w:kern w:val="0"/>
                <w:sz w:val="20"/>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eastAsia="楷体"/>
                <w:b/>
                <w:bCs/>
                <w:color w:val="FF0000"/>
                <w:sz w:val="20"/>
                <w:lang w:val="en-US" w:eastAsia="zh-CN"/>
              </w:rPr>
            </w:pPr>
            <w:r>
              <w:rPr>
                <w:rFonts w:hint="eastAsia"/>
                <w:b/>
                <w:bCs/>
                <w:color w:val="FF0000"/>
                <w:sz w:val="20"/>
              </w:rPr>
              <w:t>*</w:t>
            </w:r>
            <w:r>
              <w:rPr>
                <w:rFonts w:hint="eastAsia" w:ascii="楷体" w:hAnsi="楷体" w:eastAsia="楷体" w:cs="宋体"/>
                <w:color w:val="000000"/>
                <w:kern w:val="0"/>
                <w:sz w:val="20"/>
              </w:rPr>
              <w:t>可转债退市整理期</w:t>
            </w:r>
            <w:r>
              <w:rPr>
                <w:rFonts w:hint="eastAsia" w:ascii="楷体" w:hAnsi="楷体" w:eastAsia="楷体" w:cs="宋体"/>
                <w:color w:val="000000"/>
                <w:kern w:val="0"/>
                <w:sz w:val="20"/>
                <w:lang w:val="en-US" w:eastAsia="zh-CN"/>
              </w:rPr>
              <w:t>投资者适当性管理</w:t>
            </w:r>
          </w:p>
        </w:tc>
        <w:tc>
          <w:tcPr>
            <w:tcW w:w="3402" w:type="dxa"/>
            <w:gridSpan w:val="2"/>
            <w:vAlign w:val="top"/>
          </w:tcPr>
          <w:p>
            <w:pPr>
              <w:widowControl/>
              <w:jc w:val="both"/>
              <w:rPr>
                <w:rFonts w:hint="eastAsia" w:ascii="楷体_GB2312" w:hAnsi="楷体_GB2312" w:eastAsia="楷体_GB2312" w:cs="楷体_GB2312"/>
                <w:kern w:val="0"/>
                <w:sz w:val="20"/>
                <w:lang w:val="en-US" w:eastAsia="zh-CN" w:bidi="ar-SA"/>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b/>
                <w:bCs/>
                <w:color w:val="FF0000"/>
                <w:sz w:val="20"/>
              </w:rPr>
              <w:t>*</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rPr>
              <w:t>可转债</w:t>
            </w:r>
            <w:r>
              <w:rPr>
                <w:rFonts w:hint="eastAsia" w:ascii="楷体" w:hAnsi="楷体" w:eastAsia="楷体" w:cs="宋体"/>
                <w:color w:val="000000"/>
                <w:kern w:val="0"/>
                <w:sz w:val="20"/>
                <w:lang w:val="en-US" w:eastAsia="zh-CN"/>
              </w:rPr>
              <w:t>投资者适当性管理</w:t>
            </w:r>
          </w:p>
        </w:tc>
        <w:tc>
          <w:tcPr>
            <w:tcW w:w="3402" w:type="dxa"/>
            <w:gridSpan w:val="2"/>
            <w:vAlign w:val="top"/>
          </w:tcPr>
          <w:p>
            <w:pPr>
              <w:widowControl/>
              <w:jc w:val="both"/>
              <w:rPr>
                <w:rFonts w:hint="eastAsia" w:cs="宋体"/>
                <w:color w:val="000000"/>
                <w:kern w:val="0"/>
                <w:sz w:val="20"/>
                <w:szCs w:val="20"/>
                <w:highlight w:val="none"/>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default" w:ascii="楷体" w:hAnsi="楷体" w:eastAsia="楷体" w:cs="宋体"/>
                <w:color w:val="000000"/>
                <w:kern w:val="0"/>
                <w:sz w:val="20"/>
                <w:lang w:val="en-US" w:eastAsia="zh-CN"/>
              </w:rPr>
            </w:pPr>
            <w:r>
              <w:rPr>
                <w:rFonts w:hint="eastAsia"/>
                <w:b/>
                <w:bCs/>
                <w:color w:val="FF0000"/>
                <w:sz w:val="20"/>
              </w:rPr>
              <w:t>*</w:t>
            </w:r>
            <w:r>
              <w:rPr>
                <w:rFonts w:hint="eastAsia" w:ascii="楷体" w:hAnsi="楷体" w:eastAsia="楷体" w:cs="宋体"/>
                <w:color w:val="000000"/>
                <w:kern w:val="0"/>
                <w:sz w:val="20"/>
              </w:rPr>
              <w:t>可转债退市整理期</w:t>
            </w:r>
            <w:r>
              <w:rPr>
                <w:rFonts w:hint="eastAsia" w:ascii="楷体" w:hAnsi="楷体" w:eastAsia="楷体" w:cs="宋体"/>
                <w:color w:val="000000"/>
                <w:kern w:val="0"/>
                <w:sz w:val="20"/>
                <w:lang w:val="en-US" w:eastAsia="zh-CN"/>
              </w:rPr>
              <w:t>交易、非交易业务的清算交收处理</w:t>
            </w:r>
          </w:p>
        </w:tc>
        <w:tc>
          <w:tcPr>
            <w:tcW w:w="3402" w:type="dxa"/>
            <w:gridSpan w:val="2"/>
            <w:vAlign w:val="top"/>
          </w:tcPr>
          <w:p>
            <w:pPr>
              <w:widowControl/>
              <w:jc w:val="both"/>
              <w:rPr>
                <w:rFonts w:hint="eastAsia" w:ascii="楷体_GB2312" w:hAnsi="楷体_GB2312" w:eastAsia="楷体_GB2312" w:cs="楷体_GB2312"/>
                <w:kern w:val="0"/>
                <w:sz w:val="20"/>
                <w:lang w:val="en-US" w:eastAsia="zh-CN" w:bidi="ar-SA"/>
              </w:rPr>
            </w:pPr>
            <w:r>
              <w:rPr>
                <w:rFonts w:hint="eastAsia" w:cs="宋体"/>
                <w:color w:val="000000"/>
                <w:kern w:val="0"/>
                <w:sz w:val="20"/>
                <w:szCs w:val="20"/>
                <w:highlight w:val="none"/>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b/>
                <w:bCs/>
                <w:color w:val="FF0000"/>
                <w:sz w:val="20"/>
              </w:rPr>
            </w:pPr>
            <w:r>
              <w:rPr>
                <w:rFonts w:hint="eastAsia"/>
                <w:b/>
                <w:bCs/>
                <w:color w:val="FF0000"/>
                <w:sz w:val="20"/>
              </w:rPr>
              <w:t>*</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rPr>
              <w:t>可转债</w:t>
            </w:r>
            <w:r>
              <w:rPr>
                <w:rFonts w:hint="eastAsia" w:ascii="楷体" w:hAnsi="楷体" w:eastAsia="楷体" w:cs="宋体"/>
                <w:color w:val="000000"/>
                <w:kern w:val="0"/>
                <w:sz w:val="20"/>
                <w:lang w:val="en-US" w:eastAsia="zh-CN"/>
              </w:rPr>
              <w:t>交易、非交易业务的清算交收处理</w:t>
            </w:r>
          </w:p>
        </w:tc>
        <w:tc>
          <w:tcPr>
            <w:tcW w:w="3402" w:type="dxa"/>
            <w:gridSpan w:val="2"/>
            <w:vAlign w:val="top"/>
          </w:tcPr>
          <w:p>
            <w:pPr>
              <w:widowControl/>
              <w:jc w:val="both"/>
              <w:rPr>
                <w:rFonts w:hint="eastAsia" w:cs="宋体"/>
                <w:color w:val="000000"/>
                <w:kern w:val="0"/>
                <w:sz w:val="20"/>
                <w:szCs w:val="20"/>
                <w:highlight w:val="none"/>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int="eastAsia"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default" w:eastAsia="楷体"/>
                <w:b/>
                <w:bCs/>
                <w:color w:val="FF0000"/>
                <w:sz w:val="20"/>
                <w:lang w:val="en-US" w:eastAsia="zh-CN"/>
              </w:rPr>
            </w:pPr>
            <w:r>
              <w:rPr>
                <w:rFonts w:hint="eastAsia"/>
                <w:b/>
                <w:bCs/>
                <w:color w:val="FF0000"/>
                <w:sz w:val="20"/>
              </w:rPr>
              <w:t>*</w:t>
            </w:r>
            <w:r>
              <w:rPr>
                <w:rFonts w:hint="eastAsia" w:ascii="楷体" w:hAnsi="楷体" w:eastAsia="楷体" w:cs="宋体"/>
                <w:color w:val="000000"/>
                <w:kern w:val="0"/>
                <w:sz w:val="20"/>
              </w:rPr>
              <w:t>可转债退市整理期的</w:t>
            </w:r>
            <w:r>
              <w:rPr>
                <w:rFonts w:hint="eastAsia" w:ascii="楷体" w:hAnsi="楷体" w:eastAsia="楷体" w:cs="宋体"/>
                <w:color w:val="000000"/>
                <w:kern w:val="0"/>
                <w:sz w:val="20"/>
                <w:lang w:eastAsia="zh-CN"/>
              </w:rPr>
              <w:t>行情接</w:t>
            </w:r>
            <w:r>
              <w:rPr>
                <w:rFonts w:hint="eastAsia" w:ascii="楷体" w:hAnsi="楷体" w:eastAsia="楷体" w:cs="宋体"/>
                <w:color w:val="000000"/>
                <w:kern w:val="0"/>
                <w:sz w:val="20"/>
                <w:lang w:val="en-US" w:eastAsia="zh-CN"/>
              </w:rPr>
              <w:t>收和处理</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b/>
                <w:bCs/>
                <w:color w:val="FF0000"/>
                <w:sz w:val="20"/>
              </w:rPr>
              <w:t>*</w:t>
            </w:r>
            <w:r>
              <w:rPr>
                <w:rFonts w:hint="eastAsia" w:ascii="楷体" w:hAnsi="楷体" w:eastAsia="楷体" w:cs="宋体"/>
                <w:color w:val="000000"/>
                <w:kern w:val="0"/>
                <w:sz w:val="20"/>
                <w:lang w:eastAsia="zh-CN"/>
              </w:rPr>
              <w:t>正常状态</w:t>
            </w:r>
            <w:r>
              <w:rPr>
                <w:rFonts w:hint="eastAsia" w:ascii="楷体" w:hAnsi="楷体" w:eastAsia="楷体" w:cs="宋体"/>
                <w:color w:val="000000"/>
                <w:kern w:val="0"/>
                <w:sz w:val="20"/>
              </w:rPr>
              <w:t>可转债的</w:t>
            </w:r>
            <w:r>
              <w:rPr>
                <w:rFonts w:hint="eastAsia" w:ascii="楷体" w:hAnsi="楷体" w:eastAsia="楷体" w:cs="宋体"/>
                <w:color w:val="000000"/>
                <w:kern w:val="0"/>
                <w:sz w:val="20"/>
                <w:lang w:eastAsia="zh-CN"/>
              </w:rPr>
              <w:t>行情接</w:t>
            </w:r>
            <w:r>
              <w:rPr>
                <w:rFonts w:hint="eastAsia" w:ascii="楷体" w:hAnsi="楷体" w:eastAsia="楷体" w:cs="宋体"/>
                <w:color w:val="000000"/>
                <w:kern w:val="0"/>
                <w:sz w:val="20"/>
                <w:lang w:val="en-US" w:eastAsia="zh-CN"/>
              </w:rPr>
              <w:t>收和处理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Times New Roman" w:hAnsi="Times New Roman" w:eastAsia="宋体" w:cs="宋体"/>
                <w:color w:val="000000"/>
                <w:kern w:val="0"/>
                <w:sz w:val="20"/>
                <w:szCs w:val="20"/>
                <w:highlight w:val="none"/>
                <w:lang w:val="en-US" w:eastAsia="zh-CN" w:bidi="ar-SA"/>
              </w:rPr>
            </w:pPr>
            <w:r>
              <w:rPr>
                <w:rFonts w:hint="eastAsia"/>
                <w:b/>
                <w:bCs/>
                <w:color w:val="FF0000"/>
                <w:sz w:val="20"/>
              </w:rPr>
              <w:t>*</w:t>
            </w:r>
            <w:r>
              <w:rPr>
                <w:rFonts w:hint="eastAsia" w:cs="宋体"/>
                <w:color w:val="000000"/>
                <w:kern w:val="0"/>
                <w:sz w:val="20"/>
                <w:szCs w:val="20"/>
                <w:highlight w:val="none"/>
                <w:lang w:val="en-US" w:eastAsia="zh-CN"/>
              </w:rPr>
              <w:t>可转债自动临时停牌公告的接收和处理</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_GB2312" w:hAnsi="楷体_GB2312" w:eastAsia="楷体_GB2312" w:cs="楷体_GB2312"/>
                <w:color w:val="000000"/>
                <w:kern w:val="0"/>
                <w:sz w:val="20"/>
                <w:szCs w:val="24"/>
                <w:lang w:val="en-US" w:eastAsia="zh-CN" w:bidi="ar-SA"/>
              </w:rPr>
            </w:pPr>
            <w:r>
              <w:rPr>
                <w:rFonts w:hint="eastAsia" w:ascii="楷体_GB2312" w:hAnsi="楷体_GB2312" w:eastAsia="楷体_GB2312" w:cs="楷体_GB2312"/>
                <w:color w:val="000000"/>
                <w:kern w:val="0"/>
                <w:sz w:val="20"/>
                <w:lang w:eastAsia="zh-CN"/>
              </w:rPr>
              <w:t>国际市场互联</w:t>
            </w:r>
            <w:r>
              <w:rPr>
                <w:rFonts w:hint="eastAsia" w:ascii="楷体_GB2312" w:hAnsi="楷体_GB2312" w:eastAsia="楷体_GB2312" w:cs="楷体_GB2312"/>
                <w:color w:val="000000"/>
                <w:kern w:val="0"/>
                <w:sz w:val="20"/>
              </w:rPr>
              <w:t>平台相关业务的委托申报与成交回报</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9"/>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lang w:eastAsia="zh-CN"/>
              </w:rPr>
            </w:pPr>
            <w:r>
              <w:rPr>
                <w:rFonts w:hint="eastAsia" w:ascii="楷体" w:hAnsi="楷体" w:eastAsia="楷体" w:cs="宋体"/>
                <w:color w:val="000000"/>
                <w:kern w:val="0"/>
                <w:sz w:val="20"/>
              </w:rPr>
              <w:t>接收并处理各平台成交汇总文件</w:t>
            </w:r>
            <w:r>
              <w:rPr>
                <w:rFonts w:hint="eastAsia" w:ascii="楷体" w:hAnsi="楷体" w:eastAsia="楷体" w:cs="宋体"/>
                <w:color w:val="000000"/>
                <w:kern w:val="0"/>
                <w:sz w:val="20"/>
                <w:lang w:eastAsia="zh-CN"/>
              </w:rPr>
              <w:tab/>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1">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3">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5">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6">
    <w:nsid w:val="64D1027A"/>
    <w:multiLevelType w:val="multilevel"/>
    <w:tmpl w:val="64D1027A"/>
    <w:lvl w:ilvl="0" w:tentative="0">
      <w:start w:val="1"/>
      <w:numFmt w:val="decimal"/>
      <w:lvlText w:val="%1."/>
      <w:lvlJc w:val="left"/>
      <w:pPr>
        <w:tabs>
          <w:tab w:val="left" w:pos="420"/>
        </w:tabs>
        <w:ind w:left="760" w:hanging="420"/>
      </w:pPr>
    </w:lvl>
    <w:lvl w:ilvl="1" w:tentative="0">
      <w:start w:val="1"/>
      <w:numFmt w:val="lowerLetter"/>
      <w:lvlText w:val="%2)"/>
      <w:lvlJc w:val="left"/>
      <w:pPr>
        <w:tabs>
          <w:tab w:val="left" w:pos="840"/>
        </w:tabs>
        <w:ind w:left="1180" w:hanging="420"/>
      </w:pPr>
    </w:lvl>
    <w:lvl w:ilvl="2" w:tentative="0">
      <w:start w:val="1"/>
      <w:numFmt w:val="lowerRoman"/>
      <w:lvlText w:val="%3."/>
      <w:lvlJc w:val="right"/>
      <w:pPr>
        <w:tabs>
          <w:tab w:val="left" w:pos="1260"/>
        </w:tabs>
        <w:ind w:left="1600" w:hanging="420"/>
      </w:pPr>
    </w:lvl>
    <w:lvl w:ilvl="3" w:tentative="0">
      <w:start w:val="1"/>
      <w:numFmt w:val="decimal"/>
      <w:lvlText w:val="%4."/>
      <w:lvlJc w:val="left"/>
      <w:pPr>
        <w:tabs>
          <w:tab w:val="left" w:pos="1680"/>
        </w:tabs>
        <w:ind w:left="2020" w:hanging="420"/>
      </w:pPr>
    </w:lvl>
    <w:lvl w:ilvl="4" w:tentative="0">
      <w:start w:val="1"/>
      <w:numFmt w:val="lowerLetter"/>
      <w:lvlText w:val="%5)"/>
      <w:lvlJc w:val="left"/>
      <w:pPr>
        <w:tabs>
          <w:tab w:val="left" w:pos="2100"/>
        </w:tabs>
        <w:ind w:left="2440" w:hanging="420"/>
      </w:pPr>
    </w:lvl>
    <w:lvl w:ilvl="5" w:tentative="0">
      <w:start w:val="1"/>
      <w:numFmt w:val="lowerRoman"/>
      <w:lvlText w:val="%6."/>
      <w:lvlJc w:val="right"/>
      <w:pPr>
        <w:tabs>
          <w:tab w:val="left" w:pos="2520"/>
        </w:tabs>
        <w:ind w:left="2860" w:hanging="420"/>
      </w:pPr>
    </w:lvl>
    <w:lvl w:ilvl="6" w:tentative="0">
      <w:start w:val="1"/>
      <w:numFmt w:val="decimal"/>
      <w:lvlText w:val="%7."/>
      <w:lvlJc w:val="left"/>
      <w:pPr>
        <w:tabs>
          <w:tab w:val="left" w:pos="2940"/>
        </w:tabs>
        <w:ind w:left="3280" w:hanging="420"/>
      </w:pPr>
    </w:lvl>
    <w:lvl w:ilvl="7" w:tentative="0">
      <w:start w:val="1"/>
      <w:numFmt w:val="lowerLetter"/>
      <w:lvlText w:val="%8)"/>
      <w:lvlJc w:val="left"/>
      <w:pPr>
        <w:tabs>
          <w:tab w:val="left" w:pos="3360"/>
        </w:tabs>
        <w:ind w:left="3700" w:hanging="420"/>
      </w:pPr>
    </w:lvl>
    <w:lvl w:ilvl="8" w:tentative="0">
      <w:start w:val="1"/>
      <w:numFmt w:val="lowerRoman"/>
      <w:lvlText w:val="%9."/>
      <w:lvlJc w:val="right"/>
      <w:pPr>
        <w:tabs>
          <w:tab w:val="left" w:pos="3780"/>
        </w:tabs>
        <w:ind w:left="4120" w:hanging="420"/>
      </w:pPr>
    </w:lvl>
  </w:abstractNum>
  <w:abstractNum w:abstractNumId="7">
    <w:nsid w:val="79582A73"/>
    <w:multiLevelType w:val="singleLevel"/>
    <w:tmpl w:val="79582A73"/>
    <w:lvl w:ilvl="0" w:tentative="0">
      <w:start w:val="1"/>
      <w:numFmt w:val="decimal"/>
      <w:suff w:val="nothing"/>
      <w:lvlText w:val="（%1）"/>
      <w:lvlJc w:val="left"/>
      <w:pPr>
        <w:ind w:left="490"/>
      </w:pPr>
      <w:rPr>
        <w:rFonts w:hint="default"/>
        <w:b w:val="0"/>
        <w:bCs w:val="0"/>
        <w:color w:val="auto"/>
      </w:rPr>
    </w:lvl>
  </w:abstractNum>
  <w:num w:numId="1">
    <w:abstractNumId w:val="2"/>
  </w:num>
  <w:num w:numId="2">
    <w:abstractNumId w:val="6"/>
  </w:num>
  <w:num w:numId="3">
    <w:abstractNumId w:val="0"/>
  </w:num>
  <w:num w:numId="4">
    <w:abstractNumId w:val="7"/>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39C"/>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BE3C9E"/>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B7221"/>
    <w:rsid w:val="02CE7923"/>
    <w:rsid w:val="02DD08C5"/>
    <w:rsid w:val="02E11EA5"/>
    <w:rsid w:val="02EE65A7"/>
    <w:rsid w:val="02F56E71"/>
    <w:rsid w:val="031614CE"/>
    <w:rsid w:val="03163115"/>
    <w:rsid w:val="031E1229"/>
    <w:rsid w:val="032A22DA"/>
    <w:rsid w:val="03413055"/>
    <w:rsid w:val="03652CA2"/>
    <w:rsid w:val="036C6DAA"/>
    <w:rsid w:val="036D6942"/>
    <w:rsid w:val="03740DE1"/>
    <w:rsid w:val="038F118E"/>
    <w:rsid w:val="03994471"/>
    <w:rsid w:val="03BE24C7"/>
    <w:rsid w:val="03CA4D95"/>
    <w:rsid w:val="03D40D58"/>
    <w:rsid w:val="03DE10F9"/>
    <w:rsid w:val="03EF2EEF"/>
    <w:rsid w:val="04063FE1"/>
    <w:rsid w:val="041C7221"/>
    <w:rsid w:val="042B0470"/>
    <w:rsid w:val="042D2398"/>
    <w:rsid w:val="04361CF6"/>
    <w:rsid w:val="04402907"/>
    <w:rsid w:val="04780EF9"/>
    <w:rsid w:val="04914B02"/>
    <w:rsid w:val="04A775D4"/>
    <w:rsid w:val="04A92701"/>
    <w:rsid w:val="04AD56A5"/>
    <w:rsid w:val="04B37BA5"/>
    <w:rsid w:val="04C60576"/>
    <w:rsid w:val="04F5755C"/>
    <w:rsid w:val="052A3888"/>
    <w:rsid w:val="052B1309"/>
    <w:rsid w:val="052D2E12"/>
    <w:rsid w:val="052F619C"/>
    <w:rsid w:val="053C70C4"/>
    <w:rsid w:val="054B4C33"/>
    <w:rsid w:val="0550176B"/>
    <w:rsid w:val="05542D26"/>
    <w:rsid w:val="055A0936"/>
    <w:rsid w:val="057D6F2B"/>
    <w:rsid w:val="05821D18"/>
    <w:rsid w:val="05833E73"/>
    <w:rsid w:val="0590322C"/>
    <w:rsid w:val="059E6F5E"/>
    <w:rsid w:val="05CC7F10"/>
    <w:rsid w:val="05D92ECD"/>
    <w:rsid w:val="05DF20B2"/>
    <w:rsid w:val="060C32BF"/>
    <w:rsid w:val="060F6307"/>
    <w:rsid w:val="0619570F"/>
    <w:rsid w:val="062338B2"/>
    <w:rsid w:val="06265C73"/>
    <w:rsid w:val="06387666"/>
    <w:rsid w:val="065345EF"/>
    <w:rsid w:val="065A2E3C"/>
    <w:rsid w:val="06676354"/>
    <w:rsid w:val="06A2743B"/>
    <w:rsid w:val="06A5297F"/>
    <w:rsid w:val="06A55B12"/>
    <w:rsid w:val="06C078D8"/>
    <w:rsid w:val="06F523E1"/>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42580"/>
    <w:rsid w:val="0A5605A2"/>
    <w:rsid w:val="0A5A7C08"/>
    <w:rsid w:val="0A60531E"/>
    <w:rsid w:val="0A7F0E46"/>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03916"/>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233D3"/>
    <w:rsid w:val="13162160"/>
    <w:rsid w:val="131C7703"/>
    <w:rsid w:val="132C272D"/>
    <w:rsid w:val="13367949"/>
    <w:rsid w:val="135A78BC"/>
    <w:rsid w:val="135E1DFD"/>
    <w:rsid w:val="13605533"/>
    <w:rsid w:val="1363532F"/>
    <w:rsid w:val="13753F2D"/>
    <w:rsid w:val="13823623"/>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D1678"/>
    <w:rsid w:val="14A84FD4"/>
    <w:rsid w:val="14BA79FC"/>
    <w:rsid w:val="14BF227E"/>
    <w:rsid w:val="14C57522"/>
    <w:rsid w:val="14E02FB8"/>
    <w:rsid w:val="14F77668"/>
    <w:rsid w:val="15023451"/>
    <w:rsid w:val="150819F2"/>
    <w:rsid w:val="15143747"/>
    <w:rsid w:val="151505A6"/>
    <w:rsid w:val="151A457F"/>
    <w:rsid w:val="151D27FC"/>
    <w:rsid w:val="152B7105"/>
    <w:rsid w:val="15512989"/>
    <w:rsid w:val="15594455"/>
    <w:rsid w:val="156D4BAB"/>
    <w:rsid w:val="15767F10"/>
    <w:rsid w:val="15822045"/>
    <w:rsid w:val="15896B57"/>
    <w:rsid w:val="15A87015"/>
    <w:rsid w:val="15E73CAB"/>
    <w:rsid w:val="15F41F95"/>
    <w:rsid w:val="15F80BAA"/>
    <w:rsid w:val="15FE0ECE"/>
    <w:rsid w:val="15FF679C"/>
    <w:rsid w:val="1610088E"/>
    <w:rsid w:val="161330D0"/>
    <w:rsid w:val="161359E4"/>
    <w:rsid w:val="162723E1"/>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1B3084"/>
    <w:rsid w:val="171C6157"/>
    <w:rsid w:val="17277B54"/>
    <w:rsid w:val="172D1EFE"/>
    <w:rsid w:val="173D4823"/>
    <w:rsid w:val="173E162A"/>
    <w:rsid w:val="174C0270"/>
    <w:rsid w:val="17667170"/>
    <w:rsid w:val="176A0AF3"/>
    <w:rsid w:val="177C6745"/>
    <w:rsid w:val="177D4640"/>
    <w:rsid w:val="177E0356"/>
    <w:rsid w:val="1784588D"/>
    <w:rsid w:val="1799781F"/>
    <w:rsid w:val="179A6E4A"/>
    <w:rsid w:val="17A35DD9"/>
    <w:rsid w:val="17A62098"/>
    <w:rsid w:val="17B95D08"/>
    <w:rsid w:val="17CD6238"/>
    <w:rsid w:val="17CE02F4"/>
    <w:rsid w:val="17D50965"/>
    <w:rsid w:val="181C77B5"/>
    <w:rsid w:val="181C7E73"/>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04137"/>
    <w:rsid w:val="19786AB4"/>
    <w:rsid w:val="197C3252"/>
    <w:rsid w:val="197D4B08"/>
    <w:rsid w:val="198312AC"/>
    <w:rsid w:val="198F42C2"/>
    <w:rsid w:val="198F6607"/>
    <w:rsid w:val="19946D61"/>
    <w:rsid w:val="199975A1"/>
    <w:rsid w:val="199F5196"/>
    <w:rsid w:val="19B1636F"/>
    <w:rsid w:val="19B21C39"/>
    <w:rsid w:val="19B32620"/>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AD0354"/>
    <w:rsid w:val="1BB50BF6"/>
    <w:rsid w:val="1BB9141E"/>
    <w:rsid w:val="1BC13C6A"/>
    <w:rsid w:val="1BDA6E4C"/>
    <w:rsid w:val="1BE42072"/>
    <w:rsid w:val="1C0C71B1"/>
    <w:rsid w:val="1C187CC5"/>
    <w:rsid w:val="1C1D317C"/>
    <w:rsid w:val="1C1E60D8"/>
    <w:rsid w:val="1C321CEA"/>
    <w:rsid w:val="1C390B8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0A51B3"/>
    <w:rsid w:val="1D261670"/>
    <w:rsid w:val="1D293562"/>
    <w:rsid w:val="1D2B6712"/>
    <w:rsid w:val="1D41206F"/>
    <w:rsid w:val="1D430342"/>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8F0915"/>
    <w:rsid w:val="1F935219"/>
    <w:rsid w:val="1FA57D0A"/>
    <w:rsid w:val="1FA61C49"/>
    <w:rsid w:val="1FC92E4F"/>
    <w:rsid w:val="1FD2008D"/>
    <w:rsid w:val="1FDF1459"/>
    <w:rsid w:val="1FE10EDF"/>
    <w:rsid w:val="1FE70053"/>
    <w:rsid w:val="1FFC6F85"/>
    <w:rsid w:val="202255CA"/>
    <w:rsid w:val="203A086E"/>
    <w:rsid w:val="20431FBF"/>
    <w:rsid w:val="206F76D1"/>
    <w:rsid w:val="20781843"/>
    <w:rsid w:val="2091561C"/>
    <w:rsid w:val="209D0D2C"/>
    <w:rsid w:val="20A11725"/>
    <w:rsid w:val="20A25ED8"/>
    <w:rsid w:val="20AB6D46"/>
    <w:rsid w:val="20B308A1"/>
    <w:rsid w:val="20B97221"/>
    <w:rsid w:val="20D73BEF"/>
    <w:rsid w:val="20DA0168"/>
    <w:rsid w:val="21202A9F"/>
    <w:rsid w:val="21225CC6"/>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81797"/>
    <w:rsid w:val="237C3DA7"/>
    <w:rsid w:val="23A5494B"/>
    <w:rsid w:val="23A7217C"/>
    <w:rsid w:val="23AD1BD5"/>
    <w:rsid w:val="23AF5512"/>
    <w:rsid w:val="23C60123"/>
    <w:rsid w:val="23CE56A6"/>
    <w:rsid w:val="23F93CD0"/>
    <w:rsid w:val="24024816"/>
    <w:rsid w:val="24046497"/>
    <w:rsid w:val="24100DC1"/>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3C4368"/>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847A9B"/>
    <w:rsid w:val="25905FC6"/>
    <w:rsid w:val="25965D4B"/>
    <w:rsid w:val="25A53AC0"/>
    <w:rsid w:val="25DE276F"/>
    <w:rsid w:val="25E418BA"/>
    <w:rsid w:val="25EC6622"/>
    <w:rsid w:val="26093577"/>
    <w:rsid w:val="260D5DD5"/>
    <w:rsid w:val="2614529A"/>
    <w:rsid w:val="26241050"/>
    <w:rsid w:val="26317E01"/>
    <w:rsid w:val="26641479"/>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583B5D"/>
    <w:rsid w:val="286D0883"/>
    <w:rsid w:val="2893739E"/>
    <w:rsid w:val="28A3453A"/>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1E71B6"/>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2E552D"/>
    <w:rsid w:val="2D49332C"/>
    <w:rsid w:val="2D4B4194"/>
    <w:rsid w:val="2D6C64CF"/>
    <w:rsid w:val="2D6F1828"/>
    <w:rsid w:val="2D805224"/>
    <w:rsid w:val="2D836CA7"/>
    <w:rsid w:val="2D9A5493"/>
    <w:rsid w:val="2DA828DA"/>
    <w:rsid w:val="2DB70FC3"/>
    <w:rsid w:val="2DD37B96"/>
    <w:rsid w:val="2DDB0EC9"/>
    <w:rsid w:val="2DDB79C4"/>
    <w:rsid w:val="2DE06954"/>
    <w:rsid w:val="2DEA7709"/>
    <w:rsid w:val="2DF11F7F"/>
    <w:rsid w:val="2E03680A"/>
    <w:rsid w:val="2E074793"/>
    <w:rsid w:val="2E4375F4"/>
    <w:rsid w:val="2E4C7699"/>
    <w:rsid w:val="2E4E5CF5"/>
    <w:rsid w:val="2E517647"/>
    <w:rsid w:val="2E77446F"/>
    <w:rsid w:val="2E7D38E8"/>
    <w:rsid w:val="2EA9484A"/>
    <w:rsid w:val="2EAB4DB9"/>
    <w:rsid w:val="2EC47C2B"/>
    <w:rsid w:val="2EC6434A"/>
    <w:rsid w:val="2ED45EBC"/>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BA6D61"/>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10BD3"/>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30D2B"/>
    <w:rsid w:val="322A2AC0"/>
    <w:rsid w:val="326D42CE"/>
    <w:rsid w:val="326F3E4B"/>
    <w:rsid w:val="3286142E"/>
    <w:rsid w:val="329D6F19"/>
    <w:rsid w:val="32AF4AEC"/>
    <w:rsid w:val="32B37FBF"/>
    <w:rsid w:val="32C70E6A"/>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5F270D"/>
    <w:rsid w:val="3571067D"/>
    <w:rsid w:val="3584576E"/>
    <w:rsid w:val="35893B0B"/>
    <w:rsid w:val="35A23E5D"/>
    <w:rsid w:val="35C464CA"/>
    <w:rsid w:val="35E8113F"/>
    <w:rsid w:val="35FD5922"/>
    <w:rsid w:val="360C034F"/>
    <w:rsid w:val="36761E29"/>
    <w:rsid w:val="36794245"/>
    <w:rsid w:val="36814EFF"/>
    <w:rsid w:val="368A62E3"/>
    <w:rsid w:val="369210DE"/>
    <w:rsid w:val="36954BBD"/>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A27A5"/>
    <w:rsid w:val="396B2F42"/>
    <w:rsid w:val="397A30CF"/>
    <w:rsid w:val="397C3770"/>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D3E1B"/>
    <w:rsid w:val="3A9800AE"/>
    <w:rsid w:val="3A9A3A5A"/>
    <w:rsid w:val="3A9D3BAE"/>
    <w:rsid w:val="3AB62744"/>
    <w:rsid w:val="3AB84DB4"/>
    <w:rsid w:val="3AC15D50"/>
    <w:rsid w:val="3ACE14FD"/>
    <w:rsid w:val="3AD65514"/>
    <w:rsid w:val="3ADB3C2C"/>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26D74"/>
    <w:rsid w:val="3C943EB3"/>
    <w:rsid w:val="3CA149F0"/>
    <w:rsid w:val="3CB62ACB"/>
    <w:rsid w:val="3CC173D0"/>
    <w:rsid w:val="3CD23884"/>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C5D64"/>
    <w:rsid w:val="3E4E2EF3"/>
    <w:rsid w:val="3E671725"/>
    <w:rsid w:val="3E6A42BD"/>
    <w:rsid w:val="3E772188"/>
    <w:rsid w:val="3E7C14F9"/>
    <w:rsid w:val="3E912D31"/>
    <w:rsid w:val="3EB018B2"/>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16FF9"/>
    <w:rsid w:val="42ED4EC4"/>
    <w:rsid w:val="42ED5B59"/>
    <w:rsid w:val="42F23148"/>
    <w:rsid w:val="431607FB"/>
    <w:rsid w:val="432C043C"/>
    <w:rsid w:val="43394D37"/>
    <w:rsid w:val="433B2643"/>
    <w:rsid w:val="43483860"/>
    <w:rsid w:val="434F0B77"/>
    <w:rsid w:val="4351367F"/>
    <w:rsid w:val="43551D15"/>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A2F7C"/>
    <w:rsid w:val="44CB6305"/>
    <w:rsid w:val="44E90F29"/>
    <w:rsid w:val="44E97F15"/>
    <w:rsid w:val="44F97F66"/>
    <w:rsid w:val="45051B04"/>
    <w:rsid w:val="45107FB9"/>
    <w:rsid w:val="4523357B"/>
    <w:rsid w:val="45316114"/>
    <w:rsid w:val="4534481C"/>
    <w:rsid w:val="454469F9"/>
    <w:rsid w:val="45500C9E"/>
    <w:rsid w:val="45501B97"/>
    <w:rsid w:val="455E0396"/>
    <w:rsid w:val="45643158"/>
    <w:rsid w:val="45704895"/>
    <w:rsid w:val="45764F95"/>
    <w:rsid w:val="457A148F"/>
    <w:rsid w:val="45844073"/>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AC49D3"/>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728CF"/>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CD6548"/>
    <w:rsid w:val="4ADC085D"/>
    <w:rsid w:val="4ADF1400"/>
    <w:rsid w:val="4AF6728D"/>
    <w:rsid w:val="4AF9400F"/>
    <w:rsid w:val="4B360D4E"/>
    <w:rsid w:val="4B3B1EFC"/>
    <w:rsid w:val="4B3C24D4"/>
    <w:rsid w:val="4B4158E7"/>
    <w:rsid w:val="4B4675BC"/>
    <w:rsid w:val="4B4F5E83"/>
    <w:rsid w:val="4B555E6A"/>
    <w:rsid w:val="4B584A81"/>
    <w:rsid w:val="4BB65FA3"/>
    <w:rsid w:val="4BB970E7"/>
    <w:rsid w:val="4BC230D9"/>
    <w:rsid w:val="4BCE49FB"/>
    <w:rsid w:val="4BD146C3"/>
    <w:rsid w:val="4BEC31B7"/>
    <w:rsid w:val="4BF01A79"/>
    <w:rsid w:val="4C0F7955"/>
    <w:rsid w:val="4C160148"/>
    <w:rsid w:val="4C1823F9"/>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9F1EC7"/>
    <w:rsid w:val="4DCC56D3"/>
    <w:rsid w:val="4DCD7164"/>
    <w:rsid w:val="4DD362F4"/>
    <w:rsid w:val="4DE97EFD"/>
    <w:rsid w:val="4E13750E"/>
    <w:rsid w:val="4E2F04E0"/>
    <w:rsid w:val="4E6E3FBD"/>
    <w:rsid w:val="4E7D54D1"/>
    <w:rsid w:val="4E811839"/>
    <w:rsid w:val="4E886CF6"/>
    <w:rsid w:val="4E950E73"/>
    <w:rsid w:val="4E966219"/>
    <w:rsid w:val="4EAC60B4"/>
    <w:rsid w:val="4EB9262C"/>
    <w:rsid w:val="4EC1071B"/>
    <w:rsid w:val="4EDB28AC"/>
    <w:rsid w:val="4EEC3808"/>
    <w:rsid w:val="4EF460F6"/>
    <w:rsid w:val="4EF64306"/>
    <w:rsid w:val="4F006F0A"/>
    <w:rsid w:val="4F026F7F"/>
    <w:rsid w:val="4F1F027E"/>
    <w:rsid w:val="4F1F055D"/>
    <w:rsid w:val="4F3B5999"/>
    <w:rsid w:val="4F4B738B"/>
    <w:rsid w:val="4F660CD1"/>
    <w:rsid w:val="4F8C68D4"/>
    <w:rsid w:val="4F8F3DC3"/>
    <w:rsid w:val="4FB26B28"/>
    <w:rsid w:val="4FB50428"/>
    <w:rsid w:val="4FB542D4"/>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41C33"/>
    <w:rsid w:val="50F62307"/>
    <w:rsid w:val="50FC6E7E"/>
    <w:rsid w:val="51171EC6"/>
    <w:rsid w:val="511E5A4C"/>
    <w:rsid w:val="51207E27"/>
    <w:rsid w:val="51400981"/>
    <w:rsid w:val="514109A6"/>
    <w:rsid w:val="51472B45"/>
    <w:rsid w:val="51564440"/>
    <w:rsid w:val="51635294"/>
    <w:rsid w:val="51744E62"/>
    <w:rsid w:val="5174646D"/>
    <w:rsid w:val="51785B9E"/>
    <w:rsid w:val="51880281"/>
    <w:rsid w:val="518E4D45"/>
    <w:rsid w:val="51944665"/>
    <w:rsid w:val="519D6372"/>
    <w:rsid w:val="51A9549E"/>
    <w:rsid w:val="51AA1F93"/>
    <w:rsid w:val="51B40AD7"/>
    <w:rsid w:val="51CF7E46"/>
    <w:rsid w:val="51D15047"/>
    <w:rsid w:val="51E342F0"/>
    <w:rsid w:val="51F837D1"/>
    <w:rsid w:val="520603DE"/>
    <w:rsid w:val="522105B9"/>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4459D"/>
    <w:rsid w:val="53FA1BF4"/>
    <w:rsid w:val="54076A65"/>
    <w:rsid w:val="542078EF"/>
    <w:rsid w:val="542742CB"/>
    <w:rsid w:val="543B00DA"/>
    <w:rsid w:val="54505A70"/>
    <w:rsid w:val="546B34F8"/>
    <w:rsid w:val="54776EC7"/>
    <w:rsid w:val="548549A1"/>
    <w:rsid w:val="54964F42"/>
    <w:rsid w:val="549A1F19"/>
    <w:rsid w:val="54AA04FA"/>
    <w:rsid w:val="54BB6290"/>
    <w:rsid w:val="54C039E5"/>
    <w:rsid w:val="54DD1EEC"/>
    <w:rsid w:val="54E2491B"/>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953C9B"/>
    <w:rsid w:val="56A0764A"/>
    <w:rsid w:val="56AE318E"/>
    <w:rsid w:val="56B0373D"/>
    <w:rsid w:val="56BB095D"/>
    <w:rsid w:val="56BD3C40"/>
    <w:rsid w:val="56C7110A"/>
    <w:rsid w:val="56D107A8"/>
    <w:rsid w:val="56DC178D"/>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9F861A7"/>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85246"/>
    <w:rsid w:val="5ACB7804"/>
    <w:rsid w:val="5AD0745D"/>
    <w:rsid w:val="5AD3367F"/>
    <w:rsid w:val="5AD84F59"/>
    <w:rsid w:val="5ADF7263"/>
    <w:rsid w:val="5AEC0966"/>
    <w:rsid w:val="5AED3B83"/>
    <w:rsid w:val="5B0D5CEF"/>
    <w:rsid w:val="5B220213"/>
    <w:rsid w:val="5B291F55"/>
    <w:rsid w:val="5B551DD7"/>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094C8E"/>
    <w:rsid w:val="5C1342F8"/>
    <w:rsid w:val="5C6D24D1"/>
    <w:rsid w:val="5C901728"/>
    <w:rsid w:val="5CF24C0B"/>
    <w:rsid w:val="5D247600"/>
    <w:rsid w:val="5D350F25"/>
    <w:rsid w:val="5D461DE8"/>
    <w:rsid w:val="5D4B2146"/>
    <w:rsid w:val="5D4B33CB"/>
    <w:rsid w:val="5D4C659F"/>
    <w:rsid w:val="5D67589A"/>
    <w:rsid w:val="5D7B3DBD"/>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032F4"/>
    <w:rsid w:val="5F306DA7"/>
    <w:rsid w:val="5F33240F"/>
    <w:rsid w:val="5F4E536E"/>
    <w:rsid w:val="5F550DA3"/>
    <w:rsid w:val="5F5D414E"/>
    <w:rsid w:val="5F610503"/>
    <w:rsid w:val="5F7078E4"/>
    <w:rsid w:val="5FB31174"/>
    <w:rsid w:val="5FB478FF"/>
    <w:rsid w:val="5FC63477"/>
    <w:rsid w:val="5FD23794"/>
    <w:rsid w:val="60031CA7"/>
    <w:rsid w:val="602473D5"/>
    <w:rsid w:val="60484173"/>
    <w:rsid w:val="605C0F36"/>
    <w:rsid w:val="605F50BB"/>
    <w:rsid w:val="60786F09"/>
    <w:rsid w:val="607E413E"/>
    <w:rsid w:val="609008D7"/>
    <w:rsid w:val="60953E19"/>
    <w:rsid w:val="60B430E0"/>
    <w:rsid w:val="60B61C2B"/>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40C9B"/>
    <w:rsid w:val="614B123F"/>
    <w:rsid w:val="61606F0D"/>
    <w:rsid w:val="61633E16"/>
    <w:rsid w:val="618925DC"/>
    <w:rsid w:val="61AF3280"/>
    <w:rsid w:val="61DB7677"/>
    <w:rsid w:val="61E97DB0"/>
    <w:rsid w:val="61EA78B2"/>
    <w:rsid w:val="61F54B0E"/>
    <w:rsid w:val="620B7B6C"/>
    <w:rsid w:val="620C27CC"/>
    <w:rsid w:val="621B46DF"/>
    <w:rsid w:val="621E0D0C"/>
    <w:rsid w:val="62207DBC"/>
    <w:rsid w:val="622C29E0"/>
    <w:rsid w:val="623951B5"/>
    <w:rsid w:val="628F325B"/>
    <w:rsid w:val="62A34AE2"/>
    <w:rsid w:val="62D548A1"/>
    <w:rsid w:val="62F37D50"/>
    <w:rsid w:val="62FB7EA1"/>
    <w:rsid w:val="62FE2766"/>
    <w:rsid w:val="63194A7D"/>
    <w:rsid w:val="631D6ACB"/>
    <w:rsid w:val="63392A57"/>
    <w:rsid w:val="635E5A92"/>
    <w:rsid w:val="637242A9"/>
    <w:rsid w:val="63872FC3"/>
    <w:rsid w:val="63911030"/>
    <w:rsid w:val="63BE1C9B"/>
    <w:rsid w:val="63C90E34"/>
    <w:rsid w:val="63CA1879"/>
    <w:rsid w:val="63CA29B6"/>
    <w:rsid w:val="63E73A40"/>
    <w:rsid w:val="640A61B2"/>
    <w:rsid w:val="64264962"/>
    <w:rsid w:val="642E206A"/>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1C19DE"/>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2E24D1"/>
    <w:rsid w:val="68363C6D"/>
    <w:rsid w:val="683F3588"/>
    <w:rsid w:val="68431C17"/>
    <w:rsid w:val="6845686E"/>
    <w:rsid w:val="684A3153"/>
    <w:rsid w:val="684D4420"/>
    <w:rsid w:val="68500530"/>
    <w:rsid w:val="68641E84"/>
    <w:rsid w:val="686F590D"/>
    <w:rsid w:val="688137B3"/>
    <w:rsid w:val="6886630B"/>
    <w:rsid w:val="68870636"/>
    <w:rsid w:val="68BA0BA8"/>
    <w:rsid w:val="68C26609"/>
    <w:rsid w:val="68E62F92"/>
    <w:rsid w:val="68FD458D"/>
    <w:rsid w:val="691B4CD4"/>
    <w:rsid w:val="69232287"/>
    <w:rsid w:val="69527625"/>
    <w:rsid w:val="695D784E"/>
    <w:rsid w:val="696302C1"/>
    <w:rsid w:val="696C3E5E"/>
    <w:rsid w:val="69705FF1"/>
    <w:rsid w:val="69C53915"/>
    <w:rsid w:val="69C6564D"/>
    <w:rsid w:val="69E1177C"/>
    <w:rsid w:val="69E31E2C"/>
    <w:rsid w:val="6A0E2A85"/>
    <w:rsid w:val="6A24320F"/>
    <w:rsid w:val="6A3D0467"/>
    <w:rsid w:val="6A3F62AD"/>
    <w:rsid w:val="6A48070B"/>
    <w:rsid w:val="6A5357C0"/>
    <w:rsid w:val="6A561BDF"/>
    <w:rsid w:val="6A873F79"/>
    <w:rsid w:val="6A8E2D73"/>
    <w:rsid w:val="6ABE5111"/>
    <w:rsid w:val="6AE42BCF"/>
    <w:rsid w:val="6AE4798A"/>
    <w:rsid w:val="6AF81584"/>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C35974"/>
    <w:rsid w:val="6CC71984"/>
    <w:rsid w:val="6CF15A94"/>
    <w:rsid w:val="6D292007"/>
    <w:rsid w:val="6D2D0CCA"/>
    <w:rsid w:val="6D406186"/>
    <w:rsid w:val="6D476ABD"/>
    <w:rsid w:val="6D495E7B"/>
    <w:rsid w:val="6D5118E8"/>
    <w:rsid w:val="6D55513E"/>
    <w:rsid w:val="6D5C484E"/>
    <w:rsid w:val="6D5E1BC8"/>
    <w:rsid w:val="6D642B67"/>
    <w:rsid w:val="6D6E1B1E"/>
    <w:rsid w:val="6D73196F"/>
    <w:rsid w:val="6D817A53"/>
    <w:rsid w:val="6D936C28"/>
    <w:rsid w:val="6D9F2E92"/>
    <w:rsid w:val="6DB00C2B"/>
    <w:rsid w:val="6DD94583"/>
    <w:rsid w:val="6DDC2488"/>
    <w:rsid w:val="6DDE1782"/>
    <w:rsid w:val="6DF04CF1"/>
    <w:rsid w:val="6DFC64FD"/>
    <w:rsid w:val="6E086FAB"/>
    <w:rsid w:val="6E101154"/>
    <w:rsid w:val="6E1164A3"/>
    <w:rsid w:val="6E1A1331"/>
    <w:rsid w:val="6EA16E48"/>
    <w:rsid w:val="6EA61615"/>
    <w:rsid w:val="6EA834DF"/>
    <w:rsid w:val="6EBC12AB"/>
    <w:rsid w:val="6EF06DAD"/>
    <w:rsid w:val="6F007A3F"/>
    <w:rsid w:val="6F607FE4"/>
    <w:rsid w:val="6F675267"/>
    <w:rsid w:val="6F6D4E06"/>
    <w:rsid w:val="6F7C2ED8"/>
    <w:rsid w:val="6F954F12"/>
    <w:rsid w:val="6F9817A2"/>
    <w:rsid w:val="6FA223F6"/>
    <w:rsid w:val="6FBE26FD"/>
    <w:rsid w:val="6FD60E02"/>
    <w:rsid w:val="6FDA4A12"/>
    <w:rsid w:val="6FEC2815"/>
    <w:rsid w:val="70125157"/>
    <w:rsid w:val="70193D56"/>
    <w:rsid w:val="70206203"/>
    <w:rsid w:val="70213C84"/>
    <w:rsid w:val="70287EE3"/>
    <w:rsid w:val="70406CA5"/>
    <w:rsid w:val="706B1940"/>
    <w:rsid w:val="707F5231"/>
    <w:rsid w:val="70945899"/>
    <w:rsid w:val="70B1431D"/>
    <w:rsid w:val="70CE5C96"/>
    <w:rsid w:val="70D051C6"/>
    <w:rsid w:val="70E02C07"/>
    <w:rsid w:val="70FA54A1"/>
    <w:rsid w:val="7108009F"/>
    <w:rsid w:val="71165EDA"/>
    <w:rsid w:val="71172549"/>
    <w:rsid w:val="711807E4"/>
    <w:rsid w:val="712449F8"/>
    <w:rsid w:val="713D3F08"/>
    <w:rsid w:val="71426333"/>
    <w:rsid w:val="71516271"/>
    <w:rsid w:val="716C4813"/>
    <w:rsid w:val="717E7EFB"/>
    <w:rsid w:val="71986586"/>
    <w:rsid w:val="71AE488C"/>
    <w:rsid w:val="71C773DD"/>
    <w:rsid w:val="71D175F7"/>
    <w:rsid w:val="71E23CF1"/>
    <w:rsid w:val="71EF6CF3"/>
    <w:rsid w:val="72051B9F"/>
    <w:rsid w:val="721A5074"/>
    <w:rsid w:val="72234BC1"/>
    <w:rsid w:val="72263C75"/>
    <w:rsid w:val="72487BA3"/>
    <w:rsid w:val="724A221F"/>
    <w:rsid w:val="724E0039"/>
    <w:rsid w:val="725356E5"/>
    <w:rsid w:val="725775BB"/>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76D94"/>
    <w:rsid w:val="740C0C71"/>
    <w:rsid w:val="74136CD5"/>
    <w:rsid w:val="74280096"/>
    <w:rsid w:val="74372947"/>
    <w:rsid w:val="74407120"/>
    <w:rsid w:val="7443214A"/>
    <w:rsid w:val="744B2E25"/>
    <w:rsid w:val="745C5273"/>
    <w:rsid w:val="74844260"/>
    <w:rsid w:val="74882D47"/>
    <w:rsid w:val="74897CF6"/>
    <w:rsid w:val="748D473B"/>
    <w:rsid w:val="749F4E39"/>
    <w:rsid w:val="74B127C0"/>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6F259CF"/>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8624A5"/>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E93A67"/>
    <w:rsid w:val="7AF07C19"/>
    <w:rsid w:val="7AF63990"/>
    <w:rsid w:val="7B0A45F3"/>
    <w:rsid w:val="7B0D0FD5"/>
    <w:rsid w:val="7B2D3022"/>
    <w:rsid w:val="7B446C0D"/>
    <w:rsid w:val="7B510660"/>
    <w:rsid w:val="7B5F54E9"/>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419BA1-AE89-42EA-8528-964E03AA5BFD}">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6</TotalTime>
  <ScaleCrop>false</ScaleCrop>
  <LinksUpToDate>false</LinksUpToDate>
  <CharactersWithSpaces>9887</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林奕源</cp:lastModifiedBy>
  <cp:lastPrinted>2020-06-22T01:00:00Z</cp:lastPrinted>
  <dcterms:modified xsi:type="dcterms:W3CDTF">2023-06-14T00:52:46Z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97EE753B02334FCC8037CF11904110D3</vt:lpwstr>
  </property>
</Properties>
</file>