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5"/>
        <w:jc w:val="center"/>
        <w:rPr>
          <w:rFonts w:hint="eastAsia" w:ascii="楷体_GB2312" w:eastAsia="楷体_GB2312"/>
          <w:b/>
          <w:color w:val="000000"/>
          <w:sz w:val="36"/>
          <w:szCs w:val="36"/>
        </w:rPr>
      </w:pPr>
      <w:bookmarkStart w:id="0" w:name="_Toc102489700"/>
      <w:bookmarkStart w:id="8" w:name="_GoBack"/>
      <w:bookmarkEnd w:id="8"/>
      <w:r>
        <w:rPr>
          <w:rFonts w:hint="eastAsia" w:ascii="楷体_GB2312" w:eastAsia="楷体_GB2312"/>
          <w:b/>
          <w:color w:val="000000"/>
          <w:sz w:val="36"/>
          <w:szCs w:val="36"/>
        </w:rPr>
        <w:t>2023年8月12日深市调整Level 1行情发送带宽</w:t>
      </w:r>
    </w:p>
    <w:p>
      <w:pPr>
        <w:pStyle w:val="15"/>
        <w:jc w:val="center"/>
        <w:rPr>
          <w:rFonts w:ascii="楷体_GB2312" w:eastAsia="楷体_GB2312"/>
          <w:b/>
          <w:color w:val="000000"/>
          <w:sz w:val="36"/>
          <w:szCs w:val="36"/>
        </w:rPr>
      </w:pPr>
      <w:r>
        <w:rPr>
          <w:rFonts w:hint="eastAsia" w:ascii="楷体_GB2312" w:eastAsia="楷体_GB2312"/>
          <w:b/>
          <w:color w:val="000000"/>
          <w:sz w:val="36"/>
          <w:szCs w:val="36"/>
        </w:rPr>
        <w:t>暨债券质押式协议回购业务风险控制全网测试方案</w:t>
      </w:r>
    </w:p>
    <w:p>
      <w:pPr>
        <w:pStyle w:val="15"/>
        <w:outlineLvl w:val="0"/>
        <w:rPr>
          <w:rFonts w:ascii="楷体_GB2312" w:eastAsia="楷体_GB2312"/>
          <w:b/>
          <w:color w:val="000000"/>
          <w:sz w:val="32"/>
          <w:szCs w:val="32"/>
        </w:rPr>
      </w:pPr>
    </w:p>
    <w:p>
      <w:pPr>
        <w:pStyle w:val="15"/>
        <w:outlineLvl w:val="0"/>
        <w:rPr>
          <w:rFonts w:ascii="楷体_GB2312" w:eastAsia="楷体_GB2312"/>
          <w:b/>
          <w:color w:val="000000"/>
          <w:sz w:val="32"/>
          <w:szCs w:val="32"/>
        </w:rPr>
      </w:pPr>
      <w:r>
        <w:rPr>
          <w:rFonts w:hint="eastAsia" w:ascii="楷体_GB2312" w:eastAsia="楷体_GB2312"/>
          <w:b/>
          <w:color w:val="000000"/>
          <w:sz w:val="32"/>
          <w:szCs w:val="32"/>
        </w:rPr>
        <w:t>一、测试目的</w:t>
      </w:r>
      <w:bookmarkEnd w:id="0"/>
    </w:p>
    <w:p>
      <w:pPr>
        <w:widowControl/>
        <w:ind w:firstLine="560" w:firstLineChars="200"/>
        <w:rPr>
          <w:rFonts w:hint="eastAsia"/>
          <w:color w:val="000000"/>
          <w:sz w:val="28"/>
          <w:szCs w:val="28"/>
        </w:rPr>
      </w:pPr>
      <w:r>
        <w:rPr>
          <w:rFonts w:hint="eastAsia"/>
          <w:color w:val="000000"/>
          <w:sz w:val="28"/>
          <w:szCs w:val="28"/>
        </w:rPr>
        <w:t>深圳证券交易所（以下简称深交所）已于2023年1月31日发布《关于调整Level 1行情发送带宽的通知》，并于2023年5月26日发布《关于调整Level 1行情发送带宽的补充通知》，计划</w:t>
      </w:r>
      <w:r>
        <w:rPr>
          <w:rFonts w:hint="eastAsia"/>
          <w:color w:val="000000"/>
          <w:sz w:val="28"/>
          <w:szCs w:val="28"/>
          <w:lang w:eastAsia="zh-CN"/>
        </w:rPr>
        <w:t>将</w:t>
      </w:r>
      <w:r>
        <w:rPr>
          <w:rFonts w:hint="eastAsia"/>
          <w:color w:val="000000"/>
          <w:sz w:val="28"/>
          <w:szCs w:val="28"/>
        </w:rPr>
        <w:t>Level 1现货行情(包括股票、基金、债券、指数等产品)和Level 1衍生品行情(</w:t>
      </w:r>
      <w:r>
        <w:rPr>
          <w:rFonts w:hint="eastAsia"/>
          <w:color w:val="000000"/>
          <w:sz w:val="28"/>
          <w:szCs w:val="28"/>
          <w:lang w:eastAsia="zh-CN"/>
        </w:rPr>
        <w:t>目前</w:t>
      </w:r>
      <w:r>
        <w:rPr>
          <w:rFonts w:hint="eastAsia"/>
          <w:color w:val="000000"/>
          <w:sz w:val="28"/>
          <w:szCs w:val="28"/>
        </w:rPr>
        <w:t>仅期权)的发送带宽分离且各自调整为4Mbps。为确保相关业务的顺利开展，深交所联合中国证券登记结算有限责任公司深圳分公司（以下简称中国结算深圳分公司）定于2023年8月12日组织全网测试，通过模拟Level 1行情发送带宽调整后市场机构的行情接收，以及深市证券和港股通证券日常交易、非交易业务的委托申报、成交回报、清算交收等业务处理过程，检验市场参与各方技术系统的正确性。</w:t>
      </w:r>
    </w:p>
    <w:p>
      <w:pPr>
        <w:widowControl/>
        <w:ind w:firstLine="560" w:firstLineChars="200"/>
        <w:rPr>
          <w:rFonts w:hint="eastAsia"/>
          <w:color w:val="000000"/>
          <w:sz w:val="28"/>
          <w:szCs w:val="28"/>
        </w:rPr>
      </w:pPr>
      <w:r>
        <w:rPr>
          <w:rFonts w:hint="eastAsia"/>
          <w:color w:val="000000"/>
          <w:sz w:val="28"/>
          <w:szCs w:val="28"/>
        </w:rPr>
        <w:t>为健全深市债券质押式协议回购（以下简称协议回购）交易风险控制机制，深交所已于2022年12月30日发布了《深圳证券交易所债券交易业务指引第4号——债券质押式协议回购风险控制》，并于2023年2月6日起施行。为进一步便利投资者填报风险控制相关内容，深交所于2023年3月30日发布《关于做好债券质押式协议回购业务风险控制的技术准备通知》，组织开展协议回购技术改造，优化协议回购风险控制相关信息的填报及展示，并设置“约定号”用于标识确认方经纪客户。为确保相关优化功能顺利实施，深交所联合中国结算深圳分公司定于2023年8月12日组织全网测试，主要通过模拟协议回购的委托申报、成交回报、清算交收等业务处理过程，检验市场参与各方技术系统的正确性。</w:t>
      </w:r>
    </w:p>
    <w:p>
      <w:pPr>
        <w:widowControl/>
        <w:ind w:firstLine="560" w:firstLineChars="200"/>
        <w:rPr>
          <w:rFonts w:hint="eastAsia"/>
          <w:color w:val="000000"/>
          <w:sz w:val="28"/>
          <w:szCs w:val="28"/>
        </w:rPr>
      </w:pPr>
      <w:r>
        <w:rPr>
          <w:rFonts w:hint="eastAsia"/>
          <w:color w:val="000000"/>
          <w:sz w:val="28"/>
          <w:szCs w:val="28"/>
        </w:rPr>
        <w:t>所司相关技术系统正式上线后，投资者新增达成协议回购交易、存量协议回购合约的后续交易申报都应当使用新的数据接口进行。使用第三方软件或自建系统参与协议回购交易的机构，如尚未完成技术升级或改造，应当使用本所交易终端参与本次测试，并将其作为自身技术系统未就绪前的交易申报通道。</w:t>
      </w:r>
    </w:p>
    <w:p>
      <w:pPr>
        <w:widowControl/>
        <w:ind w:firstLine="560" w:firstLineChars="200"/>
        <w:rPr>
          <w:rFonts w:hint="eastAsia"/>
          <w:color w:val="000000"/>
          <w:sz w:val="28"/>
          <w:szCs w:val="28"/>
        </w:rPr>
      </w:pPr>
    </w:p>
    <w:p>
      <w:pPr>
        <w:pStyle w:val="15"/>
        <w:outlineLvl w:val="0"/>
        <w:rPr>
          <w:rFonts w:ascii="楷体_GB2312" w:eastAsia="楷体_GB2312"/>
          <w:b/>
          <w:color w:val="000000"/>
          <w:sz w:val="32"/>
          <w:szCs w:val="32"/>
        </w:rPr>
      </w:pPr>
      <w:bookmarkStart w:id="1" w:name="_Toc102489701"/>
      <w:r>
        <w:rPr>
          <w:rFonts w:hint="eastAsia" w:ascii="楷体_GB2312" w:eastAsia="楷体_GB2312"/>
          <w:b/>
          <w:color w:val="000000"/>
          <w:sz w:val="32"/>
          <w:szCs w:val="32"/>
        </w:rPr>
        <w:t>二、参测单位</w:t>
      </w:r>
      <w:bookmarkEnd w:id="1"/>
    </w:p>
    <w:p>
      <w:pPr>
        <w:numPr>
          <w:ilvl w:val="0"/>
          <w:numId w:val="2"/>
        </w:numPr>
        <w:ind w:left="0" w:firstLine="140" w:firstLineChars="50"/>
        <w:rPr>
          <w:color w:val="000000"/>
          <w:sz w:val="28"/>
          <w:szCs w:val="28"/>
        </w:rPr>
      </w:pPr>
      <w:r>
        <w:rPr>
          <w:rFonts w:hint="eastAsia"/>
          <w:color w:val="000000"/>
          <w:sz w:val="28"/>
          <w:szCs w:val="28"/>
        </w:rPr>
        <w:t>深交所</w:t>
      </w:r>
    </w:p>
    <w:p>
      <w:pPr>
        <w:numPr>
          <w:ilvl w:val="0"/>
          <w:numId w:val="2"/>
        </w:numPr>
        <w:ind w:left="0" w:firstLine="140" w:firstLineChars="50"/>
        <w:rPr>
          <w:color w:val="000000"/>
          <w:sz w:val="28"/>
          <w:szCs w:val="28"/>
        </w:rPr>
      </w:pPr>
      <w:r>
        <w:rPr>
          <w:rFonts w:hint="eastAsia"/>
          <w:color w:val="000000"/>
          <w:sz w:val="28"/>
          <w:szCs w:val="28"/>
        </w:rPr>
        <w:t>中国结算深圳分公司</w:t>
      </w:r>
    </w:p>
    <w:p>
      <w:pPr>
        <w:numPr>
          <w:ilvl w:val="0"/>
          <w:numId w:val="2"/>
        </w:numPr>
        <w:ind w:left="0" w:firstLine="140" w:firstLineChars="50"/>
        <w:rPr>
          <w:color w:val="000000"/>
          <w:sz w:val="28"/>
          <w:szCs w:val="28"/>
        </w:rPr>
      </w:pPr>
      <w:r>
        <w:rPr>
          <w:rFonts w:hint="eastAsia"/>
          <w:color w:val="000000"/>
          <w:sz w:val="28"/>
          <w:szCs w:val="28"/>
        </w:rPr>
        <w:t>香港</w:t>
      </w:r>
      <w:r>
        <w:rPr>
          <w:rFonts w:hint="eastAsia"/>
          <w:color w:val="000000"/>
          <w:sz w:val="28"/>
          <w:szCs w:val="28"/>
          <w:highlight w:val="none"/>
        </w:rPr>
        <w:t>联交</w:t>
      </w:r>
      <w:r>
        <w:rPr>
          <w:rFonts w:hint="eastAsia"/>
          <w:color w:val="000000"/>
          <w:sz w:val="28"/>
          <w:szCs w:val="28"/>
        </w:rPr>
        <w:t>所</w:t>
      </w:r>
    </w:p>
    <w:p>
      <w:pPr>
        <w:numPr>
          <w:ilvl w:val="0"/>
          <w:numId w:val="2"/>
        </w:numPr>
        <w:ind w:left="0" w:firstLine="140" w:firstLineChars="50"/>
        <w:rPr>
          <w:color w:val="000000"/>
          <w:sz w:val="28"/>
          <w:szCs w:val="28"/>
        </w:rPr>
      </w:pPr>
      <w:r>
        <w:rPr>
          <w:rFonts w:hint="eastAsia"/>
          <w:color w:val="000000"/>
          <w:sz w:val="28"/>
          <w:szCs w:val="28"/>
        </w:rPr>
        <w:t>深圳证券通信有限公司</w:t>
      </w:r>
    </w:p>
    <w:p>
      <w:pPr>
        <w:numPr>
          <w:ilvl w:val="0"/>
          <w:numId w:val="2"/>
        </w:numPr>
        <w:ind w:left="0" w:firstLine="140" w:firstLineChars="50"/>
        <w:rPr>
          <w:color w:val="000000"/>
          <w:sz w:val="28"/>
          <w:szCs w:val="28"/>
        </w:rPr>
      </w:pPr>
      <w:r>
        <w:rPr>
          <w:rFonts w:hint="eastAsia"/>
          <w:color w:val="000000"/>
          <w:sz w:val="28"/>
          <w:szCs w:val="28"/>
        </w:rPr>
        <w:t>深圳证券信息有限公司</w:t>
      </w:r>
    </w:p>
    <w:p>
      <w:pPr>
        <w:numPr>
          <w:ilvl w:val="0"/>
          <w:numId w:val="2"/>
        </w:numPr>
        <w:ind w:left="0" w:firstLine="140" w:firstLineChars="50"/>
        <w:rPr>
          <w:color w:val="000000"/>
          <w:sz w:val="28"/>
          <w:szCs w:val="28"/>
        </w:rPr>
      </w:pPr>
      <w:r>
        <w:rPr>
          <w:rFonts w:hint="eastAsia"/>
          <w:color w:val="000000"/>
          <w:sz w:val="28"/>
          <w:szCs w:val="28"/>
        </w:rPr>
        <w:t>会员单位</w:t>
      </w:r>
    </w:p>
    <w:p>
      <w:pPr>
        <w:numPr>
          <w:ilvl w:val="0"/>
          <w:numId w:val="2"/>
        </w:numPr>
        <w:ind w:left="0" w:firstLine="140" w:firstLineChars="50"/>
        <w:rPr>
          <w:color w:val="000000"/>
          <w:sz w:val="28"/>
          <w:szCs w:val="28"/>
        </w:rPr>
      </w:pPr>
      <w:r>
        <w:rPr>
          <w:rFonts w:hint="eastAsia"/>
          <w:color w:val="000000"/>
          <w:sz w:val="28"/>
          <w:szCs w:val="28"/>
        </w:rPr>
        <w:t>其他债券交易参与人</w:t>
      </w:r>
    </w:p>
    <w:p>
      <w:pPr>
        <w:numPr>
          <w:ilvl w:val="0"/>
          <w:numId w:val="2"/>
        </w:numPr>
        <w:ind w:left="0" w:firstLine="140" w:firstLineChars="50"/>
        <w:rPr>
          <w:color w:val="000000"/>
          <w:sz w:val="28"/>
          <w:szCs w:val="28"/>
        </w:rPr>
      </w:pPr>
      <w:r>
        <w:rPr>
          <w:rFonts w:hint="eastAsia"/>
          <w:color w:val="000000"/>
          <w:sz w:val="28"/>
          <w:szCs w:val="28"/>
        </w:rPr>
        <w:t>期权经营机构</w:t>
      </w:r>
    </w:p>
    <w:p>
      <w:pPr>
        <w:numPr>
          <w:ilvl w:val="0"/>
          <w:numId w:val="2"/>
        </w:numPr>
        <w:ind w:left="0" w:firstLine="140" w:firstLineChars="50"/>
        <w:rPr>
          <w:color w:val="000000"/>
          <w:sz w:val="28"/>
          <w:szCs w:val="28"/>
        </w:rPr>
      </w:pPr>
      <w:r>
        <w:rPr>
          <w:rFonts w:hint="eastAsia"/>
          <w:color w:val="000000"/>
          <w:sz w:val="28"/>
          <w:szCs w:val="28"/>
        </w:rPr>
        <w:t>基金管理公司</w:t>
      </w:r>
    </w:p>
    <w:p>
      <w:pPr>
        <w:numPr>
          <w:ilvl w:val="0"/>
          <w:numId w:val="2"/>
        </w:numPr>
        <w:ind w:left="0" w:firstLine="140" w:firstLineChars="50"/>
        <w:rPr>
          <w:color w:val="000000"/>
          <w:sz w:val="28"/>
          <w:szCs w:val="28"/>
        </w:rPr>
      </w:pPr>
      <w:r>
        <w:rPr>
          <w:rFonts w:hint="eastAsia"/>
          <w:color w:val="000000"/>
          <w:sz w:val="28"/>
          <w:szCs w:val="28"/>
        </w:rPr>
        <w:t>行情服务商</w:t>
      </w:r>
    </w:p>
    <w:p>
      <w:pPr>
        <w:numPr>
          <w:ilvl w:val="0"/>
          <w:numId w:val="2"/>
        </w:numPr>
        <w:ind w:left="0" w:firstLine="140" w:firstLineChars="50"/>
        <w:rPr>
          <w:color w:val="000000"/>
          <w:sz w:val="28"/>
          <w:szCs w:val="28"/>
        </w:rPr>
      </w:pPr>
      <w:r>
        <w:rPr>
          <w:rFonts w:hint="eastAsia"/>
          <w:color w:val="000000"/>
          <w:sz w:val="28"/>
          <w:szCs w:val="28"/>
        </w:rPr>
        <w:t>结算参与机构</w:t>
      </w:r>
    </w:p>
    <w:p>
      <w:pPr>
        <w:numPr>
          <w:ilvl w:val="0"/>
          <w:numId w:val="2"/>
        </w:numPr>
        <w:ind w:left="0" w:firstLine="140" w:firstLineChars="50"/>
        <w:rPr>
          <w:color w:val="000000"/>
          <w:sz w:val="28"/>
          <w:szCs w:val="28"/>
        </w:rPr>
      </w:pPr>
      <w:r>
        <w:rPr>
          <w:rFonts w:hint="eastAsia"/>
          <w:color w:val="000000"/>
          <w:sz w:val="28"/>
          <w:szCs w:val="28"/>
        </w:rPr>
        <w:t>其他相关单位</w:t>
      </w:r>
    </w:p>
    <w:p>
      <w:pPr>
        <w:ind w:left="420"/>
        <w:rPr>
          <w:color w:val="000000"/>
          <w:sz w:val="28"/>
          <w:szCs w:val="28"/>
        </w:rPr>
      </w:pPr>
    </w:p>
    <w:p>
      <w:pPr>
        <w:pStyle w:val="15"/>
        <w:outlineLvl w:val="0"/>
        <w:rPr>
          <w:rFonts w:ascii="楷体_GB2312" w:eastAsia="楷体_GB2312"/>
          <w:b/>
          <w:color w:val="000000"/>
          <w:sz w:val="32"/>
          <w:szCs w:val="32"/>
        </w:rPr>
      </w:pPr>
      <w:bookmarkStart w:id="2" w:name="_Toc102489702"/>
      <w:r>
        <w:rPr>
          <w:rFonts w:hint="eastAsia" w:ascii="楷体_GB2312" w:eastAsia="楷体_GB2312"/>
          <w:b/>
          <w:color w:val="000000"/>
          <w:sz w:val="32"/>
          <w:szCs w:val="32"/>
        </w:rPr>
        <w:t>三、测试内容</w:t>
      </w:r>
      <w:bookmarkEnd w:id="2"/>
    </w:p>
    <w:p>
      <w:pPr>
        <w:ind w:firstLine="560" w:firstLineChars="200"/>
        <w:rPr>
          <w:color w:val="000000"/>
          <w:sz w:val="28"/>
          <w:szCs w:val="28"/>
          <w:highlight w:val="yellow"/>
        </w:rPr>
      </w:pPr>
      <w:r>
        <w:rPr>
          <w:rFonts w:hint="eastAsia"/>
          <w:color w:val="000000"/>
          <w:sz w:val="28"/>
          <w:szCs w:val="28"/>
        </w:rPr>
        <w:t>深市证券交易系统、结算系统模拟</w:t>
      </w:r>
      <w:r>
        <w:rPr>
          <w:rFonts w:hint="eastAsia"/>
          <w:color w:val="000000"/>
          <w:sz w:val="28"/>
          <w:szCs w:val="28"/>
          <w:lang w:val="en-US" w:eastAsia="zh-CN"/>
        </w:rPr>
        <w:t>1</w:t>
      </w:r>
      <w:r>
        <w:rPr>
          <w:rFonts w:hint="eastAsia"/>
          <w:color w:val="000000"/>
          <w:sz w:val="28"/>
          <w:szCs w:val="28"/>
        </w:rPr>
        <w:t>个业务日的交易、结算（即模拟T日2023年</w:t>
      </w:r>
      <w:r>
        <w:rPr>
          <w:rFonts w:hint="eastAsia"/>
          <w:color w:val="000000"/>
          <w:sz w:val="28"/>
          <w:szCs w:val="28"/>
          <w:lang w:eastAsia="zh-CN"/>
        </w:rPr>
        <w:t>8月12日</w:t>
      </w:r>
      <w:r>
        <w:rPr>
          <w:rFonts w:hint="eastAsia"/>
          <w:color w:val="000000"/>
          <w:sz w:val="28"/>
          <w:szCs w:val="28"/>
        </w:rPr>
        <w:t>），</w:t>
      </w:r>
      <w:r>
        <w:rPr>
          <w:rFonts w:hint="eastAsia"/>
          <w:color w:val="000000"/>
          <w:sz w:val="28"/>
          <w:szCs w:val="28"/>
          <w:highlight w:val="none"/>
        </w:rPr>
        <w:t>港股通证</w:t>
      </w:r>
      <w:r>
        <w:rPr>
          <w:rFonts w:hint="eastAsia"/>
          <w:color w:val="000000"/>
          <w:sz w:val="28"/>
          <w:szCs w:val="28"/>
        </w:rPr>
        <w:t>券模拟半日市交易和1个结算日的结算（即模拟T日2023年</w:t>
      </w:r>
      <w:r>
        <w:rPr>
          <w:rFonts w:hint="eastAsia"/>
          <w:color w:val="000000"/>
          <w:sz w:val="28"/>
          <w:szCs w:val="28"/>
          <w:lang w:eastAsia="zh-CN"/>
        </w:rPr>
        <w:t>8月12日</w:t>
      </w:r>
      <w:r>
        <w:rPr>
          <w:rFonts w:hint="eastAsia"/>
          <w:color w:val="000000"/>
          <w:sz w:val="28"/>
          <w:szCs w:val="28"/>
        </w:rPr>
        <w:t>）。</w:t>
      </w:r>
    </w:p>
    <w:p>
      <w:pPr>
        <w:widowControl/>
        <w:numPr>
          <w:ilvl w:val="0"/>
          <w:numId w:val="3"/>
        </w:numPr>
        <w:spacing w:line="360" w:lineRule="atLeast"/>
        <w:ind w:firstLine="562" w:firstLineChars="200"/>
        <w:jc w:val="left"/>
        <w:outlineLvl w:val="1"/>
        <w:rPr>
          <w:b/>
          <w:bCs/>
          <w:color w:val="000000"/>
          <w:sz w:val="28"/>
          <w:szCs w:val="28"/>
        </w:rPr>
      </w:pPr>
      <w:r>
        <w:rPr>
          <w:rFonts w:hint="eastAsia"/>
          <w:b/>
          <w:bCs/>
          <w:color w:val="000000"/>
          <w:sz w:val="28"/>
          <w:szCs w:val="28"/>
        </w:rPr>
        <w:t>测试重点</w:t>
      </w:r>
    </w:p>
    <w:p>
      <w:pPr>
        <w:numPr>
          <w:ilvl w:val="0"/>
          <w:numId w:val="4"/>
        </w:numPr>
        <w:spacing w:line="360" w:lineRule="atLeast"/>
        <w:ind w:left="480" w:leftChars="200"/>
        <w:outlineLvl w:val="1"/>
        <w:rPr>
          <w:b/>
          <w:bCs/>
          <w:color w:val="000000"/>
          <w:sz w:val="28"/>
          <w:szCs w:val="28"/>
        </w:rPr>
      </w:pPr>
      <w:r>
        <w:rPr>
          <w:rFonts w:hint="eastAsia"/>
          <w:b/>
          <w:bCs/>
          <w:color w:val="000000"/>
          <w:sz w:val="28"/>
          <w:szCs w:val="28"/>
        </w:rPr>
        <w:t>Level 1行情接收、处理与展示</w:t>
      </w:r>
    </w:p>
    <w:p>
      <w:pPr>
        <w:pStyle w:val="72"/>
        <w:numPr>
          <w:ilvl w:val="0"/>
          <w:numId w:val="5"/>
        </w:numPr>
        <w:ind w:left="0" w:firstLine="560"/>
        <w:jc w:val="left"/>
        <w:outlineLvl w:val="2"/>
        <w:rPr>
          <w:rFonts w:ascii="楷体_GB2312" w:eastAsia="楷体_GB2312"/>
          <w:color w:val="000000"/>
          <w:sz w:val="28"/>
          <w:szCs w:val="28"/>
          <w:lang w:bidi="ar"/>
        </w:rPr>
      </w:pPr>
      <w:r>
        <w:rPr>
          <w:rFonts w:hint="eastAsia" w:ascii="楷体_GB2312" w:eastAsia="楷体_GB2312"/>
          <w:color w:val="000000"/>
          <w:sz w:val="28"/>
          <w:szCs w:val="28"/>
          <w:lang w:bidi="ar"/>
        </w:rPr>
        <w:t>现货行情的行情接收、处理与展示；</w:t>
      </w:r>
    </w:p>
    <w:p>
      <w:pPr>
        <w:pStyle w:val="72"/>
        <w:numPr>
          <w:ilvl w:val="0"/>
          <w:numId w:val="5"/>
        </w:numPr>
        <w:ind w:left="0" w:firstLine="560"/>
        <w:jc w:val="left"/>
        <w:outlineLvl w:val="2"/>
        <w:rPr>
          <w:rFonts w:ascii="楷体_GB2312" w:eastAsia="楷体_GB2312"/>
          <w:color w:val="000000"/>
          <w:sz w:val="28"/>
          <w:szCs w:val="28"/>
          <w:lang w:bidi="ar"/>
        </w:rPr>
      </w:pPr>
      <w:r>
        <w:rPr>
          <w:rFonts w:hint="eastAsia" w:ascii="楷体_GB2312" w:eastAsia="楷体_GB2312"/>
          <w:color w:val="000000"/>
          <w:sz w:val="28"/>
          <w:szCs w:val="28"/>
          <w:lang w:bidi="ar"/>
        </w:rPr>
        <w:t>股票期权行情的行情接收、处理与展示。</w:t>
      </w:r>
    </w:p>
    <w:p>
      <w:pPr>
        <w:widowControl/>
        <w:numPr>
          <w:ilvl w:val="0"/>
          <w:numId w:val="4"/>
        </w:numPr>
        <w:spacing w:line="360" w:lineRule="atLeast"/>
        <w:ind w:left="480" w:leftChars="200"/>
        <w:jc w:val="left"/>
        <w:outlineLvl w:val="1"/>
        <w:rPr>
          <w:b/>
          <w:bCs/>
          <w:color w:val="000000"/>
          <w:sz w:val="28"/>
          <w:szCs w:val="28"/>
        </w:rPr>
      </w:pPr>
      <w:r>
        <w:rPr>
          <w:rFonts w:hint="eastAsia"/>
          <w:b/>
          <w:bCs/>
          <w:color w:val="000000"/>
          <w:sz w:val="28"/>
          <w:szCs w:val="28"/>
        </w:rPr>
        <w:t>深市债券质押式协议回购业务风险控制</w:t>
      </w:r>
    </w:p>
    <w:p>
      <w:pPr>
        <w:pStyle w:val="72"/>
        <w:numPr>
          <w:ilvl w:val="255"/>
          <w:numId w:val="0"/>
        </w:numPr>
        <w:ind w:firstLine="560" w:firstLineChars="200"/>
        <w:outlineLvl w:val="2"/>
        <w:rPr>
          <w:rFonts w:ascii="楷体_GB2312" w:eastAsia="楷体_GB2312"/>
          <w:color w:val="000000"/>
          <w:sz w:val="28"/>
          <w:szCs w:val="28"/>
          <w:lang w:bidi="ar"/>
        </w:rPr>
      </w:pPr>
      <w:r>
        <w:rPr>
          <w:rFonts w:hint="eastAsia" w:ascii="楷体_GB2312" w:eastAsia="楷体_GB2312"/>
          <w:color w:val="000000"/>
          <w:sz w:val="28"/>
          <w:szCs w:val="28"/>
          <w:lang w:bidi="ar"/>
        </w:rPr>
        <w:t>本次协议回购风险控制相关技术优化主要包括启用“约定号”用于标识确认方经纪客户；新增交易要素“违约宽限期”、“是否同意在违约情形下由质权方对该违约交易项下的质押券直接以拍卖、变卖等方式进行处置（即处置标识）”、“补充约定及其他（即扩展备注）”用于填写风险控制相关信息。为确保相关优化功能的顺利实施，本次全网测试各市场参与者应充分测试协议回购交易结算相关流程，包括申报截至2023年8月11日收市后协议回购存量合约（如有）的各类后续业务。包括但不限于以下内容：</w:t>
      </w:r>
    </w:p>
    <w:p>
      <w:pPr>
        <w:pStyle w:val="72"/>
        <w:numPr>
          <w:ilvl w:val="0"/>
          <w:numId w:val="6"/>
        </w:numPr>
        <w:ind w:left="0" w:firstLine="560"/>
        <w:jc w:val="left"/>
        <w:outlineLvl w:val="2"/>
        <w:rPr>
          <w:rFonts w:ascii="楷体_GB2312" w:eastAsia="楷体_GB2312"/>
          <w:color w:val="000000"/>
          <w:sz w:val="28"/>
          <w:szCs w:val="28"/>
          <w:lang w:bidi="ar"/>
        </w:rPr>
      </w:pPr>
      <w:r>
        <w:rPr>
          <w:rFonts w:hint="eastAsia" w:ascii="楷体_GB2312" w:eastAsia="楷体_GB2312"/>
          <w:color w:val="000000"/>
          <w:sz w:val="28"/>
          <w:szCs w:val="28"/>
          <w:lang w:bidi="ar"/>
        </w:rPr>
        <w:t>协议回购业务初始交易、提前购回、质押券变更、到期续做、到期购回、解除质押的委托申报及回报消息处理；</w:t>
      </w:r>
    </w:p>
    <w:p>
      <w:pPr>
        <w:pStyle w:val="72"/>
        <w:numPr>
          <w:ilvl w:val="0"/>
          <w:numId w:val="6"/>
        </w:numPr>
        <w:ind w:left="0" w:firstLine="560"/>
        <w:jc w:val="left"/>
        <w:outlineLvl w:val="2"/>
        <w:rPr>
          <w:rFonts w:ascii="楷体_GB2312" w:eastAsia="楷体_GB2312"/>
          <w:color w:val="000000"/>
          <w:sz w:val="28"/>
          <w:szCs w:val="28"/>
          <w:lang w:bidi="ar"/>
        </w:rPr>
      </w:pPr>
      <w:r>
        <w:rPr>
          <w:rFonts w:hint="eastAsia" w:ascii="楷体_GB2312" w:eastAsia="楷体_GB2312"/>
          <w:color w:val="000000"/>
          <w:sz w:val="28"/>
          <w:szCs w:val="28"/>
          <w:lang w:bidi="ar"/>
        </w:rPr>
        <w:t>交易终端固收专区协议回购初始交易、提前购回、质押券变更、到期续做、到期购回、解除质押的委托申报、主动撤单，逆回购方的委托确认、委托拒绝，当日委托/当日成交查询及导出、消息提醒；</w:t>
      </w:r>
    </w:p>
    <w:p>
      <w:pPr>
        <w:pStyle w:val="72"/>
        <w:widowControl/>
        <w:numPr>
          <w:ilvl w:val="0"/>
          <w:numId w:val="6"/>
        </w:numPr>
        <w:ind w:left="0" w:firstLine="560"/>
        <w:jc w:val="left"/>
        <w:outlineLvl w:val="2"/>
        <w:rPr>
          <w:rFonts w:ascii="楷体_GB2312" w:eastAsia="楷体_GB2312"/>
          <w:color w:val="000000"/>
          <w:sz w:val="28"/>
          <w:szCs w:val="28"/>
        </w:rPr>
      </w:pPr>
      <w:r>
        <w:rPr>
          <w:rFonts w:hint="eastAsia" w:ascii="楷体_GB2312" w:eastAsia="楷体_GB2312"/>
          <w:color w:val="000000"/>
          <w:sz w:val="28"/>
          <w:szCs w:val="28"/>
          <w:lang w:bidi="ar"/>
        </w:rPr>
        <w:t>协议回购初始交易、提前购回、质押券变更、到期续做、到期购回、解除质押的清算交收处理。</w:t>
      </w:r>
    </w:p>
    <w:p>
      <w:pPr>
        <w:widowControl/>
        <w:numPr>
          <w:ilvl w:val="0"/>
          <w:numId w:val="3"/>
        </w:numPr>
        <w:spacing w:line="360" w:lineRule="atLeast"/>
        <w:ind w:firstLine="562" w:firstLineChars="200"/>
        <w:jc w:val="left"/>
        <w:outlineLvl w:val="1"/>
        <w:rPr>
          <w:b/>
          <w:bCs/>
          <w:color w:val="000000"/>
          <w:sz w:val="28"/>
          <w:szCs w:val="28"/>
        </w:rPr>
      </w:pPr>
      <w:r>
        <w:rPr>
          <w:rFonts w:hint="eastAsia"/>
          <w:b/>
          <w:bCs/>
          <w:color w:val="000000"/>
          <w:sz w:val="28"/>
          <w:szCs w:val="28"/>
        </w:rPr>
        <w:t>T日测试内容（模拟2023年</w:t>
      </w:r>
      <w:r>
        <w:rPr>
          <w:rFonts w:hint="eastAsia"/>
          <w:b/>
          <w:bCs/>
          <w:color w:val="000000"/>
          <w:sz w:val="28"/>
          <w:szCs w:val="28"/>
          <w:lang w:eastAsia="zh-CN"/>
        </w:rPr>
        <w:t>8月12日</w:t>
      </w:r>
      <w:r>
        <w:rPr>
          <w:rFonts w:hint="eastAsia"/>
          <w:b/>
          <w:bCs/>
          <w:color w:val="000000"/>
          <w:sz w:val="28"/>
          <w:szCs w:val="28"/>
        </w:rPr>
        <w:t>）</w:t>
      </w:r>
    </w:p>
    <w:p>
      <w:pPr>
        <w:pStyle w:val="30"/>
        <w:ind w:firstLine="562" w:firstLineChars="200"/>
        <w:rPr>
          <w:color w:val="000000"/>
          <w:szCs w:val="28"/>
        </w:rPr>
      </w:pPr>
      <w:r>
        <w:rPr>
          <w:rFonts w:hint="eastAsia"/>
          <w:b/>
          <w:color w:val="000000"/>
          <w:szCs w:val="28"/>
        </w:rPr>
        <w:t>市场参与人技术系统：</w:t>
      </w:r>
    </w:p>
    <w:p>
      <w:pPr>
        <w:pStyle w:val="30"/>
        <w:spacing w:line="240" w:lineRule="auto"/>
        <w:ind w:firstLine="560" w:firstLineChars="200"/>
        <w:rPr>
          <w:color w:val="000000"/>
          <w:szCs w:val="28"/>
        </w:rPr>
      </w:pPr>
      <w:r>
        <w:rPr>
          <w:rFonts w:hint="eastAsia"/>
          <w:color w:val="000000"/>
          <w:szCs w:val="28"/>
        </w:rPr>
        <w:t>模拟深市证券（含现货、期权等品种）</w:t>
      </w:r>
      <w:r>
        <w:rPr>
          <w:rFonts w:hint="eastAsia" w:ascii="Times New Roman"/>
          <w:color w:val="000000"/>
          <w:szCs w:val="28"/>
        </w:rPr>
        <w:t>包括</w:t>
      </w:r>
      <w:r>
        <w:rPr>
          <w:rFonts w:hint="eastAsia"/>
          <w:color w:val="000000"/>
          <w:szCs w:val="28"/>
        </w:rPr>
        <w:t>交易、非交易、</w:t>
      </w:r>
      <w:r>
        <w:rPr>
          <w:rFonts w:hint="eastAsia" w:ascii="Times New Roman"/>
          <w:color w:val="000000"/>
          <w:szCs w:val="28"/>
        </w:rPr>
        <w:t>债券质押式协议回购</w:t>
      </w:r>
      <w:r>
        <w:rPr>
          <w:rFonts w:hint="eastAsia"/>
          <w:color w:val="000000"/>
          <w:szCs w:val="28"/>
        </w:rPr>
        <w:t>等业务的委托申报，</w:t>
      </w:r>
      <w:r>
        <w:rPr>
          <w:rFonts w:hint="eastAsia"/>
          <w:color w:val="000000"/>
          <w:szCs w:val="28"/>
          <w:highlight w:val="none"/>
        </w:rPr>
        <w:t>港股通</w:t>
      </w:r>
      <w:r>
        <w:rPr>
          <w:rFonts w:hint="eastAsia"/>
          <w:color w:val="000000"/>
          <w:szCs w:val="28"/>
        </w:rPr>
        <w:t>证券交易、非交易等业务的委托申报，接收成交回报与实时行情（含</w:t>
      </w:r>
      <w:r>
        <w:rPr>
          <w:rFonts w:hint="eastAsia"/>
          <w:color w:val="000000"/>
          <w:szCs w:val="28"/>
          <w:lang w:eastAsia="zh-CN"/>
        </w:rPr>
        <w:t>现货、期权</w:t>
      </w:r>
      <w:r>
        <w:rPr>
          <w:rFonts w:hint="eastAsia"/>
          <w:color w:val="000000"/>
          <w:szCs w:val="28"/>
          <w:lang w:bidi="ar"/>
        </w:rPr>
        <w:t>行情</w:t>
      </w:r>
      <w:r>
        <w:rPr>
          <w:rFonts w:hint="eastAsia"/>
          <w:color w:val="000000"/>
          <w:szCs w:val="28"/>
        </w:rPr>
        <w:t>）。通过交易终端进行委托申报、行情查询、成交查询及数据下载。</w:t>
      </w:r>
    </w:p>
    <w:p>
      <w:pPr>
        <w:pStyle w:val="30"/>
        <w:ind w:firstLine="560" w:firstLineChars="200"/>
        <w:rPr>
          <w:color w:val="000000"/>
          <w:szCs w:val="28"/>
        </w:rPr>
      </w:pPr>
      <w:r>
        <w:rPr>
          <w:rFonts w:hint="eastAsia"/>
          <w:color w:val="000000"/>
          <w:szCs w:val="28"/>
        </w:rPr>
        <w:t>模拟深市证券（含现货、期权等品</w:t>
      </w:r>
      <w:r>
        <w:rPr>
          <w:rFonts w:hint="eastAsia"/>
          <w:color w:val="000000"/>
          <w:szCs w:val="28"/>
          <w:highlight w:val="none"/>
        </w:rPr>
        <w:t>种）</w:t>
      </w:r>
      <w:r>
        <w:rPr>
          <w:rFonts w:hint="eastAsia"/>
          <w:szCs w:val="28"/>
          <w:highlight w:val="none"/>
        </w:rPr>
        <w:t>、港股通证</w:t>
      </w:r>
      <w:r>
        <w:rPr>
          <w:rFonts w:hint="eastAsia"/>
          <w:szCs w:val="28"/>
        </w:rPr>
        <w:t>券</w:t>
      </w:r>
      <w:r>
        <w:rPr>
          <w:rFonts w:hint="eastAsia"/>
          <w:color w:val="000000"/>
          <w:szCs w:val="28"/>
        </w:rPr>
        <w:t>的股份及资金清算交收等业务处理。</w:t>
      </w:r>
    </w:p>
    <w:p>
      <w:pPr>
        <w:widowControl/>
        <w:numPr>
          <w:ilvl w:val="0"/>
          <w:numId w:val="3"/>
        </w:numPr>
        <w:spacing w:line="360" w:lineRule="atLeast"/>
        <w:ind w:firstLine="562" w:firstLineChars="200"/>
        <w:jc w:val="left"/>
        <w:outlineLvl w:val="1"/>
        <w:rPr>
          <w:b/>
          <w:bCs/>
          <w:color w:val="000000"/>
          <w:sz w:val="28"/>
          <w:szCs w:val="28"/>
        </w:rPr>
      </w:pPr>
      <w:r>
        <w:rPr>
          <w:rFonts w:hint="eastAsia"/>
          <w:b/>
          <w:bCs/>
          <w:color w:val="000000"/>
          <w:sz w:val="28"/>
          <w:szCs w:val="28"/>
        </w:rPr>
        <w:t>恢复验证测试内容（模拟2023年</w:t>
      </w:r>
      <w:r>
        <w:rPr>
          <w:rFonts w:hint="eastAsia"/>
          <w:b/>
          <w:bCs/>
          <w:color w:val="000000"/>
          <w:sz w:val="28"/>
          <w:szCs w:val="28"/>
          <w:lang w:eastAsia="zh-CN"/>
        </w:rPr>
        <w:t>8月12日</w:t>
      </w:r>
      <w:r>
        <w:rPr>
          <w:rFonts w:hint="eastAsia"/>
          <w:b/>
          <w:bCs/>
          <w:color w:val="000000"/>
          <w:sz w:val="28"/>
          <w:szCs w:val="28"/>
        </w:rPr>
        <w:t>）</w:t>
      </w:r>
    </w:p>
    <w:p>
      <w:pPr>
        <w:pStyle w:val="30"/>
        <w:ind w:firstLine="562" w:firstLineChars="200"/>
        <w:rPr>
          <w:color w:val="000000"/>
          <w:szCs w:val="28"/>
        </w:rPr>
      </w:pPr>
      <w:r>
        <w:rPr>
          <w:rFonts w:hint="eastAsia"/>
          <w:b/>
          <w:color w:val="000000"/>
          <w:szCs w:val="28"/>
        </w:rPr>
        <w:t>市场参与人技术系统：交易网关、行情网关、文件网关使用与2023年</w:t>
      </w:r>
      <w:r>
        <w:rPr>
          <w:rFonts w:hint="eastAsia"/>
          <w:b/>
          <w:color w:val="000000"/>
          <w:szCs w:val="28"/>
          <w:lang w:eastAsia="zh-CN"/>
        </w:rPr>
        <w:t>8月14日</w:t>
      </w:r>
      <w:r>
        <w:rPr>
          <w:rFonts w:hint="eastAsia"/>
          <w:b/>
          <w:color w:val="000000"/>
          <w:szCs w:val="28"/>
        </w:rPr>
        <w:t>生产系统相同配置连接交易及相关系统。</w:t>
      </w:r>
      <w:r>
        <w:rPr>
          <w:rFonts w:hint="eastAsia"/>
          <w:color w:val="000000"/>
          <w:szCs w:val="28"/>
        </w:rPr>
        <w:t>模拟深市证券日常交易、非交易等业务的委托申报，接收成交回报与实时行情，验证自身系统的正确性。</w:t>
      </w:r>
    </w:p>
    <w:p>
      <w:pPr>
        <w:pStyle w:val="30"/>
        <w:ind w:firstLine="560" w:firstLineChars="200"/>
        <w:rPr>
          <w:color w:val="000000"/>
          <w:szCs w:val="28"/>
        </w:rPr>
      </w:pPr>
    </w:p>
    <w:p>
      <w:pPr>
        <w:pStyle w:val="15"/>
        <w:outlineLvl w:val="0"/>
        <w:rPr>
          <w:rFonts w:ascii="楷体_GB2312" w:eastAsia="楷体_GB2312"/>
          <w:b/>
          <w:color w:val="000000"/>
          <w:sz w:val="32"/>
          <w:szCs w:val="32"/>
        </w:rPr>
      </w:pPr>
      <w:bookmarkStart w:id="3" w:name="_Toc102489703"/>
      <w:r>
        <w:rPr>
          <w:rFonts w:hint="eastAsia" w:ascii="楷体_GB2312" w:eastAsia="楷体_GB2312"/>
          <w:b/>
          <w:color w:val="000000"/>
          <w:sz w:val="32"/>
          <w:szCs w:val="32"/>
        </w:rPr>
        <w:t>四、测试</w:t>
      </w:r>
      <w:r>
        <w:rPr>
          <w:rFonts w:hint="eastAsia" w:ascii="楷体_GB2312" w:eastAsia="楷体_GB2312"/>
          <w:b/>
          <w:color w:val="000000"/>
          <w:sz w:val="32"/>
          <w:szCs w:val="28"/>
        </w:rPr>
        <w:t>时间</w:t>
      </w:r>
      <w:r>
        <w:rPr>
          <w:rFonts w:hint="eastAsia" w:ascii="楷体_GB2312" w:eastAsia="楷体_GB2312"/>
          <w:b/>
          <w:color w:val="000000"/>
          <w:sz w:val="32"/>
          <w:szCs w:val="32"/>
        </w:rPr>
        <w:t>安排</w:t>
      </w:r>
      <w:bookmarkEnd w:id="3"/>
    </w:p>
    <w:p>
      <w:pPr>
        <w:ind w:firstLine="562" w:firstLineChars="200"/>
        <w:jc w:val="left"/>
        <w:rPr>
          <w:color w:val="000000"/>
          <w:sz w:val="28"/>
          <w:szCs w:val="28"/>
        </w:rPr>
      </w:pPr>
      <w:r>
        <w:rPr>
          <w:rFonts w:hint="eastAsia"/>
          <w:b/>
          <w:color w:val="000000"/>
          <w:sz w:val="28"/>
          <w:szCs w:val="28"/>
        </w:rPr>
        <w:t>测试时间为2023年</w:t>
      </w:r>
      <w:r>
        <w:rPr>
          <w:rFonts w:hint="eastAsia"/>
          <w:b/>
          <w:color w:val="000000"/>
          <w:sz w:val="28"/>
          <w:szCs w:val="28"/>
          <w:lang w:eastAsia="zh-CN"/>
        </w:rPr>
        <w:t>8月12日</w:t>
      </w:r>
      <w:r>
        <w:rPr>
          <w:rFonts w:hint="eastAsia"/>
          <w:b/>
          <w:color w:val="000000"/>
          <w:sz w:val="28"/>
          <w:szCs w:val="28"/>
        </w:rPr>
        <w:t>8:30至</w:t>
      </w:r>
      <w:r>
        <w:rPr>
          <w:rFonts w:hint="eastAsia"/>
          <w:b/>
          <w:color w:val="000000"/>
          <w:sz w:val="28"/>
          <w:szCs w:val="28"/>
          <w:lang w:val="en-US" w:eastAsia="zh-CN"/>
        </w:rPr>
        <w:t>15</w:t>
      </w:r>
      <w:r>
        <w:rPr>
          <w:rFonts w:hint="eastAsia"/>
          <w:b/>
          <w:color w:val="000000"/>
          <w:sz w:val="28"/>
          <w:szCs w:val="28"/>
        </w:rPr>
        <w:t>:30（含恢复验证测试）。</w:t>
      </w:r>
      <w:bookmarkStart w:id="4" w:name="_Toc102489705"/>
    </w:p>
    <w:p>
      <w:pPr>
        <w:ind w:firstLine="560" w:firstLineChars="200"/>
        <w:jc w:val="left"/>
        <w:rPr>
          <w:rFonts w:hAnsi="楷体_GB2312" w:cs="楷体_GB2312"/>
          <w:b/>
          <w:bCs/>
          <w:color w:val="000000"/>
          <w:sz w:val="28"/>
          <w:szCs w:val="28"/>
        </w:rPr>
      </w:pPr>
      <w:r>
        <w:rPr>
          <w:rFonts w:hint="eastAsia"/>
          <w:color w:val="000000"/>
          <w:sz w:val="28"/>
          <w:szCs w:val="28"/>
        </w:rPr>
        <w:t>深市证券交易及结算业务的具体安排请见下表：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7"/>
        <w:gridCol w:w="4010"/>
        <w:gridCol w:w="27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8721" w:type="dxa"/>
            <w:gridSpan w:val="3"/>
            <w:tcBorders>
              <w:top w:val="single" w:color="auto" w:sz="4" w:space="0"/>
              <w:left w:val="single" w:color="auto" w:sz="4" w:space="0"/>
              <w:bottom w:val="single" w:color="auto" w:sz="4" w:space="0"/>
              <w:right w:val="single" w:color="auto" w:sz="4" w:space="0"/>
            </w:tcBorders>
            <w:shd w:val="clear" w:color="auto" w:fill="8DB3E2" w:themeFill="text2" w:themeFillTint="66"/>
            <w:vAlign w:val="center"/>
          </w:tcPr>
          <w:p>
            <w:pPr>
              <w:ind w:firstLine="480"/>
              <w:jc w:val="center"/>
              <w:rPr>
                <w:rFonts w:hAnsi="楷体_GB2312" w:cs="楷体_GB2312"/>
                <w:b/>
                <w:color w:val="000000"/>
                <w:szCs w:val="21"/>
              </w:rPr>
            </w:pPr>
            <w:r>
              <w:rPr>
                <w:rFonts w:ascii="Times New Roman"/>
                <w:b/>
                <w:bCs/>
                <w:color w:val="000000"/>
                <w:sz w:val="21"/>
                <w:szCs w:val="21"/>
              </w:rPr>
              <w:t>T日测试事项（模拟日期：202</w:t>
            </w:r>
            <w:r>
              <w:rPr>
                <w:rFonts w:hint="eastAsia" w:ascii="Times New Roman"/>
                <w:b/>
                <w:bCs/>
                <w:color w:val="000000"/>
                <w:sz w:val="21"/>
                <w:szCs w:val="21"/>
              </w:rPr>
              <w:t>3</w:t>
            </w:r>
            <w:r>
              <w:rPr>
                <w:rFonts w:ascii="Times New Roman"/>
                <w:b/>
                <w:bCs/>
                <w:color w:val="000000"/>
                <w:sz w:val="21"/>
                <w:szCs w:val="21"/>
              </w:rPr>
              <w:t>年</w:t>
            </w:r>
            <w:r>
              <w:rPr>
                <w:rFonts w:hint="eastAsia" w:ascii="Times New Roman"/>
                <w:b/>
                <w:bCs/>
                <w:color w:val="000000"/>
                <w:sz w:val="21"/>
                <w:szCs w:val="21"/>
                <w:lang w:eastAsia="zh-CN"/>
              </w:rPr>
              <w:t>8月12日</w:t>
            </w:r>
            <w:r>
              <w:rPr>
                <w:rFonts w:ascii="Times New Roman"/>
                <w:b/>
                <w:bCs/>
                <w:color w:val="00000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时间</w:t>
            </w:r>
          </w:p>
        </w:tc>
        <w:tc>
          <w:tcPr>
            <w:tcW w:w="4010"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2774"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9:00前</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早间下发T日静态交易参考信息文件、PCF文件、信息公告、股东大会信息文件</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接收并加载静态交易参考信息文件、PCF文件、信息公告、股东大会信息文件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9:00-12:00</w:t>
            </w:r>
          </w:p>
          <w:p>
            <w:pPr>
              <w:spacing w:line="300" w:lineRule="exact"/>
              <w:jc w:val="center"/>
              <w:rPr>
                <w:rFonts w:ascii="Times New Roman"/>
                <w:sz w:val="21"/>
                <w:szCs w:val="21"/>
              </w:rPr>
            </w:pPr>
            <w:r>
              <w:rPr>
                <w:rFonts w:hint="eastAsia" w:ascii="Times New Roman"/>
                <w:sz w:val="21"/>
                <w:szCs w:val="21"/>
              </w:rPr>
              <w:t>（10:30-10:35中午休市）</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Times New Roman"/>
                <w:sz w:val="21"/>
                <w:szCs w:val="21"/>
              </w:rPr>
            </w:pPr>
            <w:r>
              <w:rPr>
                <w:rFonts w:ascii="Times New Roman"/>
                <w:sz w:val="21"/>
                <w:szCs w:val="21"/>
              </w:rPr>
              <w:t>设置福田中心为主中心、南方中心为备中心运行，接收日常交易、非交易等委托</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hint="eastAsia"/>
                <w:color w:val="000000"/>
                <w:sz w:val="21"/>
                <w:szCs w:val="21"/>
              </w:rPr>
            </w:pPr>
            <w:r>
              <w:rPr>
                <w:rFonts w:hint="eastAsia"/>
                <w:color w:val="000000"/>
                <w:sz w:val="21"/>
                <w:szCs w:val="21"/>
              </w:rPr>
              <w:t>深市现货、股票期权等品种交易、非交易</w:t>
            </w:r>
            <w:r>
              <w:rPr>
                <w:rFonts w:hint="eastAsia"/>
                <w:color w:val="000000"/>
                <w:sz w:val="21"/>
                <w:szCs w:val="21"/>
                <w:lang w:eastAsia="zh-CN"/>
              </w:rPr>
              <w:t>、债券质押式协议回购</w:t>
            </w:r>
            <w:r>
              <w:rPr>
                <w:rFonts w:hint="eastAsia"/>
                <w:color w:val="000000"/>
                <w:sz w:val="21"/>
                <w:szCs w:val="21"/>
              </w:rPr>
              <w:t>业务。</w:t>
            </w:r>
          </w:p>
          <w:p>
            <w:pPr>
              <w:spacing w:line="300" w:lineRule="exact"/>
              <w:rPr>
                <w:rFonts w:hint="default" w:eastAsia="楷体_GB2312"/>
                <w:color w:val="000000"/>
                <w:sz w:val="21"/>
                <w:szCs w:val="21"/>
                <w:lang w:val="en-US" w:eastAsia="zh-CN"/>
              </w:rPr>
            </w:pPr>
            <w:r>
              <w:rPr>
                <w:rFonts w:hint="eastAsia"/>
                <w:color w:val="FF0000"/>
                <w:sz w:val="21"/>
                <w:szCs w:val="21"/>
                <w:lang w:val="en-US" w:eastAsia="zh-CN"/>
              </w:rPr>
              <w:t>深交所将于10:30左右模拟福田中心Level 1行情（包括地面和卫星，下同）中断，于11：40左右模拟福田中心Level 1行情恢复，请观测并记录行情接收情况。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12:00-13:30</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中国结算深圳分公司模拟T日股份资金清算交收</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13:30后</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T日结算数据发送</w:t>
            </w:r>
          </w:p>
        </w:tc>
        <w:tc>
          <w:tcPr>
            <w:tcW w:w="2774" w:type="dxa"/>
            <w:tcBorders>
              <w:top w:val="single" w:color="auto" w:sz="4" w:space="0"/>
              <w:left w:val="single" w:color="auto" w:sz="4" w:space="0"/>
              <w:bottom w:val="single" w:color="auto" w:sz="4" w:space="0"/>
              <w:right w:val="single" w:color="auto" w:sz="4" w:space="0"/>
            </w:tcBorders>
            <w:shd w:val="clear" w:color="auto" w:fill="auto"/>
          </w:tcPr>
          <w:p>
            <w:pPr>
              <w:spacing w:line="300" w:lineRule="exact"/>
              <w:jc w:val="left"/>
              <w:rPr>
                <w:rFonts w:ascii="Times New Roman"/>
                <w:sz w:val="21"/>
                <w:szCs w:val="21"/>
              </w:rPr>
            </w:pPr>
            <w:r>
              <w:rPr>
                <w:rFonts w:ascii="Times New Roman"/>
                <w:sz w:val="21"/>
                <w:szCs w:val="21"/>
              </w:rPr>
              <w:t>接收结算数据。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8721" w:type="dxa"/>
            <w:gridSpan w:val="3"/>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pStyle w:val="34"/>
              <w:widowControl/>
              <w:jc w:val="center"/>
              <w:rPr>
                <w:rFonts w:hAnsi="楷体_GB2312" w:cs="楷体_GB2312"/>
                <w:b/>
                <w:color w:val="000000"/>
                <w:sz w:val="21"/>
                <w:szCs w:val="21"/>
              </w:rPr>
            </w:pPr>
            <w:r>
              <w:rPr>
                <w:rFonts w:hint="eastAsia" w:hAnsi="楷体_GB2312" w:cs="楷体_GB2312"/>
                <w:b/>
                <w:color w:val="000000"/>
                <w:sz w:val="21"/>
                <w:szCs w:val="21"/>
              </w:rPr>
              <w:t>各业务平台的委托申报时间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平台</w:t>
            </w:r>
          </w:p>
        </w:tc>
        <w:tc>
          <w:tcPr>
            <w:tcW w:w="4010"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委托申报时间</w:t>
            </w:r>
          </w:p>
        </w:tc>
        <w:tc>
          <w:tcPr>
            <w:tcW w:w="2774"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现货集中竞价交易平台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9:15-9:25,9:30-10:30,10:35-11:30</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9:25开盘，9:30开始连续竞价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综合金融服务平台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9:15-10:30,10:35-12:00</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盘后定价成交的交易时间为11:35-12:00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衍生品集中竞价交易平台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与现货集中竞价交易平台相同</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期权组合策略保证金、普通仓与备兑仓互转业务申报截止时间为11:45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非交易处理平台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9:15-10:30,10:35-11:30</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期权相关业务申报截止时间为12:00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固定收益交易平台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9:00-10:30,10:35-12:00</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匹配成交的开盘集合匹配时间9:15-9:25，连续匹配开始时间9:30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场外业务平台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不参测</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bl>
    <w:p>
      <w:pPr>
        <w:rPr>
          <w:rFonts w:hAnsi="楷体_GB2312" w:cs="楷体_GB2312"/>
          <w:b/>
          <w:bCs/>
          <w:color w:val="000000"/>
          <w:sz w:val="28"/>
          <w:szCs w:val="28"/>
        </w:rPr>
      </w:pPr>
    </w:p>
    <w:tbl>
      <w:tblPr>
        <w:tblStyle w:val="36"/>
        <w:tblpPr w:leftFromText="180" w:rightFromText="180" w:vertAnchor="text" w:horzAnchor="page" w:tblpX="1694" w:tblpY="62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0"/>
        <w:gridCol w:w="4183"/>
        <w:gridCol w:w="28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0" w:type="auto"/>
            <w:gridSpan w:val="3"/>
            <w:tcBorders>
              <w:top w:val="single" w:color="auto" w:sz="4" w:space="0"/>
              <w:left w:val="single" w:color="auto" w:sz="4" w:space="0"/>
              <w:bottom w:val="single" w:color="auto" w:sz="4" w:space="0"/>
              <w:right w:val="single" w:color="auto" w:sz="4" w:space="0"/>
            </w:tcBorders>
            <w:shd w:val="clear" w:color="auto" w:fill="8DB3E2" w:themeFill="text2" w:themeFillTint="66"/>
            <w:vAlign w:val="center"/>
          </w:tcPr>
          <w:p>
            <w:pPr>
              <w:spacing w:line="300" w:lineRule="exact"/>
              <w:jc w:val="center"/>
              <w:rPr>
                <w:rFonts w:hAnsi="楷体_GB2312" w:cs="楷体_GB2312"/>
                <w:b/>
                <w:color w:val="000000"/>
                <w:szCs w:val="21"/>
              </w:rPr>
            </w:pPr>
            <w:r>
              <w:rPr>
                <w:rFonts w:ascii="Times New Roman"/>
                <w:b/>
                <w:bCs/>
                <w:color w:val="000000"/>
                <w:sz w:val="21"/>
                <w:szCs w:val="21"/>
              </w:rPr>
              <w:t>恢复验证测试事项（模拟日期：202</w:t>
            </w:r>
            <w:r>
              <w:rPr>
                <w:rFonts w:hint="eastAsia" w:ascii="Times New Roman"/>
                <w:b/>
                <w:bCs/>
                <w:color w:val="000000"/>
                <w:sz w:val="21"/>
                <w:szCs w:val="21"/>
              </w:rPr>
              <w:t>3</w:t>
            </w:r>
            <w:r>
              <w:rPr>
                <w:rFonts w:ascii="Times New Roman"/>
                <w:b/>
                <w:bCs/>
                <w:color w:val="000000"/>
                <w:sz w:val="21"/>
                <w:szCs w:val="21"/>
              </w:rPr>
              <w:t>年</w:t>
            </w:r>
            <w:r>
              <w:rPr>
                <w:rFonts w:hint="eastAsia" w:ascii="Times New Roman"/>
                <w:b/>
                <w:bCs/>
                <w:color w:val="000000"/>
                <w:sz w:val="21"/>
                <w:szCs w:val="21"/>
                <w:lang w:eastAsia="zh-CN"/>
              </w:rPr>
              <w:t>8月12日</w:t>
            </w:r>
            <w:r>
              <w:rPr>
                <w:rFonts w:ascii="Times New Roman"/>
                <w:b/>
                <w:bCs/>
                <w:color w:val="00000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时间</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14</w:t>
            </w:r>
            <w:r>
              <w:rPr>
                <w:rFonts w:ascii="Times New Roman"/>
                <w:sz w:val="21"/>
                <w:szCs w:val="21"/>
              </w:rPr>
              <w:t>:</w:t>
            </w:r>
            <w:r>
              <w:rPr>
                <w:rFonts w:hint="eastAsia" w:ascii="Times New Roman"/>
                <w:sz w:val="21"/>
                <w:szCs w:val="21"/>
              </w:rPr>
              <w:t>30</w:t>
            </w:r>
            <w:r>
              <w:rPr>
                <w:rFonts w:ascii="Times New Roman"/>
                <w:sz w:val="21"/>
                <w:szCs w:val="21"/>
              </w:rPr>
              <w:t>前</w:t>
            </w:r>
          </w:p>
        </w:tc>
        <w:tc>
          <w:tcPr>
            <w:tcW w:w="0" w:type="auto"/>
            <w:gridSpan w:val="2"/>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恢复系统环境，并准备恢复验证测试的数据环境。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8"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14</w:t>
            </w:r>
            <w:r>
              <w:rPr>
                <w:rFonts w:ascii="Times New Roman"/>
                <w:sz w:val="21"/>
                <w:szCs w:val="21"/>
              </w:rPr>
              <w:t>:</w:t>
            </w:r>
            <w:r>
              <w:rPr>
                <w:rFonts w:hint="eastAsia" w:ascii="Times New Roman"/>
                <w:sz w:val="21"/>
                <w:szCs w:val="21"/>
              </w:rPr>
              <w:t>30前</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通过文件网关发布恢复验证测试的交易参考信息文件。</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接收并加载交易参考信息文件。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14</w:t>
            </w:r>
            <w:r>
              <w:rPr>
                <w:rFonts w:ascii="Times New Roman"/>
                <w:sz w:val="21"/>
                <w:szCs w:val="21"/>
              </w:rPr>
              <w:t>:</w:t>
            </w:r>
            <w:r>
              <w:rPr>
                <w:rFonts w:hint="eastAsia" w:ascii="Times New Roman"/>
                <w:sz w:val="21"/>
                <w:szCs w:val="21"/>
              </w:rPr>
              <w:t>2</w:t>
            </w:r>
            <w:r>
              <w:rPr>
                <w:rFonts w:ascii="Times New Roman"/>
                <w:sz w:val="21"/>
                <w:szCs w:val="21"/>
              </w:rPr>
              <w:t>5-</w:t>
            </w:r>
            <w:r>
              <w:rPr>
                <w:rFonts w:hint="eastAsia" w:ascii="Times New Roman"/>
                <w:sz w:val="21"/>
                <w:szCs w:val="21"/>
              </w:rPr>
              <w:t>15</w:t>
            </w:r>
            <w:r>
              <w:rPr>
                <w:rFonts w:ascii="Times New Roman"/>
                <w:sz w:val="21"/>
                <w:szCs w:val="21"/>
              </w:rPr>
              <w:t>:</w:t>
            </w:r>
            <w:r>
              <w:rPr>
                <w:rFonts w:hint="eastAsia" w:ascii="Times New Roman"/>
                <w:sz w:val="21"/>
                <w:szCs w:val="21"/>
              </w:rPr>
              <w:t>3</w:t>
            </w:r>
            <w:r>
              <w:rPr>
                <w:rFonts w:ascii="Times New Roman"/>
                <w:sz w:val="21"/>
                <w:szCs w:val="21"/>
              </w:rPr>
              <w:t>0</w:t>
            </w:r>
          </w:p>
          <w:p>
            <w:pPr>
              <w:spacing w:line="300" w:lineRule="exact"/>
              <w:jc w:val="center"/>
              <w:rPr>
                <w:rFonts w:ascii="Times New Roman"/>
                <w:sz w:val="21"/>
                <w:szCs w:val="21"/>
              </w:rPr>
            </w:pPr>
            <w:r>
              <w:rPr>
                <w:rFonts w:hint="eastAsia" w:ascii="Times New Roman"/>
                <w:sz w:val="21"/>
                <w:szCs w:val="21"/>
              </w:rPr>
              <w:t>（15</w:t>
            </w:r>
            <w:r>
              <w:rPr>
                <w:rFonts w:ascii="Times New Roman"/>
                <w:sz w:val="21"/>
                <w:szCs w:val="21"/>
              </w:rPr>
              <w:t>:</w:t>
            </w:r>
            <w:r>
              <w:rPr>
                <w:rFonts w:hint="eastAsia" w:ascii="Times New Roman"/>
                <w:sz w:val="21"/>
                <w:szCs w:val="21"/>
              </w:rPr>
              <w:t>0</w:t>
            </w:r>
            <w:r>
              <w:rPr>
                <w:rFonts w:ascii="Times New Roman"/>
                <w:sz w:val="21"/>
                <w:szCs w:val="21"/>
              </w:rPr>
              <w:t>0-</w:t>
            </w:r>
            <w:r>
              <w:rPr>
                <w:rFonts w:hint="eastAsia" w:ascii="Times New Roman"/>
                <w:sz w:val="21"/>
                <w:szCs w:val="21"/>
              </w:rPr>
              <w:t>15</w:t>
            </w:r>
            <w:r>
              <w:rPr>
                <w:rFonts w:ascii="Times New Roman"/>
                <w:sz w:val="21"/>
                <w:szCs w:val="21"/>
              </w:rPr>
              <w:t>:</w:t>
            </w:r>
            <w:r>
              <w:rPr>
                <w:rFonts w:hint="eastAsia" w:ascii="Times New Roman"/>
                <w:sz w:val="21"/>
                <w:szCs w:val="21"/>
              </w:rPr>
              <w:t>0</w:t>
            </w:r>
            <w:r>
              <w:rPr>
                <w:rFonts w:ascii="Times New Roman"/>
                <w:sz w:val="21"/>
                <w:szCs w:val="21"/>
              </w:rPr>
              <w:t>5</w:t>
            </w:r>
            <w:r>
              <w:rPr>
                <w:rFonts w:hint="eastAsia" w:ascii="Times New Roman"/>
                <w:sz w:val="21"/>
                <w:szCs w:val="21"/>
              </w:rPr>
              <w:t>中午休市）</w:t>
            </w:r>
          </w:p>
        </w:tc>
        <w:tc>
          <w:tcPr>
            <w:tcW w:w="0" w:type="auto"/>
            <w:tcBorders>
              <w:top w:val="single" w:color="auto" w:sz="4" w:space="0"/>
              <w:left w:val="single" w:color="auto" w:sz="4" w:space="0"/>
              <w:bottom w:val="single" w:color="auto" w:sz="4" w:space="0"/>
              <w:right w:val="single" w:color="auto" w:sz="4" w:space="0"/>
            </w:tcBorders>
            <w:shd w:val="clear" w:color="auto" w:fill="auto"/>
          </w:tcPr>
          <w:p>
            <w:pPr>
              <w:spacing w:line="300" w:lineRule="exact"/>
              <w:jc w:val="left"/>
              <w:rPr>
                <w:rFonts w:ascii="Times New Roman"/>
                <w:sz w:val="21"/>
                <w:szCs w:val="21"/>
              </w:rPr>
            </w:pPr>
            <w:r>
              <w:rPr>
                <w:rFonts w:hint="eastAsia" w:ascii="Times New Roman"/>
                <w:sz w:val="21"/>
                <w:szCs w:val="21"/>
              </w:rPr>
              <w:t>设置福田中心为主中心、南方中心为备中心运行，接收日常交易、非交易等委托</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交易网关、行情网关、文件网关使用与2023年</w:t>
            </w:r>
            <w:r>
              <w:rPr>
                <w:rFonts w:hint="eastAsia" w:ascii="Times New Roman"/>
                <w:sz w:val="21"/>
                <w:szCs w:val="21"/>
                <w:lang w:val="en-US" w:eastAsia="zh-CN"/>
              </w:rPr>
              <w:t>8</w:t>
            </w:r>
            <w:r>
              <w:rPr>
                <w:rFonts w:hint="eastAsia" w:ascii="Times New Roman"/>
                <w:sz w:val="21"/>
                <w:szCs w:val="21"/>
              </w:rPr>
              <w:t>月1</w:t>
            </w:r>
            <w:r>
              <w:rPr>
                <w:rFonts w:hint="eastAsia" w:ascii="Times New Roman"/>
                <w:sz w:val="21"/>
                <w:szCs w:val="21"/>
                <w:lang w:val="en-US" w:eastAsia="zh-CN"/>
              </w:rPr>
              <w:t>4</w:t>
            </w:r>
            <w:r>
              <w:rPr>
                <w:rFonts w:hint="eastAsia" w:ascii="Times New Roman"/>
                <w:sz w:val="21"/>
                <w:szCs w:val="21"/>
              </w:rPr>
              <w:t>日生产系统相同配置进行恢复验证测试。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15:30后</w:t>
            </w:r>
          </w:p>
        </w:tc>
        <w:tc>
          <w:tcPr>
            <w:tcW w:w="0" w:type="auto"/>
            <w:gridSpan w:val="2"/>
            <w:tcBorders>
              <w:top w:val="single" w:color="auto" w:sz="4" w:space="0"/>
              <w:left w:val="single" w:color="auto" w:sz="4" w:space="0"/>
              <w:bottom w:val="single" w:color="auto" w:sz="4" w:space="0"/>
              <w:right w:val="single" w:color="auto" w:sz="4" w:space="0"/>
            </w:tcBorders>
            <w:shd w:val="clear" w:color="auto" w:fill="auto"/>
          </w:tcPr>
          <w:p>
            <w:pPr>
              <w:spacing w:line="300" w:lineRule="exact"/>
              <w:jc w:val="left"/>
              <w:rPr>
                <w:rFonts w:ascii="Times New Roman"/>
                <w:sz w:val="21"/>
                <w:szCs w:val="21"/>
              </w:rPr>
            </w:pPr>
            <w:r>
              <w:rPr>
                <w:rFonts w:ascii="Times New Roman"/>
                <w:sz w:val="21"/>
                <w:szCs w:val="21"/>
              </w:rPr>
              <w:t>恢复线上生产数据环境并核查其正确性。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0" w:type="auto"/>
            <w:gridSpan w:val="3"/>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pStyle w:val="34"/>
              <w:widowControl/>
              <w:jc w:val="center"/>
              <w:rPr>
                <w:rFonts w:hAnsi="楷体_GB2312" w:cs="楷体_GB2312"/>
                <w:b/>
                <w:color w:val="000000"/>
                <w:sz w:val="21"/>
                <w:szCs w:val="21"/>
              </w:rPr>
            </w:pPr>
            <w:r>
              <w:rPr>
                <w:rFonts w:hint="eastAsia" w:hAnsi="楷体_GB2312" w:cs="楷体_GB2312"/>
                <w:b/>
                <w:color w:val="000000"/>
                <w:sz w:val="21"/>
                <w:szCs w:val="21"/>
              </w:rPr>
              <w:t>各业务平台的委托申报时间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0" w:type="auto"/>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平台</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委托申报时间</w:t>
            </w:r>
          </w:p>
        </w:tc>
        <w:tc>
          <w:tcPr>
            <w:tcW w:w="0" w:type="auto"/>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2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现货集中竞价交易平台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hint="eastAsia" w:ascii="Times New Roman"/>
                <w:sz w:val="21"/>
                <w:szCs w:val="21"/>
              </w:rPr>
              <w:t>14</w:t>
            </w:r>
            <w:r>
              <w:rPr>
                <w:rFonts w:ascii="Times New Roman"/>
                <w:sz w:val="21"/>
                <w:szCs w:val="21"/>
              </w:rPr>
              <w:t>:</w:t>
            </w:r>
            <w:r>
              <w:rPr>
                <w:rFonts w:hint="eastAsia" w:ascii="Times New Roman"/>
                <w:sz w:val="21"/>
                <w:szCs w:val="21"/>
              </w:rPr>
              <w:t>30</w:t>
            </w:r>
            <w:r>
              <w:rPr>
                <w:rFonts w:ascii="Times New Roman"/>
                <w:sz w:val="21"/>
                <w:szCs w:val="21"/>
              </w:rPr>
              <w:t>-</w:t>
            </w:r>
            <w:r>
              <w:rPr>
                <w:rFonts w:hint="eastAsia" w:ascii="Times New Roman"/>
                <w:sz w:val="21"/>
                <w:szCs w:val="21"/>
              </w:rPr>
              <w:t>14</w:t>
            </w:r>
            <w:r>
              <w:rPr>
                <w:rFonts w:ascii="Times New Roman"/>
                <w:sz w:val="21"/>
                <w:szCs w:val="21"/>
              </w:rPr>
              <w:t>:</w:t>
            </w:r>
            <w:r>
              <w:rPr>
                <w:rFonts w:hint="eastAsia" w:ascii="Times New Roman"/>
                <w:sz w:val="21"/>
                <w:szCs w:val="21"/>
              </w:rPr>
              <w:t>40</w:t>
            </w:r>
            <w:r>
              <w:rPr>
                <w:rFonts w:ascii="Times New Roman"/>
                <w:sz w:val="21"/>
                <w:szCs w:val="21"/>
              </w:rPr>
              <w:t>,</w:t>
            </w:r>
            <w:r>
              <w:rPr>
                <w:rFonts w:hint="eastAsia" w:ascii="Times New Roman"/>
                <w:sz w:val="21"/>
                <w:szCs w:val="21"/>
              </w:rPr>
              <w:t>14</w:t>
            </w:r>
            <w:r>
              <w:rPr>
                <w:rFonts w:ascii="Times New Roman"/>
                <w:sz w:val="21"/>
                <w:szCs w:val="21"/>
              </w:rPr>
              <w:t>:</w:t>
            </w:r>
            <w:r>
              <w:rPr>
                <w:rFonts w:hint="eastAsia" w:ascii="Times New Roman"/>
                <w:sz w:val="21"/>
                <w:szCs w:val="21"/>
              </w:rPr>
              <w:t>45</w:t>
            </w:r>
            <w:r>
              <w:rPr>
                <w:rFonts w:ascii="Times New Roman"/>
                <w:sz w:val="21"/>
                <w:szCs w:val="21"/>
              </w:rPr>
              <w:t>-</w:t>
            </w:r>
            <w:r>
              <w:rPr>
                <w:rFonts w:hint="eastAsia" w:ascii="Times New Roman"/>
                <w:sz w:val="21"/>
                <w:szCs w:val="21"/>
              </w:rPr>
              <w:t>15</w:t>
            </w:r>
            <w:r>
              <w:rPr>
                <w:rFonts w:ascii="Times New Roman"/>
                <w:sz w:val="21"/>
                <w:szCs w:val="21"/>
              </w:rPr>
              <w:t>:</w:t>
            </w:r>
            <w:r>
              <w:rPr>
                <w:rFonts w:hint="eastAsia" w:ascii="Times New Roman"/>
                <w:sz w:val="21"/>
                <w:szCs w:val="21"/>
              </w:rPr>
              <w:t>00</w:t>
            </w:r>
            <w:r>
              <w:rPr>
                <w:rFonts w:ascii="Times New Roman"/>
                <w:sz w:val="21"/>
                <w:szCs w:val="21"/>
              </w:rPr>
              <w:t>,</w:t>
            </w:r>
            <w:r>
              <w:rPr>
                <w:rFonts w:hint="eastAsia" w:ascii="Times New Roman"/>
                <w:sz w:val="21"/>
                <w:szCs w:val="21"/>
              </w:rPr>
              <w:t>15</w:t>
            </w:r>
            <w:r>
              <w:rPr>
                <w:rFonts w:ascii="Times New Roman"/>
                <w:sz w:val="21"/>
                <w:szCs w:val="21"/>
              </w:rPr>
              <w:t>:</w:t>
            </w:r>
            <w:r>
              <w:rPr>
                <w:rFonts w:hint="eastAsia" w:ascii="Times New Roman"/>
                <w:sz w:val="21"/>
                <w:szCs w:val="21"/>
              </w:rPr>
              <w:t>0</w:t>
            </w:r>
            <w:r>
              <w:rPr>
                <w:rFonts w:ascii="Times New Roman"/>
                <w:sz w:val="21"/>
                <w:szCs w:val="21"/>
              </w:rPr>
              <w:t>5-</w:t>
            </w:r>
            <w:r>
              <w:rPr>
                <w:rFonts w:hint="eastAsia" w:ascii="Times New Roman"/>
                <w:sz w:val="21"/>
                <w:szCs w:val="21"/>
              </w:rPr>
              <w:t>15</w:t>
            </w:r>
            <w:r>
              <w:rPr>
                <w:rFonts w:ascii="Times New Roman"/>
                <w:sz w:val="21"/>
                <w:szCs w:val="21"/>
              </w:rPr>
              <w:t>:</w:t>
            </w:r>
            <w:r>
              <w:rPr>
                <w:rFonts w:hint="eastAsia" w:ascii="Times New Roman"/>
                <w:sz w:val="21"/>
                <w:szCs w:val="21"/>
              </w:rPr>
              <w:t>20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14</w:t>
            </w:r>
            <w:r>
              <w:rPr>
                <w:rFonts w:ascii="Times New Roman"/>
                <w:sz w:val="21"/>
                <w:szCs w:val="21"/>
              </w:rPr>
              <w:t>:</w:t>
            </w:r>
            <w:r>
              <w:rPr>
                <w:rFonts w:hint="eastAsia" w:ascii="Times New Roman"/>
                <w:sz w:val="21"/>
                <w:szCs w:val="21"/>
              </w:rPr>
              <w:t>40</w:t>
            </w:r>
            <w:r>
              <w:rPr>
                <w:rFonts w:ascii="Times New Roman"/>
                <w:sz w:val="21"/>
                <w:szCs w:val="21"/>
              </w:rPr>
              <w:t>开盘，</w:t>
            </w:r>
            <w:r>
              <w:rPr>
                <w:rFonts w:hint="eastAsia" w:ascii="Times New Roman"/>
                <w:sz w:val="21"/>
                <w:szCs w:val="21"/>
              </w:rPr>
              <w:t>14</w:t>
            </w:r>
            <w:r>
              <w:rPr>
                <w:rFonts w:ascii="Times New Roman"/>
                <w:sz w:val="21"/>
                <w:szCs w:val="21"/>
              </w:rPr>
              <w:t>:</w:t>
            </w:r>
            <w:r>
              <w:rPr>
                <w:rFonts w:hint="eastAsia" w:ascii="Times New Roman"/>
                <w:sz w:val="21"/>
                <w:szCs w:val="21"/>
              </w:rPr>
              <w:t>45</w:t>
            </w:r>
            <w:r>
              <w:rPr>
                <w:rFonts w:ascii="Times New Roman"/>
                <w:sz w:val="21"/>
                <w:szCs w:val="21"/>
              </w:rPr>
              <w:t>开始连续竞价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综合金融服务平台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hint="eastAsia" w:ascii="Times New Roman"/>
                <w:sz w:val="21"/>
                <w:szCs w:val="21"/>
              </w:rPr>
              <w:t>14</w:t>
            </w:r>
            <w:r>
              <w:rPr>
                <w:rFonts w:ascii="Times New Roman"/>
                <w:sz w:val="21"/>
                <w:szCs w:val="21"/>
              </w:rPr>
              <w:t>:</w:t>
            </w:r>
            <w:r>
              <w:rPr>
                <w:rFonts w:hint="eastAsia" w:ascii="Times New Roman"/>
                <w:sz w:val="21"/>
                <w:szCs w:val="21"/>
              </w:rPr>
              <w:t>30</w:t>
            </w:r>
            <w:r>
              <w:rPr>
                <w:rFonts w:ascii="Times New Roman"/>
                <w:sz w:val="21"/>
                <w:szCs w:val="21"/>
              </w:rPr>
              <w:t>-</w:t>
            </w:r>
            <w:r>
              <w:rPr>
                <w:rFonts w:hint="eastAsia" w:ascii="Times New Roman"/>
                <w:sz w:val="21"/>
                <w:szCs w:val="21"/>
              </w:rPr>
              <w:t>15</w:t>
            </w:r>
            <w:r>
              <w:rPr>
                <w:rFonts w:ascii="Times New Roman"/>
                <w:sz w:val="21"/>
                <w:szCs w:val="21"/>
              </w:rPr>
              <w:t>:</w:t>
            </w:r>
            <w:r>
              <w:rPr>
                <w:rFonts w:hint="eastAsia" w:ascii="Times New Roman"/>
                <w:sz w:val="21"/>
                <w:szCs w:val="21"/>
              </w:rPr>
              <w:t>0</w:t>
            </w:r>
            <w:r>
              <w:rPr>
                <w:rFonts w:ascii="Times New Roman"/>
                <w:sz w:val="21"/>
                <w:szCs w:val="21"/>
              </w:rPr>
              <w:t>0,</w:t>
            </w:r>
            <w:r>
              <w:rPr>
                <w:rFonts w:hint="eastAsia" w:ascii="Times New Roman"/>
                <w:sz w:val="21"/>
                <w:szCs w:val="21"/>
              </w:rPr>
              <w:t>15</w:t>
            </w:r>
            <w:r>
              <w:rPr>
                <w:rFonts w:ascii="Times New Roman"/>
                <w:sz w:val="21"/>
                <w:szCs w:val="21"/>
              </w:rPr>
              <w:t>:</w:t>
            </w:r>
            <w:r>
              <w:rPr>
                <w:rFonts w:hint="eastAsia" w:ascii="Times New Roman"/>
                <w:sz w:val="21"/>
                <w:szCs w:val="21"/>
              </w:rPr>
              <w:t>0</w:t>
            </w:r>
            <w:r>
              <w:rPr>
                <w:rFonts w:ascii="Times New Roman"/>
                <w:sz w:val="21"/>
                <w:szCs w:val="21"/>
              </w:rPr>
              <w:t>5-</w:t>
            </w:r>
            <w:r>
              <w:rPr>
                <w:rFonts w:hint="eastAsia" w:ascii="Times New Roman"/>
                <w:sz w:val="21"/>
                <w:szCs w:val="21"/>
              </w:rPr>
              <w:t>15</w:t>
            </w:r>
            <w:r>
              <w:rPr>
                <w:rFonts w:ascii="Times New Roman"/>
                <w:sz w:val="21"/>
                <w:szCs w:val="21"/>
              </w:rPr>
              <w:t>:</w:t>
            </w:r>
            <w:r>
              <w:rPr>
                <w:rFonts w:hint="eastAsia" w:ascii="Times New Roman"/>
                <w:sz w:val="21"/>
                <w:szCs w:val="21"/>
              </w:rPr>
              <w:t>3</w:t>
            </w:r>
            <w:r>
              <w:rPr>
                <w:rFonts w:ascii="Times New Roman"/>
                <w:sz w:val="21"/>
                <w:szCs w:val="21"/>
              </w:rPr>
              <w:t>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盘后定价成交的交易时间为</w:t>
            </w:r>
            <w:r>
              <w:rPr>
                <w:rFonts w:hint="eastAsia" w:ascii="Times New Roman"/>
                <w:sz w:val="21"/>
                <w:szCs w:val="21"/>
              </w:rPr>
              <w:t>15</w:t>
            </w:r>
            <w:r>
              <w:rPr>
                <w:rFonts w:ascii="Times New Roman"/>
                <w:sz w:val="21"/>
                <w:szCs w:val="21"/>
              </w:rPr>
              <w:t>:</w:t>
            </w:r>
            <w:r>
              <w:rPr>
                <w:rFonts w:hint="eastAsia" w:ascii="Times New Roman"/>
                <w:sz w:val="21"/>
                <w:szCs w:val="21"/>
              </w:rPr>
              <w:t>25</w:t>
            </w:r>
            <w:r>
              <w:rPr>
                <w:rFonts w:ascii="Times New Roman"/>
                <w:sz w:val="21"/>
                <w:szCs w:val="21"/>
              </w:rPr>
              <w:t>-</w:t>
            </w:r>
            <w:r>
              <w:rPr>
                <w:rFonts w:hint="eastAsia" w:ascii="Times New Roman"/>
                <w:sz w:val="21"/>
                <w:szCs w:val="21"/>
              </w:rPr>
              <w:t>15</w:t>
            </w:r>
            <w:r>
              <w:rPr>
                <w:rFonts w:ascii="Times New Roman"/>
                <w:sz w:val="21"/>
                <w:szCs w:val="21"/>
              </w:rPr>
              <w:t>:</w:t>
            </w:r>
            <w:r>
              <w:rPr>
                <w:rFonts w:hint="eastAsia" w:ascii="Times New Roman"/>
                <w:sz w:val="21"/>
                <w:szCs w:val="21"/>
              </w:rPr>
              <w:t>3</w:t>
            </w:r>
            <w:r>
              <w:rPr>
                <w:rFonts w:ascii="Times New Roman"/>
                <w:sz w:val="21"/>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衍生品集中竞价交易平台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与现货集中竞价交易平台相同</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期权组合策略保证金、普通仓与备兑仓互转业务申报截止时间为</w:t>
            </w:r>
            <w:r>
              <w:rPr>
                <w:rFonts w:hint="eastAsia" w:ascii="Times New Roman"/>
                <w:sz w:val="21"/>
                <w:szCs w:val="21"/>
              </w:rPr>
              <w:t>15</w:t>
            </w:r>
            <w:r>
              <w:rPr>
                <w:rFonts w:ascii="Times New Roman"/>
                <w:sz w:val="21"/>
                <w:szCs w:val="21"/>
              </w:rPr>
              <w:t>:</w:t>
            </w:r>
            <w:r>
              <w:rPr>
                <w:rFonts w:hint="eastAsia" w:ascii="Times New Roman"/>
                <w:sz w:val="21"/>
                <w:szCs w:val="21"/>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非交易处理平台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hint="eastAsia" w:ascii="Times New Roman"/>
                <w:sz w:val="21"/>
                <w:szCs w:val="21"/>
              </w:rPr>
              <w:t>14</w:t>
            </w:r>
            <w:r>
              <w:rPr>
                <w:rFonts w:ascii="Times New Roman"/>
                <w:sz w:val="21"/>
                <w:szCs w:val="21"/>
              </w:rPr>
              <w:t>:</w:t>
            </w:r>
            <w:r>
              <w:rPr>
                <w:rFonts w:hint="eastAsia" w:ascii="Times New Roman"/>
                <w:sz w:val="21"/>
                <w:szCs w:val="21"/>
              </w:rPr>
              <w:t>30</w:t>
            </w:r>
            <w:r>
              <w:rPr>
                <w:rFonts w:ascii="Times New Roman"/>
                <w:sz w:val="21"/>
                <w:szCs w:val="21"/>
              </w:rPr>
              <w:t>-</w:t>
            </w:r>
            <w:r>
              <w:rPr>
                <w:rFonts w:hint="eastAsia" w:ascii="Times New Roman"/>
                <w:sz w:val="21"/>
                <w:szCs w:val="21"/>
              </w:rPr>
              <w:t>15</w:t>
            </w:r>
            <w:r>
              <w:rPr>
                <w:rFonts w:ascii="Times New Roman"/>
                <w:sz w:val="21"/>
                <w:szCs w:val="21"/>
              </w:rPr>
              <w:t>:</w:t>
            </w:r>
            <w:r>
              <w:rPr>
                <w:rFonts w:hint="eastAsia" w:ascii="Times New Roman"/>
                <w:sz w:val="21"/>
                <w:szCs w:val="21"/>
              </w:rPr>
              <w:t>0</w:t>
            </w:r>
            <w:r>
              <w:rPr>
                <w:rFonts w:ascii="Times New Roman"/>
                <w:sz w:val="21"/>
                <w:szCs w:val="21"/>
              </w:rPr>
              <w:t>0,</w:t>
            </w:r>
            <w:r>
              <w:rPr>
                <w:rFonts w:hint="eastAsia" w:ascii="Times New Roman"/>
                <w:sz w:val="21"/>
                <w:szCs w:val="21"/>
              </w:rPr>
              <w:t>15</w:t>
            </w:r>
            <w:r>
              <w:rPr>
                <w:rFonts w:ascii="Times New Roman"/>
                <w:sz w:val="21"/>
                <w:szCs w:val="21"/>
              </w:rPr>
              <w:t>:</w:t>
            </w:r>
            <w:r>
              <w:rPr>
                <w:rFonts w:hint="eastAsia" w:ascii="Times New Roman"/>
                <w:sz w:val="21"/>
                <w:szCs w:val="21"/>
              </w:rPr>
              <w:t>0</w:t>
            </w:r>
            <w:r>
              <w:rPr>
                <w:rFonts w:ascii="Times New Roman"/>
                <w:sz w:val="21"/>
                <w:szCs w:val="21"/>
              </w:rPr>
              <w:t>5-</w:t>
            </w:r>
            <w:r>
              <w:rPr>
                <w:rFonts w:hint="eastAsia" w:ascii="Times New Roman"/>
                <w:sz w:val="21"/>
                <w:szCs w:val="21"/>
              </w:rPr>
              <w:t>15</w:t>
            </w:r>
            <w:r>
              <w:rPr>
                <w:rFonts w:ascii="Times New Roman"/>
                <w:sz w:val="21"/>
                <w:szCs w:val="21"/>
              </w:rPr>
              <w:t>:</w:t>
            </w:r>
            <w:r>
              <w:rPr>
                <w:rFonts w:hint="eastAsia" w:ascii="Times New Roman"/>
                <w:sz w:val="21"/>
                <w:szCs w:val="21"/>
              </w:rPr>
              <w:t>20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期权相关业务申报截止时间为</w:t>
            </w:r>
            <w:r>
              <w:rPr>
                <w:rFonts w:hint="eastAsia" w:ascii="Times New Roman"/>
                <w:sz w:val="21"/>
                <w:szCs w:val="21"/>
              </w:rPr>
              <w:t>15</w:t>
            </w:r>
            <w:r>
              <w:rPr>
                <w:rFonts w:ascii="Times New Roman"/>
                <w:sz w:val="21"/>
                <w:szCs w:val="21"/>
              </w:rPr>
              <w:t>:</w:t>
            </w:r>
            <w:r>
              <w:rPr>
                <w:rFonts w:hint="eastAsia" w:ascii="Times New Roman"/>
                <w:sz w:val="21"/>
                <w:szCs w:val="21"/>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0"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固定收益交易平台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hint="eastAsia" w:ascii="Times New Roman"/>
                <w:sz w:val="21"/>
                <w:szCs w:val="21"/>
              </w:rPr>
              <w:t>14</w:t>
            </w:r>
            <w:r>
              <w:rPr>
                <w:rFonts w:ascii="Times New Roman"/>
                <w:sz w:val="21"/>
                <w:szCs w:val="21"/>
              </w:rPr>
              <w:t>:</w:t>
            </w:r>
            <w:r>
              <w:rPr>
                <w:rFonts w:hint="eastAsia" w:ascii="Times New Roman"/>
                <w:sz w:val="21"/>
                <w:szCs w:val="21"/>
              </w:rPr>
              <w:t>25</w:t>
            </w:r>
            <w:r>
              <w:rPr>
                <w:rFonts w:ascii="Times New Roman"/>
                <w:sz w:val="21"/>
                <w:szCs w:val="21"/>
              </w:rPr>
              <w:t>-</w:t>
            </w:r>
            <w:r>
              <w:rPr>
                <w:rFonts w:hint="eastAsia" w:ascii="Times New Roman"/>
                <w:sz w:val="21"/>
                <w:szCs w:val="21"/>
              </w:rPr>
              <w:t>15</w:t>
            </w:r>
            <w:r>
              <w:rPr>
                <w:rFonts w:ascii="Times New Roman"/>
                <w:sz w:val="21"/>
                <w:szCs w:val="21"/>
              </w:rPr>
              <w:t>:</w:t>
            </w:r>
            <w:r>
              <w:rPr>
                <w:rFonts w:hint="eastAsia" w:ascii="Times New Roman"/>
                <w:sz w:val="21"/>
                <w:szCs w:val="21"/>
              </w:rPr>
              <w:t>0</w:t>
            </w:r>
            <w:r>
              <w:rPr>
                <w:rFonts w:ascii="Times New Roman"/>
                <w:sz w:val="21"/>
                <w:szCs w:val="21"/>
              </w:rPr>
              <w:t>0,</w:t>
            </w:r>
            <w:r>
              <w:rPr>
                <w:rFonts w:hint="eastAsia" w:ascii="Times New Roman"/>
                <w:sz w:val="21"/>
                <w:szCs w:val="21"/>
              </w:rPr>
              <w:t>15</w:t>
            </w:r>
            <w:r>
              <w:rPr>
                <w:rFonts w:ascii="Times New Roman"/>
                <w:sz w:val="21"/>
                <w:szCs w:val="21"/>
              </w:rPr>
              <w:t>:</w:t>
            </w:r>
            <w:r>
              <w:rPr>
                <w:rFonts w:hint="eastAsia" w:ascii="Times New Roman"/>
                <w:sz w:val="21"/>
                <w:szCs w:val="21"/>
              </w:rPr>
              <w:t>0</w:t>
            </w:r>
            <w:r>
              <w:rPr>
                <w:rFonts w:ascii="Times New Roman"/>
                <w:sz w:val="21"/>
                <w:szCs w:val="21"/>
              </w:rPr>
              <w:t>5-</w:t>
            </w:r>
            <w:r>
              <w:rPr>
                <w:rFonts w:hint="eastAsia" w:ascii="Times New Roman"/>
                <w:sz w:val="21"/>
                <w:szCs w:val="21"/>
              </w:rPr>
              <w:t>15</w:t>
            </w:r>
            <w:r>
              <w:rPr>
                <w:rFonts w:ascii="Times New Roman"/>
                <w:sz w:val="21"/>
                <w:szCs w:val="21"/>
              </w:rPr>
              <w:t>:</w:t>
            </w:r>
            <w:r>
              <w:rPr>
                <w:rFonts w:hint="eastAsia" w:ascii="Times New Roman"/>
                <w:sz w:val="21"/>
                <w:szCs w:val="21"/>
              </w:rPr>
              <w:t>30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匹配成交的开盘集合匹配时间</w:t>
            </w:r>
            <w:r>
              <w:rPr>
                <w:rFonts w:hint="eastAsia" w:ascii="Times New Roman"/>
                <w:sz w:val="21"/>
                <w:szCs w:val="21"/>
              </w:rPr>
              <w:t>14</w:t>
            </w:r>
            <w:r>
              <w:rPr>
                <w:rFonts w:ascii="Times New Roman"/>
                <w:sz w:val="21"/>
                <w:szCs w:val="21"/>
              </w:rPr>
              <w:t>:</w:t>
            </w:r>
            <w:r>
              <w:rPr>
                <w:rFonts w:hint="eastAsia" w:ascii="Times New Roman"/>
                <w:sz w:val="21"/>
                <w:szCs w:val="21"/>
              </w:rPr>
              <w:t>30</w:t>
            </w:r>
            <w:r>
              <w:rPr>
                <w:rFonts w:ascii="Times New Roman"/>
                <w:sz w:val="21"/>
                <w:szCs w:val="21"/>
              </w:rPr>
              <w:t>-</w:t>
            </w:r>
            <w:r>
              <w:rPr>
                <w:rFonts w:hint="eastAsia" w:ascii="Times New Roman"/>
                <w:sz w:val="21"/>
                <w:szCs w:val="21"/>
              </w:rPr>
              <w:t>14</w:t>
            </w:r>
            <w:r>
              <w:rPr>
                <w:rFonts w:ascii="Times New Roman"/>
                <w:sz w:val="21"/>
                <w:szCs w:val="21"/>
              </w:rPr>
              <w:t>:</w:t>
            </w:r>
            <w:r>
              <w:rPr>
                <w:rFonts w:hint="eastAsia" w:ascii="Times New Roman"/>
                <w:sz w:val="21"/>
                <w:szCs w:val="21"/>
              </w:rPr>
              <w:t>40</w:t>
            </w:r>
            <w:r>
              <w:rPr>
                <w:rFonts w:ascii="Times New Roman"/>
                <w:sz w:val="21"/>
                <w:szCs w:val="21"/>
              </w:rPr>
              <w:t>，连续匹配开始时间</w:t>
            </w:r>
            <w:r>
              <w:rPr>
                <w:rFonts w:hint="eastAsia" w:ascii="Times New Roman"/>
                <w:sz w:val="21"/>
                <w:szCs w:val="21"/>
              </w:rPr>
              <w:t>14</w:t>
            </w:r>
            <w:r>
              <w:rPr>
                <w:rFonts w:ascii="Times New Roman"/>
                <w:sz w:val="21"/>
                <w:szCs w:val="21"/>
              </w:rPr>
              <w:t>:</w:t>
            </w:r>
            <w:r>
              <w:rPr>
                <w:rFonts w:hint="eastAsia" w:ascii="Times New Roman"/>
                <w:sz w:val="21"/>
                <w:szCs w:val="21"/>
              </w:rPr>
              <w:t>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场外业务平台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不参测</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bl>
    <w:p>
      <w:pPr>
        <w:rPr>
          <w:rFonts w:hAnsi="楷体_GB2312" w:cs="楷体_GB2312"/>
          <w:b/>
          <w:bCs/>
          <w:color w:val="000000"/>
          <w:sz w:val="28"/>
          <w:szCs w:val="28"/>
        </w:rPr>
      </w:pPr>
    </w:p>
    <w:p>
      <w:pPr>
        <w:ind w:firstLine="281" w:firstLineChars="100"/>
        <w:rPr>
          <w:rFonts w:hAnsi="楷体_GB2312" w:cs="楷体_GB2312"/>
          <w:color w:val="000000"/>
          <w:sz w:val="28"/>
          <w:szCs w:val="28"/>
        </w:rPr>
      </w:pPr>
      <w:r>
        <w:rPr>
          <w:rFonts w:hint="eastAsia" w:hAnsi="楷体_GB2312" w:cs="楷体_GB2312"/>
          <w:b/>
          <w:bCs/>
          <w:color w:val="000000"/>
          <w:sz w:val="28"/>
          <w:szCs w:val="28"/>
          <w:highlight w:val="none"/>
        </w:rPr>
        <w:t>港股通</w:t>
      </w:r>
      <w:r>
        <w:rPr>
          <w:rFonts w:hint="eastAsia" w:hAnsi="楷体_GB2312" w:cs="楷体_GB2312"/>
          <w:b/>
          <w:bCs/>
          <w:color w:val="000000"/>
          <w:sz w:val="28"/>
          <w:szCs w:val="28"/>
        </w:rPr>
        <w:t>交易结算业务测试</w:t>
      </w:r>
      <w:r>
        <w:rPr>
          <w:rFonts w:hint="eastAsia" w:hAnsi="楷体_GB2312" w:cs="楷体_GB2312"/>
          <w:bCs/>
          <w:color w:val="000000"/>
          <w:sz w:val="28"/>
          <w:szCs w:val="28"/>
        </w:rPr>
        <w:t>的</w:t>
      </w:r>
      <w:r>
        <w:rPr>
          <w:rFonts w:hint="eastAsia" w:hAnsi="楷体_GB2312" w:cs="楷体_GB2312"/>
          <w:color w:val="000000"/>
          <w:sz w:val="28"/>
          <w:szCs w:val="28"/>
        </w:rPr>
        <w:t>具体安排请见下表：</w:t>
      </w:r>
    </w:p>
    <w:tbl>
      <w:tblPr>
        <w:tblStyle w:val="36"/>
        <w:tblW w:w="0" w:type="auto"/>
        <w:jc w:val="center"/>
        <w:tblLayout w:type="fixed"/>
        <w:tblCellMar>
          <w:top w:w="0" w:type="dxa"/>
          <w:left w:w="108" w:type="dxa"/>
          <w:bottom w:w="0" w:type="dxa"/>
          <w:right w:w="108" w:type="dxa"/>
        </w:tblCellMar>
      </w:tblPr>
      <w:tblGrid>
        <w:gridCol w:w="727"/>
        <w:gridCol w:w="1511"/>
        <w:gridCol w:w="2355"/>
        <w:gridCol w:w="3452"/>
      </w:tblGrid>
      <w:tr>
        <w:tblPrEx>
          <w:tblCellMar>
            <w:top w:w="0" w:type="dxa"/>
            <w:left w:w="108" w:type="dxa"/>
            <w:bottom w:w="0" w:type="dxa"/>
            <w:right w:w="108" w:type="dxa"/>
          </w:tblCellMar>
        </w:tblPrEx>
        <w:trPr>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20" w:lineRule="exact"/>
              <w:rPr>
                <w:rFonts w:hAnsi="Calibri" w:cs="宋体"/>
                <w:b/>
                <w:bCs/>
                <w:szCs w:val="24"/>
              </w:rPr>
            </w:pPr>
            <w:r>
              <w:rPr>
                <w:rFonts w:hint="eastAsia"/>
                <w:b/>
                <w:bCs/>
              </w:rPr>
              <w:t>步骤</w:t>
            </w:r>
          </w:p>
        </w:tc>
        <w:tc>
          <w:tcPr>
            <w:tcW w:w="1511" w:type="dxa"/>
            <w:tcBorders>
              <w:top w:val="single" w:color="auto" w:sz="4" w:space="0"/>
              <w:left w:val="nil"/>
              <w:bottom w:val="single" w:color="auto" w:sz="4" w:space="0"/>
              <w:right w:val="single" w:color="auto" w:sz="4" w:space="0"/>
            </w:tcBorders>
            <w:vAlign w:val="center"/>
          </w:tcPr>
          <w:p>
            <w:pPr>
              <w:spacing w:line="320" w:lineRule="exact"/>
              <w:jc w:val="center"/>
              <w:rPr>
                <w:rFonts w:hAnsi="Calibri" w:cs="宋体"/>
                <w:b/>
                <w:bCs/>
                <w:szCs w:val="24"/>
              </w:rPr>
            </w:pPr>
            <w:r>
              <w:rPr>
                <w:rFonts w:hint="eastAsia"/>
                <w:b/>
                <w:bCs/>
              </w:rPr>
              <w:t>时间段</w:t>
            </w:r>
          </w:p>
        </w:tc>
        <w:tc>
          <w:tcPr>
            <w:tcW w:w="5807" w:type="dxa"/>
            <w:gridSpan w:val="2"/>
            <w:tcBorders>
              <w:top w:val="single" w:color="auto" w:sz="4" w:space="0"/>
              <w:left w:val="nil"/>
              <w:bottom w:val="single" w:color="auto" w:sz="4" w:space="0"/>
              <w:right w:val="single" w:color="auto" w:sz="4" w:space="0"/>
            </w:tcBorders>
          </w:tcPr>
          <w:p>
            <w:pPr>
              <w:spacing w:line="320" w:lineRule="exact"/>
              <w:jc w:val="center"/>
              <w:rPr>
                <w:rFonts w:hAnsi="Calibri" w:cs="宋体"/>
                <w:b/>
                <w:bCs/>
                <w:szCs w:val="24"/>
              </w:rPr>
            </w:pPr>
            <w:r>
              <w:rPr>
                <w:rFonts w:hint="eastAsia"/>
                <w:b/>
                <w:bCs/>
              </w:rPr>
              <w:t>测试内容</w:t>
            </w:r>
          </w:p>
        </w:tc>
      </w:tr>
      <w:tr>
        <w:tblPrEx>
          <w:tblCellMar>
            <w:top w:w="0" w:type="dxa"/>
            <w:left w:w="108" w:type="dxa"/>
            <w:bottom w:w="0" w:type="dxa"/>
            <w:right w:w="108" w:type="dxa"/>
          </w:tblCellMar>
        </w:tblPrEx>
        <w:trPr>
          <w:jc w:val="center"/>
        </w:trPr>
        <w:tc>
          <w:tcPr>
            <w:tcW w:w="8045" w:type="dxa"/>
            <w:gridSpan w:val="4"/>
            <w:tcBorders>
              <w:top w:val="single" w:color="auto" w:sz="4" w:space="0"/>
              <w:left w:val="single" w:color="auto" w:sz="4" w:space="0"/>
              <w:bottom w:val="single" w:color="auto" w:sz="4" w:space="0"/>
              <w:right w:val="single" w:color="auto" w:sz="4" w:space="0"/>
            </w:tcBorders>
            <w:vAlign w:val="center"/>
          </w:tcPr>
          <w:p>
            <w:pPr>
              <w:pStyle w:val="21"/>
              <w:spacing w:line="320" w:lineRule="exact"/>
              <w:rPr>
                <w:rFonts w:ascii="楷体_GB2312" w:hAnsi="Calibri" w:cs="宋体"/>
                <w:b/>
                <w:bCs/>
                <w:szCs w:val="24"/>
              </w:rPr>
            </w:pPr>
            <w:r>
              <w:rPr>
                <w:rFonts w:hint="eastAsia" w:ascii="楷体_GB2312"/>
                <w:b/>
                <w:bCs/>
                <w:sz w:val="24"/>
                <w:szCs w:val="24"/>
              </w:rPr>
              <w:t>深交所港股通T日测试安排（模拟T日2023年</w:t>
            </w:r>
            <w:r>
              <w:rPr>
                <w:rFonts w:hint="eastAsia" w:ascii="楷体_GB2312"/>
                <w:b/>
                <w:bCs/>
                <w:sz w:val="24"/>
                <w:szCs w:val="24"/>
                <w:lang w:eastAsia="zh-CN"/>
              </w:rPr>
              <w:t>8月12日</w:t>
            </w:r>
            <w:r>
              <w:rPr>
                <w:rFonts w:hint="eastAsia" w:ascii="楷体_GB2312"/>
                <w:b/>
                <w:bCs/>
                <w:sz w:val="24"/>
                <w:szCs w:val="24"/>
              </w:rPr>
              <w:t>的交易）</w:t>
            </w:r>
          </w:p>
        </w:tc>
      </w:tr>
      <w:tr>
        <w:tblPrEx>
          <w:tblCellMar>
            <w:top w:w="0" w:type="dxa"/>
            <w:left w:w="108" w:type="dxa"/>
            <w:bottom w:w="0" w:type="dxa"/>
            <w:right w:w="108" w:type="dxa"/>
          </w:tblCellMar>
        </w:tblPrEx>
        <w:trPr>
          <w:trHeight w:val="301"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1</w:t>
            </w:r>
          </w:p>
        </w:tc>
        <w:tc>
          <w:tcPr>
            <w:tcW w:w="7318" w:type="dxa"/>
            <w:gridSpan w:val="3"/>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9:00开始</w:t>
            </w:r>
          </w:p>
        </w:tc>
      </w:tr>
      <w:tr>
        <w:tblPrEx>
          <w:tblCellMar>
            <w:top w:w="0" w:type="dxa"/>
            <w:left w:w="108" w:type="dxa"/>
            <w:bottom w:w="0" w:type="dxa"/>
            <w:right w:w="108" w:type="dxa"/>
          </w:tblCellMar>
        </w:tblPrEx>
        <w:trPr>
          <w:trHeight w:val="9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2</w:t>
            </w:r>
          </w:p>
        </w:tc>
        <w:tc>
          <w:tcPr>
            <w:tcW w:w="1511"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9:00-9:30</w:t>
            </w:r>
          </w:p>
        </w:tc>
        <w:tc>
          <w:tcPr>
            <w:tcW w:w="2355"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开市前时段</w:t>
            </w:r>
          </w:p>
        </w:tc>
        <w:tc>
          <w:tcPr>
            <w:tcW w:w="3452" w:type="dxa"/>
            <w:vMerge w:val="restart"/>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参测单位模拟港股通证券交易业务的委托申报，并接收成交回报；实时行情的接收与展示。</w:t>
            </w:r>
          </w:p>
        </w:tc>
      </w:tr>
      <w:tr>
        <w:tblPrEx>
          <w:tblCellMar>
            <w:top w:w="0" w:type="dxa"/>
            <w:left w:w="108" w:type="dxa"/>
            <w:bottom w:w="0" w:type="dxa"/>
            <w:right w:w="108" w:type="dxa"/>
          </w:tblCellMar>
        </w:tblPrEx>
        <w:trPr>
          <w:trHeight w:val="7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3</w:t>
            </w:r>
          </w:p>
        </w:tc>
        <w:tc>
          <w:tcPr>
            <w:tcW w:w="1511"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9:30-12:00</w:t>
            </w:r>
          </w:p>
        </w:tc>
        <w:tc>
          <w:tcPr>
            <w:tcW w:w="2355"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持续交易时段</w:t>
            </w:r>
          </w:p>
        </w:tc>
        <w:tc>
          <w:tcPr>
            <w:tcW w:w="3452" w:type="dxa"/>
            <w:vMerge w:val="continue"/>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r>
        <w:tblPrEx>
          <w:tblCellMar>
            <w:top w:w="0" w:type="dxa"/>
            <w:left w:w="108" w:type="dxa"/>
            <w:bottom w:w="0" w:type="dxa"/>
            <w:right w:w="108" w:type="dxa"/>
          </w:tblCellMar>
        </w:tblPrEx>
        <w:trPr>
          <w:trHeight w:val="7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4</w:t>
            </w:r>
          </w:p>
        </w:tc>
        <w:tc>
          <w:tcPr>
            <w:tcW w:w="1511"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12:00-12:10</w:t>
            </w:r>
          </w:p>
        </w:tc>
        <w:tc>
          <w:tcPr>
            <w:tcW w:w="2355"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收市竞价交易时段</w:t>
            </w:r>
          </w:p>
        </w:tc>
        <w:tc>
          <w:tcPr>
            <w:tcW w:w="3452" w:type="dxa"/>
            <w:vMerge w:val="continue"/>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r>
        <w:tblPrEx>
          <w:tblCellMar>
            <w:top w:w="0" w:type="dxa"/>
            <w:left w:w="108" w:type="dxa"/>
            <w:bottom w:w="0" w:type="dxa"/>
            <w:right w:w="108" w:type="dxa"/>
          </w:tblCellMar>
        </w:tblPrEx>
        <w:trPr>
          <w:trHeight w:val="7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5</w:t>
            </w:r>
          </w:p>
        </w:tc>
        <w:tc>
          <w:tcPr>
            <w:tcW w:w="1511"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lang w:bidi="ar"/>
              </w:rPr>
            </w:pPr>
            <w:r>
              <w:rPr>
                <w:rFonts w:hint="eastAsia"/>
                <w:color w:val="000000"/>
                <w:sz w:val="21"/>
                <w:szCs w:val="21"/>
              </w:rPr>
              <w:t>12:10-12:45</w:t>
            </w:r>
          </w:p>
        </w:tc>
        <w:tc>
          <w:tcPr>
            <w:tcW w:w="2355"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lang w:bidi="ar"/>
              </w:rPr>
            </w:pPr>
            <w:r>
              <w:rPr>
                <w:rFonts w:hint="eastAsia"/>
                <w:color w:val="000000"/>
                <w:sz w:val="21"/>
                <w:szCs w:val="21"/>
              </w:rPr>
              <w:t>发布港股收盘价格文件</w:t>
            </w:r>
          </w:p>
        </w:tc>
        <w:tc>
          <w:tcPr>
            <w:tcW w:w="345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r>
              <w:rPr>
                <w:rFonts w:hint="eastAsia"/>
                <w:color w:val="000000"/>
                <w:sz w:val="21"/>
                <w:szCs w:val="21"/>
              </w:rPr>
              <w:t>接收港股收盘价格文件。</w:t>
            </w:r>
          </w:p>
        </w:tc>
      </w:tr>
      <w:tr>
        <w:tblPrEx>
          <w:tblCellMar>
            <w:top w:w="0" w:type="dxa"/>
            <w:left w:w="108" w:type="dxa"/>
            <w:bottom w:w="0" w:type="dxa"/>
            <w:right w:w="108" w:type="dxa"/>
          </w:tblCellMar>
        </w:tblPrEx>
        <w:trPr>
          <w:trHeight w:val="70" w:hRule="atLeast"/>
          <w:jc w:val="center"/>
        </w:trPr>
        <w:tc>
          <w:tcPr>
            <w:tcW w:w="8045" w:type="dxa"/>
            <w:gridSpan w:val="4"/>
            <w:tcBorders>
              <w:top w:val="single" w:color="auto" w:sz="4" w:space="0"/>
              <w:left w:val="single" w:color="auto" w:sz="4" w:space="0"/>
              <w:bottom w:val="single" w:color="auto" w:sz="4" w:space="0"/>
              <w:right w:val="single" w:color="auto" w:sz="4" w:space="0"/>
            </w:tcBorders>
            <w:vAlign w:val="center"/>
          </w:tcPr>
          <w:p>
            <w:pPr>
              <w:rPr>
                <w:rFonts w:cs="宋体"/>
                <w:color w:val="2E2E2E"/>
                <w:kern w:val="0"/>
                <w:szCs w:val="24"/>
              </w:rPr>
            </w:pPr>
            <w:r>
              <w:rPr>
                <w:rFonts w:hint="eastAsia"/>
                <w:b/>
                <w:bCs/>
                <w:szCs w:val="24"/>
              </w:rPr>
              <w:t>中国结算深圳分公司T日测试安排（模拟T日2023年</w:t>
            </w:r>
            <w:r>
              <w:rPr>
                <w:rFonts w:hint="eastAsia"/>
                <w:b/>
                <w:bCs/>
                <w:szCs w:val="24"/>
                <w:lang w:eastAsia="zh-CN"/>
              </w:rPr>
              <w:t>8月12日</w:t>
            </w:r>
            <w:r>
              <w:rPr>
                <w:rFonts w:hint="eastAsia"/>
                <w:b/>
                <w:bCs/>
                <w:szCs w:val="24"/>
              </w:rPr>
              <w:t>的交易）</w:t>
            </w:r>
          </w:p>
        </w:tc>
      </w:tr>
      <w:tr>
        <w:tblPrEx>
          <w:tblCellMar>
            <w:top w:w="0" w:type="dxa"/>
            <w:left w:w="108" w:type="dxa"/>
            <w:bottom w:w="0" w:type="dxa"/>
            <w:right w:w="108" w:type="dxa"/>
          </w:tblCellMar>
        </w:tblPrEx>
        <w:trPr>
          <w:trHeight w:val="7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1</w:t>
            </w:r>
          </w:p>
        </w:tc>
        <w:tc>
          <w:tcPr>
            <w:tcW w:w="1511" w:type="dxa"/>
            <w:tcBorders>
              <w:top w:val="single" w:color="auto" w:sz="4" w:space="0"/>
              <w:left w:val="nil"/>
              <w:bottom w:val="single" w:color="auto" w:sz="4" w:space="0"/>
              <w:right w:val="single" w:color="auto" w:sz="4" w:space="0"/>
            </w:tcBorders>
            <w:vAlign w:val="center"/>
          </w:tcPr>
          <w:p>
            <w:pPr>
              <w:spacing w:line="300" w:lineRule="exact"/>
              <w:jc w:val="left"/>
              <w:rPr>
                <w:color w:val="000000"/>
                <w:sz w:val="21"/>
                <w:szCs w:val="21"/>
              </w:rPr>
            </w:pPr>
            <w:r>
              <w:rPr>
                <w:rFonts w:hint="eastAsia"/>
                <w:color w:val="000000"/>
                <w:sz w:val="21"/>
                <w:szCs w:val="21"/>
              </w:rPr>
              <w:t>8:30-12:00</w:t>
            </w:r>
          </w:p>
        </w:tc>
        <w:tc>
          <w:tcPr>
            <w:tcW w:w="2355" w:type="dxa"/>
            <w:tcBorders>
              <w:top w:val="single" w:color="auto" w:sz="4" w:space="0"/>
              <w:left w:val="nil"/>
              <w:bottom w:val="single" w:color="auto" w:sz="4" w:space="0"/>
              <w:right w:val="single" w:color="auto" w:sz="4" w:space="0"/>
            </w:tcBorders>
          </w:tcPr>
          <w:p>
            <w:pPr>
              <w:spacing w:line="300" w:lineRule="exact"/>
              <w:rPr>
                <w:color w:val="000000"/>
                <w:sz w:val="21"/>
                <w:szCs w:val="21"/>
              </w:rPr>
            </w:pPr>
            <w:r>
              <w:rPr>
                <w:rFonts w:hint="eastAsia"/>
                <w:color w:val="000000"/>
                <w:sz w:val="21"/>
                <w:szCs w:val="21"/>
              </w:rPr>
              <w:t>D-COM业务申报（港股通公司行为及非交易业务等）。</w:t>
            </w:r>
          </w:p>
        </w:tc>
        <w:tc>
          <w:tcPr>
            <w:tcW w:w="345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r>
        <w:tblPrEx>
          <w:tblCellMar>
            <w:top w:w="0" w:type="dxa"/>
            <w:left w:w="108" w:type="dxa"/>
            <w:bottom w:w="0" w:type="dxa"/>
            <w:right w:w="108" w:type="dxa"/>
          </w:tblCellMar>
        </w:tblPrEx>
        <w:trPr>
          <w:trHeight w:val="7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2</w:t>
            </w:r>
          </w:p>
        </w:tc>
        <w:tc>
          <w:tcPr>
            <w:tcW w:w="1511" w:type="dxa"/>
            <w:tcBorders>
              <w:top w:val="single" w:color="auto" w:sz="4" w:space="0"/>
              <w:left w:val="nil"/>
              <w:bottom w:val="single" w:color="auto" w:sz="4" w:space="0"/>
              <w:right w:val="single" w:color="auto" w:sz="4" w:space="0"/>
            </w:tcBorders>
            <w:vAlign w:val="center"/>
          </w:tcPr>
          <w:p>
            <w:pPr>
              <w:spacing w:line="300" w:lineRule="exact"/>
              <w:jc w:val="left"/>
              <w:rPr>
                <w:color w:val="000000"/>
                <w:sz w:val="21"/>
                <w:szCs w:val="21"/>
              </w:rPr>
            </w:pPr>
            <w:r>
              <w:rPr>
                <w:rFonts w:hint="eastAsia"/>
                <w:color w:val="000000"/>
                <w:sz w:val="21"/>
                <w:szCs w:val="21"/>
              </w:rPr>
              <w:t>12:10-13:30</w:t>
            </w:r>
          </w:p>
        </w:tc>
        <w:tc>
          <w:tcPr>
            <w:tcW w:w="2355" w:type="dxa"/>
            <w:tcBorders>
              <w:top w:val="single" w:color="auto" w:sz="4" w:space="0"/>
              <w:left w:val="nil"/>
              <w:bottom w:val="single" w:color="auto" w:sz="4" w:space="0"/>
              <w:right w:val="single" w:color="auto" w:sz="4" w:space="0"/>
            </w:tcBorders>
          </w:tcPr>
          <w:p>
            <w:pPr>
              <w:spacing w:line="300" w:lineRule="exact"/>
              <w:rPr>
                <w:color w:val="000000"/>
                <w:sz w:val="21"/>
                <w:szCs w:val="21"/>
              </w:rPr>
            </w:pPr>
            <w:r>
              <w:rPr>
                <w:rFonts w:hint="eastAsia"/>
                <w:color w:val="000000"/>
                <w:sz w:val="21"/>
                <w:szCs w:val="21"/>
              </w:rPr>
              <w:t>港股通结算日终处理。</w:t>
            </w:r>
          </w:p>
        </w:tc>
        <w:tc>
          <w:tcPr>
            <w:tcW w:w="345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r>
        <w:tblPrEx>
          <w:tblCellMar>
            <w:top w:w="0" w:type="dxa"/>
            <w:left w:w="108" w:type="dxa"/>
            <w:bottom w:w="0" w:type="dxa"/>
            <w:right w:w="108" w:type="dxa"/>
          </w:tblCellMar>
        </w:tblPrEx>
        <w:trPr>
          <w:trHeight w:val="70" w:hRule="atLeast"/>
          <w:jc w:val="center"/>
        </w:trPr>
        <w:tc>
          <w:tcPr>
            <w:tcW w:w="727"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color w:val="000000"/>
                <w:sz w:val="21"/>
                <w:szCs w:val="21"/>
              </w:rPr>
            </w:pPr>
            <w:r>
              <w:rPr>
                <w:rFonts w:hint="eastAsia"/>
                <w:color w:val="000000"/>
                <w:sz w:val="21"/>
                <w:szCs w:val="21"/>
              </w:rPr>
              <w:t>3</w:t>
            </w:r>
          </w:p>
        </w:tc>
        <w:tc>
          <w:tcPr>
            <w:tcW w:w="1511" w:type="dxa"/>
            <w:tcBorders>
              <w:top w:val="single" w:color="auto" w:sz="4" w:space="0"/>
              <w:left w:val="nil"/>
              <w:bottom w:val="single" w:color="auto" w:sz="4" w:space="0"/>
              <w:right w:val="single" w:color="auto" w:sz="4" w:space="0"/>
            </w:tcBorders>
            <w:vAlign w:val="center"/>
          </w:tcPr>
          <w:p>
            <w:pPr>
              <w:spacing w:line="300" w:lineRule="exact"/>
              <w:jc w:val="left"/>
              <w:rPr>
                <w:color w:val="000000"/>
                <w:sz w:val="21"/>
                <w:szCs w:val="21"/>
              </w:rPr>
            </w:pPr>
            <w:r>
              <w:rPr>
                <w:rFonts w:hint="eastAsia"/>
                <w:color w:val="000000"/>
                <w:sz w:val="21"/>
                <w:szCs w:val="21"/>
              </w:rPr>
              <w:t>13:30后</w:t>
            </w:r>
          </w:p>
        </w:tc>
        <w:tc>
          <w:tcPr>
            <w:tcW w:w="2355" w:type="dxa"/>
            <w:tcBorders>
              <w:top w:val="single" w:color="auto" w:sz="4" w:space="0"/>
              <w:left w:val="nil"/>
              <w:bottom w:val="single" w:color="auto" w:sz="4" w:space="0"/>
              <w:right w:val="single" w:color="auto" w:sz="4" w:space="0"/>
            </w:tcBorders>
          </w:tcPr>
          <w:p>
            <w:pPr>
              <w:spacing w:line="300" w:lineRule="exact"/>
              <w:rPr>
                <w:color w:val="000000"/>
                <w:sz w:val="21"/>
                <w:szCs w:val="21"/>
              </w:rPr>
            </w:pPr>
            <w:r>
              <w:rPr>
                <w:rFonts w:hint="eastAsia"/>
                <w:color w:val="000000"/>
                <w:sz w:val="21"/>
                <w:szCs w:val="21"/>
              </w:rPr>
              <w:t>中国结算深圳分公司发送T日的港股通结算数据。</w:t>
            </w:r>
          </w:p>
        </w:tc>
        <w:tc>
          <w:tcPr>
            <w:tcW w:w="3452" w:type="dxa"/>
            <w:tcBorders>
              <w:top w:val="single" w:color="auto" w:sz="4" w:space="0"/>
              <w:left w:val="nil"/>
              <w:bottom w:val="single" w:color="auto" w:sz="4" w:space="0"/>
              <w:right w:val="single" w:color="auto" w:sz="4" w:space="0"/>
            </w:tcBorders>
            <w:vAlign w:val="center"/>
          </w:tcPr>
          <w:p>
            <w:pPr>
              <w:spacing w:line="300" w:lineRule="exact"/>
              <w:rPr>
                <w:color w:val="000000"/>
                <w:sz w:val="21"/>
                <w:szCs w:val="21"/>
              </w:rPr>
            </w:pPr>
          </w:p>
        </w:tc>
      </w:tr>
    </w:tbl>
    <w:p>
      <w:pPr>
        <w:ind w:firstLine="560" w:firstLineChars="200"/>
        <w:rPr>
          <w:color w:val="000000"/>
          <w:sz w:val="28"/>
          <w:szCs w:val="28"/>
        </w:rPr>
      </w:pPr>
    </w:p>
    <w:p>
      <w:pPr>
        <w:pStyle w:val="15"/>
        <w:outlineLvl w:val="0"/>
        <w:rPr>
          <w:rFonts w:ascii="楷体_GB2312" w:eastAsia="楷体_GB2312"/>
          <w:b/>
          <w:color w:val="000000"/>
          <w:sz w:val="32"/>
          <w:szCs w:val="28"/>
        </w:rPr>
      </w:pPr>
      <w:r>
        <w:rPr>
          <w:rFonts w:hint="eastAsia" w:ascii="楷体_GB2312" w:eastAsia="楷体_GB2312"/>
          <w:b/>
          <w:color w:val="000000"/>
          <w:sz w:val="32"/>
          <w:szCs w:val="28"/>
        </w:rPr>
        <w:t>五、</w:t>
      </w:r>
      <w:r>
        <w:rPr>
          <w:rFonts w:hint="eastAsia" w:ascii="楷体_GB2312" w:eastAsia="楷体_GB2312"/>
          <w:b/>
          <w:color w:val="000000"/>
          <w:sz w:val="32"/>
          <w:szCs w:val="32"/>
        </w:rPr>
        <w:t>测试数据</w:t>
      </w:r>
      <w:bookmarkEnd w:id="4"/>
      <w:r>
        <w:rPr>
          <w:rFonts w:hint="eastAsia" w:ascii="楷体_GB2312" w:eastAsia="楷体_GB2312"/>
          <w:b/>
          <w:color w:val="000000"/>
          <w:sz w:val="32"/>
          <w:szCs w:val="28"/>
        </w:rPr>
        <w:t>准备</w:t>
      </w:r>
    </w:p>
    <w:p>
      <w:pPr>
        <w:pStyle w:val="72"/>
        <w:numPr>
          <w:ilvl w:val="0"/>
          <w:numId w:val="7"/>
        </w:numPr>
        <w:ind w:left="0" w:firstLine="560"/>
        <w:jc w:val="left"/>
        <w:outlineLvl w:val="1"/>
        <w:rPr>
          <w:rFonts w:ascii="楷体_GB2312" w:eastAsia="楷体_GB2312"/>
          <w:color w:val="000000"/>
          <w:sz w:val="28"/>
          <w:szCs w:val="28"/>
        </w:rPr>
      </w:pPr>
      <w:r>
        <w:rPr>
          <w:rFonts w:hint="eastAsia" w:ascii="楷体_GB2312" w:eastAsia="楷体_GB2312"/>
          <w:color w:val="000000"/>
          <w:sz w:val="28"/>
          <w:szCs w:val="28"/>
        </w:rPr>
        <w:t>T日和恢复验证测试均以2023年</w:t>
      </w:r>
      <w:r>
        <w:rPr>
          <w:rFonts w:hint="eastAsia" w:ascii="楷体_GB2312" w:eastAsia="楷体_GB2312"/>
          <w:color w:val="000000"/>
          <w:sz w:val="28"/>
          <w:szCs w:val="28"/>
          <w:lang w:eastAsia="zh-CN"/>
        </w:rPr>
        <w:t>8月11日</w:t>
      </w:r>
      <w:r>
        <w:rPr>
          <w:rFonts w:hint="eastAsia" w:ascii="楷体_GB2312" w:eastAsia="楷体_GB2312"/>
          <w:color w:val="000000"/>
          <w:sz w:val="28"/>
          <w:szCs w:val="28"/>
        </w:rPr>
        <w:t>（星期五）深市所有证券的收盘行情、收市后的股份数据作为交易的起始数据。</w:t>
      </w:r>
    </w:p>
    <w:p>
      <w:pPr>
        <w:pStyle w:val="72"/>
        <w:numPr>
          <w:ilvl w:val="0"/>
          <w:numId w:val="7"/>
        </w:numPr>
        <w:ind w:left="0" w:firstLine="560"/>
        <w:jc w:val="left"/>
        <w:outlineLvl w:val="1"/>
        <w:rPr>
          <w:rFonts w:ascii="楷体_GB2312" w:eastAsia="楷体_GB2312"/>
          <w:color w:val="000000"/>
          <w:sz w:val="28"/>
          <w:szCs w:val="28"/>
        </w:rPr>
      </w:pPr>
      <w:r>
        <w:rPr>
          <w:rFonts w:hint="eastAsia" w:ascii="楷体_GB2312" w:eastAsia="楷体_GB2312"/>
          <w:color w:val="000000"/>
          <w:sz w:val="28"/>
          <w:szCs w:val="28"/>
        </w:rPr>
        <w:t>测试使用的交易网关、交易单元、交易单元与交易网关绑定关系、衍生品结算账号、衍生品合约账户、做市商相关信息、ETF的PD券商名单、交易商代码、交易主体代码、交易员代码均与2023年</w:t>
      </w:r>
      <w:r>
        <w:rPr>
          <w:rFonts w:hint="eastAsia" w:ascii="楷体_GB2312" w:eastAsia="楷体_GB2312"/>
          <w:color w:val="000000"/>
          <w:sz w:val="28"/>
          <w:szCs w:val="28"/>
          <w:lang w:eastAsia="zh-CN"/>
        </w:rPr>
        <w:t>8月14日</w:t>
      </w:r>
      <w:r>
        <w:rPr>
          <w:rFonts w:hint="eastAsia" w:ascii="楷体_GB2312" w:eastAsia="楷体_GB2312"/>
          <w:color w:val="000000"/>
          <w:sz w:val="28"/>
          <w:szCs w:val="28"/>
        </w:rPr>
        <w:t>（星期一）生产系统保持一致。</w:t>
      </w:r>
    </w:p>
    <w:p>
      <w:pPr>
        <w:pStyle w:val="72"/>
        <w:numPr>
          <w:ilvl w:val="0"/>
          <w:numId w:val="7"/>
        </w:numPr>
        <w:ind w:left="0" w:firstLine="560"/>
        <w:jc w:val="left"/>
        <w:outlineLvl w:val="1"/>
        <w:rPr>
          <w:rFonts w:ascii="楷体_GB2312" w:eastAsia="楷体_GB2312"/>
          <w:color w:val="000000"/>
          <w:sz w:val="28"/>
          <w:szCs w:val="28"/>
        </w:rPr>
      </w:pPr>
      <w:r>
        <w:rPr>
          <w:rFonts w:hint="eastAsia" w:ascii="楷体_GB2312" w:eastAsia="楷体_GB2312"/>
          <w:color w:val="000000"/>
          <w:sz w:val="28"/>
          <w:szCs w:val="28"/>
        </w:rPr>
        <w:t>ETF的PCF/IOPV文件</w:t>
      </w:r>
    </w:p>
    <w:p>
      <w:pPr>
        <w:pStyle w:val="72"/>
        <w:numPr>
          <w:ilvl w:val="255"/>
          <w:numId w:val="0"/>
        </w:numPr>
        <w:ind w:firstLine="560" w:firstLineChars="200"/>
        <w:jc w:val="left"/>
        <w:rPr>
          <w:rFonts w:ascii="楷体_GB2312" w:eastAsia="楷体_GB2312"/>
          <w:color w:val="000000"/>
          <w:sz w:val="28"/>
          <w:szCs w:val="28"/>
        </w:rPr>
      </w:pPr>
      <w:r>
        <w:rPr>
          <w:rFonts w:hint="eastAsia" w:ascii="楷体_GB2312" w:eastAsia="楷体_GB2312"/>
          <w:color w:val="000000"/>
          <w:sz w:val="28"/>
          <w:szCs w:val="28"/>
        </w:rPr>
        <w:t>所有ETF测试使用的PCF/IOPV文件与2023年</w:t>
      </w:r>
      <w:r>
        <w:rPr>
          <w:rFonts w:hint="eastAsia" w:ascii="楷体_GB2312" w:eastAsia="楷体_GB2312"/>
          <w:color w:val="000000"/>
          <w:sz w:val="28"/>
          <w:szCs w:val="28"/>
          <w:lang w:eastAsia="zh-CN"/>
        </w:rPr>
        <w:t>8月11日</w:t>
      </w:r>
      <w:r>
        <w:rPr>
          <w:rFonts w:hint="eastAsia" w:ascii="楷体_GB2312" w:eastAsia="楷体_GB2312"/>
          <w:color w:val="000000"/>
          <w:sz w:val="28"/>
          <w:szCs w:val="28"/>
        </w:rPr>
        <w:t>（星期五）交易生产系统保持一致，所有基金管理人均无需上传通关测试使用的PCF/IOPV文件。</w:t>
      </w:r>
    </w:p>
    <w:p>
      <w:pPr>
        <w:pStyle w:val="72"/>
        <w:numPr>
          <w:ilvl w:val="0"/>
          <w:numId w:val="7"/>
        </w:numPr>
        <w:spacing w:line="560" w:lineRule="exact"/>
        <w:ind w:left="159" w:firstLine="560"/>
        <w:outlineLvl w:val="1"/>
        <w:rPr>
          <w:rFonts w:ascii="楷体_GB2312" w:hAnsi="楷体" w:eastAsia="楷体_GB2312"/>
          <w:sz w:val="28"/>
          <w:szCs w:val="28"/>
        </w:rPr>
      </w:pPr>
      <w:r>
        <w:rPr>
          <w:rFonts w:hint="eastAsia" w:ascii="楷体_GB2312" w:hAnsi="楷体" w:eastAsia="楷体_GB2312"/>
          <w:sz w:val="28"/>
          <w:szCs w:val="28"/>
        </w:rPr>
        <w:t>新增测试专用A股证券账户0809900000-0809900001（法人）、0199900000-0199900001（个人）。中国结算深圳分公司为以上测试证券账户在每个有效的A股托管单元新增登记公司债（148255、148256、148263）、非公开发行公司债（133492、133489、133480）、资产支持证券（135839、135937、135938）、基础设施基金（180201）、可转债（123002、123004、123010）、可交换私募债（117203、117204、117205）的‘00’（无限售流通股）股份性质各100，000百元面额（基础设施基金为份）。</w:t>
      </w:r>
    </w:p>
    <w:p>
      <w:pPr>
        <w:pStyle w:val="72"/>
        <w:numPr>
          <w:ilvl w:val="0"/>
          <w:numId w:val="7"/>
        </w:numPr>
        <w:spacing w:line="560" w:lineRule="exact"/>
        <w:ind w:left="159" w:firstLine="560"/>
        <w:outlineLvl w:val="1"/>
        <w:rPr>
          <w:rFonts w:ascii="楷体_GB2312" w:hAnsi="楷体" w:eastAsia="楷体_GB2312"/>
          <w:sz w:val="28"/>
          <w:szCs w:val="28"/>
        </w:rPr>
      </w:pPr>
      <w:r>
        <w:rPr>
          <w:rFonts w:hint="eastAsia" w:ascii="楷体_GB2312" w:hAnsi="楷体" w:eastAsia="楷体_GB2312"/>
          <w:sz w:val="28"/>
          <w:szCs w:val="28"/>
        </w:rPr>
        <w:t>资金账户余额设置</w:t>
      </w:r>
    </w:p>
    <w:p>
      <w:pPr>
        <w:pStyle w:val="72"/>
        <w:numPr>
          <w:ilvl w:val="255"/>
          <w:numId w:val="0"/>
        </w:numPr>
        <w:ind w:firstLine="560"/>
        <w:jc w:val="both"/>
        <w:rPr>
          <w:rFonts w:ascii="楷体_GB2312" w:eastAsia="楷体_GB2312"/>
          <w:color w:val="000000"/>
          <w:sz w:val="28"/>
          <w:szCs w:val="28"/>
        </w:rPr>
      </w:pPr>
      <w:r>
        <w:rPr>
          <w:rFonts w:hint="eastAsia" w:ascii="楷体_GB2312" w:eastAsia="楷体_GB2312"/>
          <w:color w:val="000000"/>
          <w:sz w:val="28"/>
          <w:szCs w:val="28"/>
        </w:rPr>
        <w:t>中国结算深圳分公司统一将所有结算参与机构2023年</w:t>
      </w:r>
      <w:r>
        <w:rPr>
          <w:rFonts w:hint="eastAsia" w:ascii="楷体_GB2312" w:eastAsia="楷体_GB2312"/>
          <w:color w:val="000000"/>
          <w:sz w:val="28"/>
          <w:szCs w:val="28"/>
          <w:lang w:eastAsia="zh-CN"/>
        </w:rPr>
        <w:t>8月12日</w:t>
      </w:r>
      <w:r>
        <w:rPr>
          <w:rFonts w:hint="eastAsia" w:ascii="楷体_GB2312" w:eastAsia="楷体_GB2312"/>
          <w:color w:val="000000"/>
          <w:sz w:val="28"/>
          <w:szCs w:val="28"/>
        </w:rPr>
        <w:t>的现货结算备付金账户余额修改为100亿元，</w:t>
      </w:r>
      <w:r>
        <w:rPr>
          <w:rFonts w:hint="eastAsia" w:ascii="楷体_GB2312" w:eastAsia="楷体_GB2312"/>
          <w:color w:val="000000"/>
          <w:sz w:val="28"/>
          <w:szCs w:val="28"/>
          <w:highlight w:val="none"/>
        </w:rPr>
        <w:t>港股通结</w:t>
      </w:r>
      <w:r>
        <w:rPr>
          <w:rFonts w:hint="eastAsia" w:ascii="楷体_GB2312" w:eastAsia="楷体_GB2312"/>
          <w:color w:val="000000"/>
          <w:sz w:val="28"/>
          <w:szCs w:val="28"/>
        </w:rPr>
        <w:t>算备付金账户余额不做调整。如果需要调整，可致电中国结算深圳分公司进行账户余额的调整，联系电话：0755-88666429。</w:t>
      </w:r>
    </w:p>
    <w:p>
      <w:pPr>
        <w:pStyle w:val="72"/>
        <w:numPr>
          <w:ilvl w:val="255"/>
          <w:numId w:val="0"/>
        </w:numPr>
        <w:spacing w:line="560" w:lineRule="exact"/>
        <w:ind w:left="480" w:leftChars="200"/>
        <w:outlineLvl w:val="1"/>
        <w:rPr>
          <w:color w:val="000000"/>
          <w:sz w:val="28"/>
          <w:szCs w:val="28"/>
        </w:rPr>
      </w:pPr>
    </w:p>
    <w:p>
      <w:pPr>
        <w:pStyle w:val="15"/>
        <w:outlineLvl w:val="0"/>
        <w:rPr>
          <w:rFonts w:ascii="楷体_GB2312" w:eastAsia="楷体_GB2312"/>
          <w:b/>
          <w:color w:val="000000"/>
          <w:sz w:val="32"/>
          <w:szCs w:val="32"/>
        </w:rPr>
      </w:pPr>
      <w:r>
        <w:rPr>
          <w:rFonts w:hint="eastAsia" w:ascii="楷体_GB2312" w:eastAsia="楷体_GB2312"/>
          <w:b/>
          <w:color w:val="000000"/>
          <w:sz w:val="32"/>
          <w:szCs w:val="32"/>
        </w:rPr>
        <w:t>六、注意事项</w:t>
      </w:r>
    </w:p>
    <w:p>
      <w:pPr>
        <w:numPr>
          <w:ilvl w:val="0"/>
          <w:numId w:val="8"/>
        </w:numPr>
        <w:tabs>
          <w:tab w:val="left" w:pos="840"/>
          <w:tab w:val="left" w:pos="928"/>
          <w:tab w:val="left" w:pos="1050"/>
        </w:tabs>
        <w:ind w:left="0" w:firstLine="567"/>
        <w:rPr>
          <w:color w:val="FF0000"/>
          <w:sz w:val="28"/>
          <w:szCs w:val="28"/>
        </w:rPr>
      </w:pPr>
      <w:r>
        <w:rPr>
          <w:rFonts w:hint="eastAsia"/>
          <w:color w:val="FF0000"/>
          <w:sz w:val="28"/>
          <w:szCs w:val="28"/>
        </w:rPr>
        <w:t>拟使用本所交易终端的参测单位应当</w:t>
      </w:r>
      <w:r>
        <w:rPr>
          <w:rFonts w:hint="eastAsia"/>
          <w:color w:val="FF0000"/>
          <w:sz w:val="28"/>
          <w:szCs w:val="28"/>
          <w:lang w:eastAsia="zh-CN"/>
        </w:rPr>
        <w:t>提前</w:t>
      </w:r>
      <w:r>
        <w:rPr>
          <w:rFonts w:hint="eastAsia"/>
          <w:color w:val="FF0000"/>
          <w:sz w:val="28"/>
          <w:szCs w:val="28"/>
        </w:rPr>
        <w:t>做好参测准备，包括准备好数字证书、做好交易终端固收专区相关权限设置等。</w:t>
      </w:r>
    </w:p>
    <w:p>
      <w:pPr>
        <w:numPr>
          <w:ilvl w:val="0"/>
          <w:numId w:val="8"/>
        </w:numPr>
        <w:tabs>
          <w:tab w:val="left" w:pos="840"/>
          <w:tab w:val="left" w:pos="928"/>
          <w:tab w:val="left" w:pos="1050"/>
        </w:tabs>
        <w:ind w:left="0" w:firstLine="567"/>
        <w:rPr>
          <w:sz w:val="28"/>
          <w:szCs w:val="28"/>
        </w:rPr>
      </w:pPr>
      <w:r>
        <w:rPr>
          <w:rFonts w:hint="eastAsia"/>
          <w:sz w:val="28"/>
          <w:szCs w:val="28"/>
        </w:rPr>
        <w:t>本次测试包括交易系统、结算系统、D-COM系统（不包括资金划拨业务）。</w:t>
      </w:r>
    </w:p>
    <w:p>
      <w:pPr>
        <w:numPr>
          <w:ilvl w:val="0"/>
          <w:numId w:val="9"/>
        </w:numPr>
        <w:tabs>
          <w:tab w:val="left" w:pos="840"/>
          <w:tab w:val="left" w:pos="928"/>
          <w:tab w:val="left" w:pos="1003"/>
          <w:tab w:val="left" w:pos="1050"/>
        </w:tabs>
        <w:ind w:left="0" w:firstLine="567"/>
        <w:rPr>
          <w:sz w:val="28"/>
          <w:szCs w:val="28"/>
        </w:rPr>
      </w:pPr>
      <w:r>
        <w:rPr>
          <w:rFonts w:hint="eastAsia"/>
          <w:sz w:val="28"/>
          <w:szCs w:val="28"/>
        </w:rPr>
        <w:t>D-COM系统在2023年</w:t>
      </w:r>
      <w:r>
        <w:rPr>
          <w:rFonts w:hint="eastAsia"/>
          <w:sz w:val="28"/>
          <w:szCs w:val="28"/>
          <w:lang w:eastAsia="zh-CN"/>
        </w:rPr>
        <w:t>8月12日</w:t>
      </w:r>
      <w:r>
        <w:rPr>
          <w:rFonts w:hint="eastAsia"/>
          <w:sz w:val="28"/>
          <w:szCs w:val="28"/>
        </w:rPr>
        <w:t>期间属于测试环境，2023年</w:t>
      </w:r>
      <w:r>
        <w:rPr>
          <w:rFonts w:hint="eastAsia"/>
          <w:sz w:val="28"/>
          <w:szCs w:val="28"/>
          <w:lang w:eastAsia="zh-CN"/>
        </w:rPr>
        <w:t>8月12日</w:t>
      </w:r>
      <w:r>
        <w:rPr>
          <w:rFonts w:hint="eastAsia"/>
          <w:sz w:val="28"/>
          <w:szCs w:val="28"/>
        </w:rPr>
        <w:t>23:45以后将恢复回生产环境。</w:t>
      </w:r>
    </w:p>
    <w:p>
      <w:pPr>
        <w:numPr>
          <w:ilvl w:val="0"/>
          <w:numId w:val="9"/>
        </w:numPr>
        <w:tabs>
          <w:tab w:val="left" w:pos="840"/>
          <w:tab w:val="left" w:pos="928"/>
          <w:tab w:val="left" w:pos="1003"/>
          <w:tab w:val="left" w:pos="1050"/>
        </w:tabs>
        <w:ind w:left="0" w:firstLine="567"/>
        <w:rPr>
          <w:sz w:val="28"/>
          <w:szCs w:val="28"/>
        </w:rPr>
      </w:pPr>
      <w:r>
        <w:rPr>
          <w:rFonts w:hint="eastAsia"/>
          <w:sz w:val="28"/>
          <w:szCs w:val="28"/>
        </w:rPr>
        <w:t>测试期间通过交易终端进行的密码修改、用户添加等用户管理相关操作，仅在测试期间有效，仅适用于2023年</w:t>
      </w:r>
      <w:r>
        <w:rPr>
          <w:rFonts w:hint="eastAsia"/>
          <w:sz w:val="28"/>
          <w:szCs w:val="28"/>
          <w:lang w:eastAsia="zh-CN"/>
        </w:rPr>
        <w:t>8月12日</w:t>
      </w:r>
      <w:r>
        <w:rPr>
          <w:rFonts w:hint="eastAsia"/>
          <w:sz w:val="28"/>
          <w:szCs w:val="28"/>
        </w:rPr>
        <w:t>测试。</w:t>
      </w:r>
    </w:p>
    <w:p>
      <w:pPr>
        <w:numPr>
          <w:ilvl w:val="0"/>
          <w:numId w:val="9"/>
        </w:numPr>
        <w:tabs>
          <w:tab w:val="left" w:pos="840"/>
          <w:tab w:val="left" w:pos="928"/>
          <w:tab w:val="left" w:pos="1003"/>
          <w:tab w:val="left" w:pos="1050"/>
        </w:tabs>
        <w:ind w:left="0" w:firstLine="567"/>
        <w:rPr>
          <w:sz w:val="28"/>
          <w:szCs w:val="28"/>
        </w:rPr>
      </w:pPr>
      <w:r>
        <w:rPr>
          <w:rFonts w:hint="eastAsia"/>
          <w:sz w:val="28"/>
          <w:szCs w:val="28"/>
        </w:rPr>
        <w:t>恢复验证测试前，交易参与人应当重置其柜台系统的回报记录号（具体方法可详询各自的软件供应商），使得回报同步消息（Report Synchronization）中的回报记录号从1开始，否则将无法收到委托确认与成交回报消息。</w:t>
      </w:r>
    </w:p>
    <w:p>
      <w:pPr>
        <w:numPr>
          <w:ilvl w:val="0"/>
          <w:numId w:val="9"/>
        </w:numPr>
        <w:tabs>
          <w:tab w:val="left" w:pos="840"/>
          <w:tab w:val="left" w:pos="928"/>
          <w:tab w:val="left" w:pos="1003"/>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int="eastAsia" w:hAnsi="楷体"/>
          <w:color w:val="000000"/>
          <w:sz w:val="28"/>
          <w:szCs w:val="28"/>
        </w:rPr>
        <w:t>线上系统和数据环境的保护工作</w:t>
      </w:r>
      <w:r>
        <w:rPr>
          <w:rFonts w:hint="eastAsia"/>
          <w:sz w:val="28"/>
          <w:szCs w:val="28"/>
        </w:rPr>
        <w:t>，再准备2023年</w:t>
      </w:r>
      <w:r>
        <w:rPr>
          <w:rFonts w:hint="eastAsia"/>
          <w:sz w:val="28"/>
          <w:szCs w:val="28"/>
          <w:lang w:eastAsia="zh-CN"/>
        </w:rPr>
        <w:t>8月12日</w:t>
      </w:r>
      <w:r>
        <w:rPr>
          <w:rFonts w:hint="eastAsia"/>
          <w:sz w:val="28"/>
          <w:szCs w:val="28"/>
        </w:rPr>
        <w:t>测试相关数据。</w:t>
      </w:r>
      <w:r>
        <w:rPr>
          <w:rFonts w:hint="eastAsia" w:hAnsi="楷体"/>
          <w:color w:val="000000"/>
          <w:sz w:val="28"/>
          <w:szCs w:val="28"/>
        </w:rPr>
        <w:t>测试完成后做好线上系统和数据环境的恢复工作，确保下一交易日（2023年</w:t>
      </w:r>
      <w:r>
        <w:rPr>
          <w:rFonts w:hint="eastAsia" w:hAnsi="楷体"/>
          <w:color w:val="000000"/>
          <w:sz w:val="28"/>
          <w:szCs w:val="28"/>
          <w:lang w:eastAsia="zh-CN"/>
        </w:rPr>
        <w:t>8月14日</w:t>
      </w:r>
      <w:r>
        <w:rPr>
          <w:rFonts w:hint="eastAsia" w:hAnsi="楷体"/>
          <w:color w:val="000000"/>
          <w:sz w:val="28"/>
          <w:szCs w:val="28"/>
        </w:rPr>
        <w:t>）生产系统的正确运行。</w:t>
      </w:r>
    </w:p>
    <w:p>
      <w:pPr>
        <w:numPr>
          <w:ilvl w:val="0"/>
          <w:numId w:val="9"/>
        </w:numPr>
        <w:tabs>
          <w:tab w:val="left" w:pos="840"/>
          <w:tab w:val="left" w:pos="928"/>
          <w:tab w:val="left" w:pos="1003"/>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pPr>
        <w:tabs>
          <w:tab w:val="left" w:pos="840"/>
          <w:tab w:val="left" w:pos="928"/>
          <w:tab w:val="left" w:pos="1003"/>
          <w:tab w:val="left" w:pos="1050"/>
        </w:tabs>
        <w:ind w:left="567"/>
        <w:rPr>
          <w:sz w:val="28"/>
          <w:szCs w:val="28"/>
        </w:rPr>
      </w:pPr>
    </w:p>
    <w:p>
      <w:pPr>
        <w:pStyle w:val="15"/>
        <w:outlineLvl w:val="0"/>
        <w:rPr>
          <w:rFonts w:ascii="楷体_GB2312" w:eastAsia="楷体_GB2312"/>
          <w:b/>
          <w:color w:val="000000"/>
          <w:sz w:val="32"/>
          <w:szCs w:val="32"/>
        </w:rPr>
      </w:pPr>
      <w:bookmarkStart w:id="5" w:name="_Toc102489718"/>
      <w:r>
        <w:rPr>
          <w:rFonts w:hint="eastAsia" w:ascii="楷体_GB2312" w:eastAsia="楷体_GB2312"/>
          <w:b/>
          <w:color w:val="000000"/>
          <w:sz w:val="32"/>
          <w:szCs w:val="32"/>
        </w:rPr>
        <w:t>七、测试要求</w:t>
      </w:r>
      <w:bookmarkEnd w:id="5"/>
    </w:p>
    <w:p>
      <w:pPr>
        <w:numPr>
          <w:ilvl w:val="0"/>
          <w:numId w:val="10"/>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请各会员、期权经营机构、</w:t>
      </w:r>
      <w:r>
        <w:rPr>
          <w:rFonts w:hint="eastAsia" w:hAnsi="楷体"/>
          <w:color w:val="000000"/>
          <w:sz w:val="28"/>
          <w:szCs w:val="28"/>
          <w:lang w:eastAsia="zh-CN"/>
        </w:rPr>
        <w:t>基金管理公司、</w:t>
      </w:r>
      <w:r>
        <w:rPr>
          <w:rFonts w:hint="eastAsia" w:hAnsi="楷体"/>
          <w:color w:val="000000"/>
          <w:sz w:val="28"/>
          <w:szCs w:val="28"/>
        </w:rPr>
        <w:t>其他债券交易参与人、行情服务商等相关单位务必参加测试，因故不能参加测试者，务必填写反馈表（参见附件）说明原因，并通知深交所。</w:t>
      </w:r>
    </w:p>
    <w:p>
      <w:pPr>
        <w:numPr>
          <w:ilvl w:val="0"/>
          <w:numId w:val="10"/>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在测试过程中，请各参测单位详细记载测试现象与结果，检查其正确性。如发现异常现象，请及时报告。</w:t>
      </w:r>
    </w:p>
    <w:p>
      <w:pPr>
        <w:numPr>
          <w:ilvl w:val="0"/>
          <w:numId w:val="10"/>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测试完成后，各参测单位应在2023年</w:t>
      </w:r>
      <w:r>
        <w:rPr>
          <w:rFonts w:hint="eastAsia" w:hAnsi="楷体"/>
          <w:color w:val="000000"/>
          <w:sz w:val="28"/>
          <w:szCs w:val="28"/>
          <w:lang w:eastAsia="zh-CN"/>
        </w:rPr>
        <w:t>8月12日</w:t>
      </w:r>
      <w:r>
        <w:rPr>
          <w:rFonts w:hint="eastAsia" w:hAnsi="楷体"/>
          <w:color w:val="000000"/>
          <w:sz w:val="28"/>
          <w:szCs w:val="28"/>
          <w:lang w:val="en-US" w:eastAsia="zh-CN"/>
        </w:rPr>
        <w:t>15</w:t>
      </w:r>
      <w:r>
        <w:rPr>
          <w:rFonts w:hint="eastAsia" w:hAnsi="楷体"/>
          <w:color w:val="000000"/>
          <w:sz w:val="28"/>
          <w:szCs w:val="28"/>
        </w:rPr>
        <w:t>:30之前提交测试反馈表（参见附件）。会员单位、基金管理公司、期货公司等交易参与者登录深交所“会员业务专区”首页底部“友情链接―在线调查表”栏目填写并提交测试反馈表（填报内容支持更新）；行情服务商、结算参与机构等无法登录会员业务专区的参测单位,请通过互联网地址https://survey.szse.cn/v/tech填写测试反馈表（填报内容不支持更新，多次提交以最后一次为准）。</w:t>
      </w:r>
    </w:p>
    <w:p>
      <w:pPr>
        <w:ind w:firstLine="560" w:firstLineChars="200"/>
        <w:rPr>
          <w:color w:val="000000"/>
          <w:sz w:val="28"/>
          <w:szCs w:val="28"/>
        </w:rPr>
      </w:pPr>
      <w:r>
        <w:rPr>
          <w:rFonts w:hint="eastAsia"/>
          <w:color w:val="000000"/>
          <w:sz w:val="28"/>
          <w:szCs w:val="28"/>
        </w:rPr>
        <w:t>登录深交所“会员业务专区”需使用专用电子认证证书（Ekey），具体方法可询问各自单位负责每月技术月报的填报人员或负责会籍席位业务的人员。</w:t>
      </w:r>
    </w:p>
    <w:p>
      <w:pPr>
        <w:ind w:firstLine="560" w:firstLineChars="200"/>
        <w:rPr>
          <w:color w:val="000000"/>
          <w:sz w:val="28"/>
          <w:szCs w:val="28"/>
        </w:rPr>
      </w:pPr>
    </w:p>
    <w:p>
      <w:pPr>
        <w:ind w:firstLine="560" w:firstLineChars="200"/>
        <w:rPr>
          <w:color w:val="000000"/>
          <w:sz w:val="28"/>
          <w:szCs w:val="28"/>
        </w:rPr>
      </w:pPr>
    </w:p>
    <w:p>
      <w:pPr>
        <w:pStyle w:val="15"/>
        <w:outlineLvl w:val="0"/>
        <w:rPr>
          <w:rFonts w:ascii="楷体_GB2312" w:eastAsia="楷体_GB2312"/>
          <w:b/>
          <w:color w:val="000000"/>
          <w:sz w:val="32"/>
          <w:szCs w:val="32"/>
        </w:rPr>
      </w:pPr>
      <w:bookmarkStart w:id="6" w:name="_Toc102489719"/>
      <w:r>
        <w:rPr>
          <w:rFonts w:hint="eastAsia" w:ascii="楷体_GB2312" w:eastAsia="楷体_GB2312"/>
          <w:b/>
          <w:color w:val="000000"/>
          <w:sz w:val="32"/>
          <w:szCs w:val="32"/>
        </w:rPr>
        <w:t>八、联系</w:t>
      </w:r>
      <w:bookmarkEnd w:id="6"/>
      <w:r>
        <w:rPr>
          <w:rFonts w:hint="eastAsia" w:ascii="楷体_GB2312" w:eastAsia="楷体_GB2312"/>
          <w:b/>
          <w:color w:val="000000"/>
          <w:sz w:val="32"/>
          <w:szCs w:val="32"/>
        </w:rPr>
        <w:t>电话</w:t>
      </w:r>
    </w:p>
    <w:p>
      <w:pPr>
        <w:widowControl/>
        <w:tabs>
          <w:tab w:val="left" w:pos="900"/>
          <w:tab w:val="left" w:pos="1266"/>
        </w:tabs>
        <w:spacing w:line="360" w:lineRule="atLeast"/>
        <w:ind w:firstLine="621" w:firstLineChars="221"/>
        <w:jc w:val="left"/>
        <w:rPr>
          <w:b/>
          <w:sz w:val="28"/>
          <w:szCs w:val="28"/>
        </w:rPr>
      </w:pPr>
      <w:r>
        <w:rPr>
          <w:rFonts w:hint="eastAsia"/>
          <w:b/>
          <w:sz w:val="28"/>
          <w:szCs w:val="28"/>
        </w:rPr>
        <w:t>技术联系电话：</w:t>
      </w:r>
    </w:p>
    <w:p>
      <w:pPr>
        <w:widowControl/>
        <w:spacing w:line="360" w:lineRule="atLeast"/>
        <w:ind w:firstLine="991" w:firstLineChars="354"/>
        <w:jc w:val="left"/>
        <w:rPr>
          <w:color w:val="2E2E2E"/>
          <w:kern w:val="0"/>
          <w:sz w:val="28"/>
          <w:szCs w:val="28"/>
        </w:rPr>
      </w:pPr>
      <w:r>
        <w:rPr>
          <w:rFonts w:hint="eastAsia"/>
          <w:color w:val="2E2E2E"/>
          <w:kern w:val="0"/>
          <w:sz w:val="28"/>
          <w:szCs w:val="28"/>
        </w:rPr>
        <w:t>深交所：0755-82083510</w:t>
      </w:r>
    </w:p>
    <w:p>
      <w:pPr>
        <w:widowControl/>
        <w:spacing w:line="360" w:lineRule="atLeast"/>
        <w:ind w:firstLine="991" w:firstLineChars="354"/>
        <w:jc w:val="left"/>
        <w:rPr>
          <w:color w:val="2E2E2E"/>
          <w:kern w:val="0"/>
          <w:sz w:val="28"/>
          <w:szCs w:val="28"/>
        </w:rPr>
      </w:pPr>
      <w:r>
        <w:rPr>
          <w:rFonts w:hint="eastAsia"/>
          <w:color w:val="2E2E2E"/>
          <w:kern w:val="0"/>
          <w:sz w:val="28"/>
          <w:szCs w:val="28"/>
        </w:rPr>
        <w:t>中国结算深圳分公司：0755-88666429（仅测试期间使用）</w:t>
      </w:r>
    </w:p>
    <w:p>
      <w:pPr>
        <w:widowControl/>
        <w:tabs>
          <w:tab w:val="left" w:pos="900"/>
          <w:tab w:val="left" w:pos="1266"/>
        </w:tabs>
        <w:spacing w:line="360" w:lineRule="atLeast"/>
        <w:ind w:firstLine="3827" w:firstLineChars="1367"/>
        <w:jc w:val="left"/>
        <w:rPr>
          <w:color w:val="2E2E2E"/>
          <w:kern w:val="0"/>
          <w:sz w:val="28"/>
          <w:szCs w:val="28"/>
        </w:rPr>
      </w:pPr>
      <w:r>
        <w:rPr>
          <w:rFonts w:hint="eastAsia"/>
          <w:color w:val="2E2E2E"/>
          <w:kern w:val="0"/>
          <w:sz w:val="28"/>
          <w:szCs w:val="28"/>
        </w:rPr>
        <w:t>0755-21899968</w:t>
      </w:r>
    </w:p>
    <w:p>
      <w:pPr>
        <w:widowControl/>
        <w:tabs>
          <w:tab w:val="left" w:pos="900"/>
          <w:tab w:val="left" w:pos="1266"/>
        </w:tabs>
        <w:spacing w:line="360" w:lineRule="atLeast"/>
        <w:ind w:firstLine="3827" w:firstLineChars="1367"/>
        <w:jc w:val="left"/>
        <w:rPr>
          <w:color w:val="2E2E2E"/>
          <w:kern w:val="0"/>
          <w:sz w:val="28"/>
          <w:szCs w:val="28"/>
        </w:rPr>
      </w:pPr>
      <w:r>
        <w:rPr>
          <w:rFonts w:hint="eastAsia"/>
          <w:color w:val="2E2E2E"/>
          <w:kern w:val="0"/>
          <w:sz w:val="28"/>
          <w:szCs w:val="28"/>
        </w:rPr>
        <w:t>0755-</w:t>
      </w:r>
      <w:r>
        <w:rPr>
          <w:color w:val="2E2E2E"/>
          <w:kern w:val="0"/>
          <w:sz w:val="28"/>
          <w:szCs w:val="28"/>
        </w:rPr>
        <w:t>25946080</w:t>
      </w:r>
    </w:p>
    <w:p>
      <w:pPr>
        <w:widowControl/>
        <w:spacing w:line="360" w:lineRule="atLeast"/>
        <w:ind w:firstLine="991" w:firstLineChars="354"/>
        <w:jc w:val="left"/>
        <w:rPr>
          <w:color w:val="2E2E2E"/>
          <w:kern w:val="0"/>
          <w:sz w:val="28"/>
          <w:szCs w:val="28"/>
        </w:rPr>
      </w:pPr>
      <w:r>
        <w:rPr>
          <w:rFonts w:hint="eastAsia"/>
          <w:color w:val="2E2E2E"/>
          <w:kern w:val="0"/>
          <w:sz w:val="28"/>
          <w:szCs w:val="28"/>
        </w:rPr>
        <w:t>深圳证券通信有限公司：0755-83182222</w:t>
      </w:r>
    </w:p>
    <w:p>
      <w:pPr>
        <w:widowControl/>
        <w:spacing w:line="360" w:lineRule="atLeast"/>
        <w:ind w:firstLine="562" w:firstLineChars="200"/>
        <w:jc w:val="left"/>
        <w:rPr>
          <w:b/>
          <w:bCs/>
          <w:color w:val="2E2E2E"/>
          <w:kern w:val="0"/>
          <w:sz w:val="28"/>
          <w:szCs w:val="28"/>
        </w:rPr>
      </w:pPr>
      <w:r>
        <w:rPr>
          <w:rFonts w:hint="eastAsia"/>
          <w:b/>
          <w:bCs/>
          <w:color w:val="2E2E2E"/>
          <w:kern w:val="0"/>
          <w:sz w:val="28"/>
          <w:szCs w:val="28"/>
        </w:rPr>
        <w:t>业务咨询电话：</w:t>
      </w:r>
    </w:p>
    <w:p>
      <w:pPr>
        <w:widowControl/>
        <w:spacing w:line="360" w:lineRule="atLeast"/>
        <w:ind w:firstLine="991" w:firstLineChars="354"/>
        <w:jc w:val="left"/>
        <w:rPr>
          <w:color w:val="2E2E2E"/>
          <w:kern w:val="0"/>
          <w:sz w:val="28"/>
          <w:szCs w:val="28"/>
        </w:rPr>
      </w:pPr>
      <w:r>
        <w:rPr>
          <w:rFonts w:hint="eastAsia"/>
          <w:color w:val="2E2E2E"/>
          <w:kern w:val="0"/>
          <w:sz w:val="28"/>
          <w:szCs w:val="28"/>
        </w:rPr>
        <w:t>深交所：0755-</w:t>
      </w:r>
      <w:r>
        <w:rPr>
          <w:rFonts w:hint="eastAsia"/>
          <w:color w:val="000000" w:themeColor="text1"/>
          <w:sz w:val="28"/>
          <w:szCs w:val="28"/>
          <w14:textFill>
            <w14:solidFill>
              <w14:schemeClr w14:val="tx1"/>
            </w14:solidFill>
          </w14:textFill>
        </w:rPr>
        <w:t>88668558</w:t>
      </w:r>
      <w:r>
        <w:rPr>
          <w:rFonts w:hint="eastAsia"/>
          <w:color w:val="2E2E2E"/>
          <w:kern w:val="0"/>
          <w:sz w:val="28"/>
          <w:szCs w:val="28"/>
        </w:rPr>
        <w:t>（协议回购）</w:t>
      </w:r>
    </w:p>
    <w:p>
      <w:pPr>
        <w:widowControl/>
        <w:spacing w:line="360" w:lineRule="atLeast"/>
        <w:ind w:firstLine="991" w:firstLineChars="354"/>
        <w:jc w:val="left"/>
        <w:rPr>
          <w:color w:val="2E2E2E"/>
          <w:kern w:val="0"/>
          <w:sz w:val="28"/>
          <w:szCs w:val="28"/>
        </w:rPr>
      </w:pPr>
    </w:p>
    <w:p>
      <w:pPr>
        <w:widowControl/>
        <w:spacing w:line="360" w:lineRule="atLeast"/>
        <w:ind w:firstLine="991" w:firstLineChars="354"/>
        <w:jc w:val="left"/>
        <w:rPr>
          <w:color w:val="2E2E2E"/>
          <w:kern w:val="0"/>
          <w:sz w:val="28"/>
          <w:szCs w:val="28"/>
        </w:rPr>
      </w:pPr>
    </w:p>
    <w:p>
      <w:pPr>
        <w:jc w:val="right"/>
        <w:rPr>
          <w:color w:val="000000"/>
          <w:sz w:val="28"/>
          <w:szCs w:val="28"/>
        </w:rPr>
      </w:pPr>
      <w:bookmarkStart w:id="7" w:name="附件一"/>
      <w:r>
        <w:rPr>
          <w:rFonts w:hint="eastAsia"/>
          <w:color w:val="000000"/>
          <w:sz w:val="28"/>
          <w:szCs w:val="28"/>
        </w:rPr>
        <w:t>深圳证券交易所</w:t>
      </w:r>
    </w:p>
    <w:p>
      <w:pPr>
        <w:jc w:val="right"/>
        <w:rPr>
          <w:color w:val="000000"/>
          <w:sz w:val="28"/>
          <w:szCs w:val="28"/>
        </w:rPr>
      </w:pPr>
      <w:r>
        <w:rPr>
          <w:rFonts w:hint="eastAsia"/>
          <w:color w:val="2E2E2E"/>
          <w:kern w:val="0"/>
          <w:sz w:val="28"/>
          <w:szCs w:val="28"/>
        </w:rPr>
        <w:t>中国结算深圳分公司</w:t>
      </w:r>
    </w:p>
    <w:p>
      <w:pPr>
        <w:jc w:val="right"/>
        <w:rPr>
          <w:color w:val="000000"/>
          <w:highlight w:val="yellow"/>
        </w:rPr>
      </w:pPr>
      <w:r>
        <w:rPr>
          <w:rFonts w:hint="eastAsia"/>
          <w:color w:val="000000"/>
          <w:sz w:val="28"/>
          <w:szCs w:val="28"/>
        </w:rPr>
        <w:t>2023年</w:t>
      </w:r>
      <w:r>
        <w:rPr>
          <w:rFonts w:hint="eastAsia"/>
          <w:color w:val="000000"/>
          <w:sz w:val="28"/>
          <w:szCs w:val="28"/>
          <w:lang w:val="en-US" w:eastAsia="zh-CN"/>
        </w:rPr>
        <w:t>8</w:t>
      </w:r>
      <w:r>
        <w:rPr>
          <w:rFonts w:hint="eastAsia"/>
          <w:color w:val="000000"/>
          <w:sz w:val="28"/>
          <w:szCs w:val="28"/>
        </w:rPr>
        <w:t>月</w:t>
      </w:r>
      <w:r>
        <w:rPr>
          <w:rFonts w:hint="eastAsia"/>
          <w:color w:val="000000"/>
          <w:sz w:val="28"/>
          <w:szCs w:val="28"/>
          <w:lang w:val="en-US" w:eastAsia="zh-CN"/>
        </w:rPr>
        <w:t>7</w:t>
      </w:r>
      <w:r>
        <w:rPr>
          <w:rFonts w:hint="eastAsia"/>
          <w:color w:val="000000"/>
          <w:sz w:val="28"/>
          <w:szCs w:val="28"/>
        </w:rPr>
        <w:t>日</w:t>
      </w:r>
      <w:r>
        <w:rPr>
          <w:rFonts w:hint="eastAsia"/>
          <w:color w:val="000000"/>
          <w:highlight w:val="yellow"/>
        </w:rPr>
        <w:br w:type="page"/>
      </w:r>
    </w:p>
    <w:p>
      <w:pPr>
        <w:pStyle w:val="15"/>
        <w:jc w:val="left"/>
        <w:rPr>
          <w:rFonts w:ascii="楷体" w:hAnsi="楷体" w:eastAsia="楷体" w:cs="楷体"/>
          <w:b/>
          <w:color w:val="000000"/>
          <w:sz w:val="32"/>
          <w:szCs w:val="28"/>
        </w:rPr>
      </w:pPr>
      <w:r>
        <w:rPr>
          <w:rFonts w:hint="eastAsia" w:ascii="楷体" w:hAnsi="楷体" w:eastAsia="楷体" w:cs="楷体"/>
          <w:b/>
          <w:color w:val="000000"/>
          <w:sz w:val="32"/>
          <w:szCs w:val="28"/>
        </w:rPr>
        <w:t>附件：</w:t>
      </w:r>
      <w:bookmarkEnd w:id="7"/>
    </w:p>
    <w:p>
      <w:pPr>
        <w:pStyle w:val="15"/>
        <w:jc w:val="center"/>
        <w:rPr>
          <w:rFonts w:hint="eastAsia" w:ascii="楷体" w:hAnsi="楷体" w:eastAsia="楷体" w:cs="楷体"/>
          <w:b/>
          <w:color w:val="000000"/>
          <w:sz w:val="32"/>
          <w:szCs w:val="28"/>
        </w:rPr>
      </w:pPr>
      <w:r>
        <w:rPr>
          <w:rFonts w:hint="eastAsia" w:ascii="楷体" w:hAnsi="楷体" w:eastAsia="楷体" w:cs="楷体"/>
          <w:b/>
          <w:color w:val="000000"/>
          <w:sz w:val="32"/>
          <w:szCs w:val="28"/>
        </w:rPr>
        <w:t>2023年8月12日深市调整Level 1行情发送带宽</w:t>
      </w:r>
    </w:p>
    <w:p>
      <w:pPr>
        <w:pStyle w:val="15"/>
        <w:jc w:val="center"/>
        <w:rPr>
          <w:rFonts w:ascii="楷体" w:hAnsi="楷体" w:eastAsia="楷体" w:cs="楷体"/>
          <w:b/>
          <w:color w:val="000000"/>
          <w:szCs w:val="28"/>
        </w:rPr>
      </w:pPr>
      <w:r>
        <w:rPr>
          <w:rFonts w:hint="eastAsia" w:ascii="楷体" w:hAnsi="楷体" w:eastAsia="楷体" w:cs="楷体"/>
          <w:b/>
          <w:color w:val="000000"/>
          <w:sz w:val="32"/>
          <w:szCs w:val="28"/>
        </w:rPr>
        <w:t>暨债券质押式协议回购业务风险控制全网测试反馈表</w:t>
      </w:r>
    </w:p>
    <w:tbl>
      <w:tblPr>
        <w:tblStyle w:val="36"/>
        <w:tblW w:w="103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2"/>
        <w:gridCol w:w="2945"/>
        <w:gridCol w:w="2694"/>
        <w:gridCol w:w="850"/>
        <w:gridCol w:w="567"/>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jc w:val="center"/>
              <w:rPr>
                <w:rFonts w:hAnsi="楷体"/>
                <w:sz w:val="20"/>
              </w:rPr>
            </w:pPr>
            <w:r>
              <w:rPr>
                <w:rFonts w:hint="eastAsia" w:hAnsi="楷体"/>
                <w:sz w:val="20"/>
              </w:rPr>
              <w:t>会员代码</w:t>
            </w:r>
          </w:p>
          <w:p>
            <w:pPr>
              <w:jc w:val="center"/>
              <w:rPr>
                <w:rFonts w:hAnsi="楷体"/>
                <w:sz w:val="20"/>
              </w:rPr>
            </w:pPr>
            <w:r>
              <w:rPr>
                <w:rFonts w:hint="eastAsia" w:hAnsi="楷体"/>
                <w:sz w:val="20"/>
              </w:rPr>
              <w:t>（仅会员填写）</w:t>
            </w:r>
          </w:p>
        </w:tc>
        <w:tc>
          <w:tcPr>
            <w:tcW w:w="2694" w:type="dxa"/>
            <w:tcBorders>
              <w:top w:val="single" w:color="auto" w:sz="4" w:space="0"/>
              <w:left w:val="nil"/>
              <w:bottom w:val="single" w:color="auto" w:sz="4" w:space="0"/>
              <w:right w:val="single" w:color="auto" w:sz="4" w:space="0"/>
            </w:tcBorders>
          </w:tcPr>
          <w:p>
            <w:pPr>
              <w:rPr>
                <w:rFonts w:hAnsi="楷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hAnsi="楷体"/>
                <w:sz w:val="20"/>
              </w:rPr>
            </w:pPr>
            <w:r>
              <w:rPr>
                <w:rFonts w:hint="eastAsia" w:hAnsi="楷体"/>
                <w:sz w:val="20"/>
              </w:rPr>
              <w:t>公司名称</w:t>
            </w:r>
          </w:p>
        </w:tc>
        <w:tc>
          <w:tcPr>
            <w:tcW w:w="2835" w:type="dxa"/>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hAnsi="楷体"/>
                <w:sz w:val="20"/>
              </w:rPr>
              <w:t>联系人</w:t>
            </w:r>
          </w:p>
        </w:tc>
        <w:tc>
          <w:tcPr>
            <w:tcW w:w="2694" w:type="dxa"/>
            <w:tcBorders>
              <w:top w:val="single" w:color="auto" w:sz="4" w:space="0"/>
              <w:left w:val="nil"/>
              <w:bottom w:val="single" w:color="auto" w:sz="4" w:space="0"/>
              <w:right w:val="single" w:color="auto" w:sz="4" w:space="0"/>
            </w:tcBorders>
          </w:tcPr>
          <w:p>
            <w:pPr>
              <w:rPr>
                <w:rFonts w:hAnsi="楷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hAnsi="楷体"/>
                <w:sz w:val="20"/>
              </w:rPr>
            </w:pPr>
            <w:r>
              <w:rPr>
                <w:rFonts w:hint="eastAsia" w:hAnsi="楷体"/>
                <w:sz w:val="20"/>
              </w:rPr>
              <w:t>联系电话</w:t>
            </w:r>
          </w:p>
          <w:p>
            <w:pPr>
              <w:jc w:val="center"/>
              <w:rPr>
                <w:rFonts w:hAnsi="楷体"/>
                <w:sz w:val="20"/>
              </w:rPr>
            </w:pPr>
            <w:r>
              <w:rPr>
                <w:rFonts w:hint="eastAsia" w:hAnsi="楷体"/>
                <w:sz w:val="20"/>
              </w:rPr>
              <w:t>(包括手机)</w:t>
            </w:r>
          </w:p>
        </w:tc>
        <w:tc>
          <w:tcPr>
            <w:tcW w:w="2835" w:type="dxa"/>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hAnsi="楷体"/>
                <w:sz w:val="20"/>
              </w:rPr>
              <w:t>Email地址</w:t>
            </w:r>
          </w:p>
        </w:tc>
        <w:tc>
          <w:tcPr>
            <w:tcW w:w="6946" w:type="dxa"/>
            <w:gridSpan w:val="4"/>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Ansi="楷体"/>
                <w:sz w:val="20"/>
              </w:rPr>
            </w:pPr>
            <w:r>
              <w:rPr>
                <w:rFonts w:hint="eastAsia" w:hAnsi="楷体"/>
                <w:sz w:val="20"/>
              </w:rPr>
              <w:t>本业务涉及系统的软件开发商名称</w:t>
            </w:r>
          </w:p>
        </w:tc>
        <w:tc>
          <w:tcPr>
            <w:tcW w:w="6946" w:type="dxa"/>
            <w:gridSpan w:val="4"/>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top"/>
          </w:tcPr>
          <w:p>
            <w:pPr>
              <w:rPr>
                <w:rFonts w:hint="eastAsia" w:hAnsi="楷体"/>
                <w:sz w:val="20"/>
              </w:rPr>
            </w:pPr>
            <w:r>
              <w:rPr>
                <w:rFonts w:hint="eastAsia" w:hAnsi="楷体"/>
                <w:sz w:val="20"/>
              </w:rPr>
              <w:t>是否参加本次调整 Level 1行情发送带宽测试</w:t>
            </w:r>
          </w:p>
        </w:tc>
        <w:tc>
          <w:tcPr>
            <w:tcW w:w="6946" w:type="dxa"/>
            <w:gridSpan w:val="4"/>
            <w:tcBorders>
              <w:top w:val="single" w:color="auto" w:sz="4" w:space="0"/>
              <w:left w:val="nil"/>
              <w:bottom w:val="single" w:color="auto" w:sz="4" w:space="0"/>
              <w:right w:val="single" w:color="auto" w:sz="4" w:space="0"/>
            </w:tcBorders>
            <w:vAlign w:val="top"/>
          </w:tcPr>
          <w:p>
            <w:pPr>
              <w:rPr>
                <w:rFonts w:ascii="楷体" w:hAnsi="楷体" w:eastAsia="楷体"/>
                <w:sz w:val="20"/>
              </w:rPr>
            </w:pPr>
            <w:r>
              <w:rPr>
                <w:rFonts w:hint="eastAsia" w:ascii="楷体" w:hAnsi="楷体" w:eastAsia="楷体"/>
                <w:sz w:val="20"/>
              </w:rPr>
              <w:t>◎已参测</w:t>
            </w:r>
          </w:p>
          <w:p>
            <w:pPr>
              <w:rPr>
                <w:rFonts w:hAnsi="楷体"/>
                <w:sz w:val="20"/>
              </w:rPr>
            </w:pPr>
            <w:r>
              <w:rPr>
                <w:rFonts w:hint="eastAsia" w:ascii="楷体" w:hAnsi="楷体" w:eastAsia="楷体"/>
                <w:sz w:val="20"/>
              </w:rPr>
              <w:t>◎未参测，未参测原因:_______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Ansi="楷体"/>
                <w:sz w:val="20"/>
              </w:rPr>
            </w:pPr>
            <w:r>
              <w:rPr>
                <w:rFonts w:hint="eastAsia" w:hAnsi="楷体"/>
                <w:sz w:val="20"/>
              </w:rPr>
              <w:t>是否参加本次债券质押式回购业务风险控制测试</w:t>
            </w:r>
          </w:p>
        </w:tc>
        <w:tc>
          <w:tcPr>
            <w:tcW w:w="6946" w:type="dxa"/>
            <w:gridSpan w:val="4"/>
            <w:tcBorders>
              <w:top w:val="single" w:color="auto" w:sz="4" w:space="0"/>
              <w:left w:val="nil"/>
              <w:bottom w:val="single" w:color="auto" w:sz="4" w:space="0"/>
              <w:right w:val="single" w:color="auto" w:sz="4" w:space="0"/>
            </w:tcBorders>
          </w:tcPr>
          <w:p>
            <w:pPr>
              <w:rPr>
                <w:rFonts w:ascii="楷体" w:hAnsi="楷体" w:eastAsia="楷体"/>
                <w:sz w:val="20"/>
              </w:rPr>
            </w:pPr>
            <w:r>
              <w:rPr>
                <w:rFonts w:hint="eastAsia" w:ascii="楷体" w:hAnsi="楷体" w:eastAsia="楷体"/>
                <w:sz w:val="20"/>
              </w:rPr>
              <w:t>◎已参测</w:t>
            </w:r>
          </w:p>
          <w:p>
            <w:pPr>
              <w:rPr>
                <w:rFonts w:hAnsi="楷体"/>
                <w:sz w:val="20"/>
              </w:rPr>
            </w:pPr>
            <w:r>
              <w:rPr>
                <w:rFonts w:hint="eastAsia" w:ascii="楷体" w:hAnsi="楷体" w:eastAsia="楷体"/>
                <w:sz w:val="20"/>
              </w:rPr>
              <w:t>◎未参测，未参测原因:_______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top"/>
          </w:tcPr>
          <w:p>
            <w:pPr>
              <w:rPr>
                <w:rFonts w:hAnsi="楷体"/>
                <w:sz w:val="20"/>
              </w:rPr>
            </w:pPr>
            <w:r>
              <w:rPr>
                <w:rFonts w:hint="eastAsia" w:hAnsi="楷体_GB2312" w:cs="楷体_GB2312"/>
                <w:sz w:val="20"/>
              </w:rPr>
              <w:t xml:space="preserve">Level 1 </w:t>
            </w:r>
            <w:r>
              <w:rPr>
                <w:rFonts w:hint="eastAsia" w:hAnsi="楷体_GB2312" w:cs="楷体_GB2312"/>
                <w:sz w:val="20"/>
                <w:lang w:eastAsia="zh-CN"/>
              </w:rPr>
              <w:t>行情</w:t>
            </w:r>
            <w:r>
              <w:rPr>
                <w:rFonts w:hint="eastAsia" w:hAnsi="楷体_GB2312" w:cs="楷体_GB2312"/>
                <w:sz w:val="20"/>
              </w:rPr>
              <w:t>发送带宽调整相关线路是否已就绪</w:t>
            </w:r>
          </w:p>
        </w:tc>
        <w:tc>
          <w:tcPr>
            <w:tcW w:w="6946" w:type="dxa"/>
            <w:gridSpan w:val="4"/>
            <w:tcBorders>
              <w:top w:val="single" w:color="auto" w:sz="4" w:space="0"/>
              <w:left w:val="nil"/>
              <w:bottom w:val="single" w:color="auto" w:sz="4" w:space="0"/>
              <w:right w:val="single" w:color="auto" w:sz="4" w:space="0"/>
            </w:tcBorders>
            <w:vAlign w:val="top"/>
          </w:tcPr>
          <w:p>
            <w:pPr>
              <w:rPr>
                <w:rFonts w:hAnsi="楷体_GB2312" w:cs="楷体_GB2312"/>
                <w:sz w:val="20"/>
              </w:rPr>
            </w:pPr>
            <w:r>
              <w:rPr>
                <w:rFonts w:hint="eastAsia" w:hAnsi="楷体_GB2312" w:cs="楷体_GB2312"/>
                <w:sz w:val="20"/>
              </w:rPr>
              <w:t>◎暂不开展此项业务</w:t>
            </w:r>
          </w:p>
          <w:p>
            <w:pPr>
              <w:rPr>
                <w:rFonts w:hAnsi="楷体_GB2312" w:cs="楷体_GB2312"/>
                <w:sz w:val="20"/>
              </w:rPr>
            </w:pPr>
            <w:r>
              <w:rPr>
                <w:rFonts w:hint="eastAsia" w:hAnsi="楷体_GB2312" w:cs="楷体_GB2312"/>
                <w:sz w:val="20"/>
              </w:rPr>
              <w:t>◎无需改造，已评估对现有线路无影响</w:t>
            </w:r>
          </w:p>
          <w:p>
            <w:pPr>
              <w:rPr>
                <w:rFonts w:hAnsi="楷体_GB2312" w:cs="楷体_GB2312"/>
                <w:sz w:val="20"/>
              </w:rPr>
            </w:pPr>
            <w:r>
              <w:rPr>
                <w:rFonts w:hint="eastAsia" w:hAnsi="楷体_GB2312" w:cs="楷体_GB2312"/>
                <w:sz w:val="20"/>
              </w:rPr>
              <w:t>◎需要改造且现有线路已就绪</w:t>
            </w:r>
          </w:p>
          <w:p>
            <w:pPr>
              <w:rPr>
                <w:rFonts w:hAnsi="楷体"/>
                <w:sz w:val="20"/>
              </w:rPr>
            </w:pPr>
            <w:r>
              <w:rPr>
                <w:rFonts w:hint="eastAsia" w:hAnsi="楷体_GB2312" w:cs="楷体_GB2312"/>
                <w:sz w:val="20"/>
              </w:rPr>
              <w:t>◎需要改造但现有线路暂未就绪，预计就绪时间: 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int="eastAsia" w:hAnsi="楷体" w:eastAsia="楷体_GB2312"/>
                <w:sz w:val="20"/>
                <w:highlight w:val="yellow"/>
                <w:lang w:eastAsia="zh-CN"/>
              </w:rPr>
            </w:pPr>
            <w:r>
              <w:rPr>
                <w:rFonts w:hint="eastAsia" w:hAnsi="楷体_GB2312" w:cs="楷体_GB2312"/>
                <w:sz w:val="20"/>
              </w:rPr>
              <w:t>债券质押式回购业务风险控制相关技术系统是否已</w:t>
            </w:r>
            <w:r>
              <w:rPr>
                <w:rFonts w:hint="eastAsia" w:hAnsi="楷体_GB2312" w:cs="楷体_GB2312"/>
                <w:sz w:val="20"/>
                <w:lang w:eastAsia="zh-CN"/>
              </w:rPr>
              <w:t>就绪</w:t>
            </w:r>
          </w:p>
        </w:tc>
        <w:tc>
          <w:tcPr>
            <w:tcW w:w="6946" w:type="dxa"/>
            <w:gridSpan w:val="4"/>
            <w:tcBorders>
              <w:top w:val="single" w:color="auto" w:sz="4" w:space="0"/>
              <w:left w:val="nil"/>
              <w:bottom w:val="single" w:color="auto" w:sz="4" w:space="0"/>
              <w:right w:val="single" w:color="auto" w:sz="4" w:space="0"/>
            </w:tcBorders>
          </w:tcPr>
          <w:p>
            <w:pPr>
              <w:rPr>
                <w:rFonts w:hint="eastAsia" w:hAnsi="楷体_GB2312" w:cs="楷体_GB2312"/>
                <w:sz w:val="20"/>
              </w:rPr>
            </w:pPr>
            <w:r>
              <w:rPr>
                <w:rFonts w:hint="eastAsia" w:hAnsi="楷体_GB2312" w:cs="楷体_GB2312"/>
                <w:sz w:val="20"/>
              </w:rPr>
              <w:t>◎无此业务，系统无需改造，已评估对现有系统无影响</w:t>
            </w:r>
          </w:p>
          <w:p>
            <w:pPr>
              <w:rPr>
                <w:rFonts w:hint="eastAsia" w:hAnsi="楷体_GB2312" w:cs="楷体_GB2312"/>
                <w:sz w:val="20"/>
              </w:rPr>
            </w:pPr>
            <w:r>
              <w:rPr>
                <w:rFonts w:hint="eastAsia" w:hAnsi="楷体_GB2312" w:cs="楷体_GB2312"/>
                <w:sz w:val="20"/>
              </w:rPr>
              <w:t>◎需要改造且技术系统已就绪</w:t>
            </w:r>
          </w:p>
          <w:p>
            <w:pPr>
              <w:rPr>
                <w:rFonts w:hint="eastAsia" w:hAnsi="楷体_GB2312" w:cs="楷体_GB2312"/>
                <w:sz w:val="20"/>
              </w:rPr>
            </w:pPr>
            <w:r>
              <w:rPr>
                <w:rFonts w:hint="eastAsia" w:hAnsi="楷体_GB2312" w:cs="楷体_GB2312"/>
                <w:sz w:val="20"/>
              </w:rPr>
              <w:t>◎需要改造但技术系统暂未就绪，预计就绪时间: ________。深交所技术系统上线后，已评估现有业务均可正常开展；系统就绪前，协议回购业务无法正常开展。</w:t>
            </w:r>
          </w:p>
          <w:p>
            <w:pPr>
              <w:rPr>
                <w:rFonts w:hint="eastAsia" w:hAnsi="楷体_GB2312" w:cs="楷体_GB2312"/>
                <w:sz w:val="20"/>
              </w:rPr>
            </w:pPr>
            <w:r>
              <w:rPr>
                <w:rFonts w:hint="eastAsia" w:hAnsi="楷体_GB2312" w:cs="楷体_GB2312"/>
                <w:sz w:val="20"/>
              </w:rPr>
              <w:t>◎需要改造但技术系统暂未就绪，预计就绪时间: ________。深交所技术系统上线后，已评估现有业务均可正常开展；系统就绪前，协议回购业务使用深交所交易终端。</w:t>
            </w:r>
          </w:p>
          <w:p>
            <w:pPr>
              <w:rPr>
                <w:rFonts w:ascii="楷体" w:hAnsi="楷体" w:eastAsia="楷体"/>
                <w:sz w:val="20"/>
              </w:rPr>
            </w:pPr>
            <w:r>
              <w:rPr>
                <w:rFonts w:hint="eastAsia" w:hAnsi="楷体_GB2312" w:cs="楷体_GB2312"/>
                <w:sz w:val="20"/>
              </w:rPr>
              <w:t>◎需要改造但技术系统暂未就绪，预计就绪时间: ________。深交所技术系统上线后，已评估现有业务无法正常开展。业务影响________，应对措施：________。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10343" w:type="dxa"/>
            <w:gridSpan w:val="6"/>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ascii="楷体" w:hAnsi="楷体" w:eastAsia="楷体"/>
                <w:sz w:val="20"/>
              </w:rPr>
              <w:t>请填写以下各功能点测试结果</w:t>
            </w:r>
            <w:r>
              <w:rPr>
                <w:rFonts w:hint="eastAsia" w:ascii="楷体" w:hAnsi="楷体" w:eastAsia="楷体"/>
                <w:b/>
                <w:bCs/>
                <w:sz w:val="20"/>
              </w:rPr>
              <w:t>（未参测单位可不填写以下内容</w:t>
            </w:r>
            <w:r>
              <w:rPr>
                <w:rFonts w:hint="eastAsia"/>
                <w:b/>
                <w:bCs/>
                <w:sz w:val="20"/>
              </w:rPr>
              <w:t>，</w:t>
            </w:r>
            <w:r>
              <w:rPr>
                <w:rFonts w:hint="eastAsia"/>
                <w:b/>
                <w:bCs/>
                <w:color w:val="FF0000"/>
                <w:sz w:val="20"/>
              </w:rPr>
              <w:t>*</w:t>
            </w:r>
            <w:r>
              <w:rPr>
                <w:rFonts w:hint="eastAsia"/>
                <w:b/>
                <w:bCs/>
                <w:sz w:val="20"/>
              </w:rPr>
              <w:t>为重点测试场景</w:t>
            </w:r>
            <w:r>
              <w:rPr>
                <w:rFonts w:hint="eastAsia" w:ascii="楷体" w:hAnsi="楷体" w:eastAsia="楷体"/>
                <w:b/>
                <w:bCs/>
                <w:sz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_GB2312" w:cs="楷体_GB2312"/>
                <w:b/>
                <w:kern w:val="0"/>
                <w:sz w:val="20"/>
              </w:rPr>
              <w:t>债券质押式回购业务风险控制测试反馈项</w:t>
            </w:r>
            <w:r>
              <w:rPr>
                <w:rFonts w:hint="eastAsia" w:ascii="楷体" w:hAnsi="楷体" w:eastAsia="楷体" w:cs="宋体"/>
                <w:b/>
                <w:kern w:val="0"/>
                <w:sz w:val="20"/>
                <w:szCs w:val="22"/>
              </w:rPr>
              <w:t>（行情服务商无需填写）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FF0000"/>
                <w:kern w:val="0"/>
                <w:sz w:val="20"/>
              </w:rPr>
            </w:pPr>
            <w:r>
              <w:rPr>
                <w:rFonts w:hint="eastAsia"/>
                <w:b/>
                <w:bCs/>
                <w:color w:val="FF0000"/>
                <w:sz w:val="20"/>
              </w:rPr>
              <w:t>*</w:t>
            </w:r>
            <w:r>
              <w:rPr>
                <w:rFonts w:hint="eastAsia" w:cs="宋体"/>
                <w:color w:val="000000"/>
                <w:kern w:val="0"/>
                <w:sz w:val="20"/>
              </w:rPr>
              <w:t>债券质押式协议回购初始交易的委托申报、成交回报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FF0000"/>
                <w:kern w:val="0"/>
                <w:sz w:val="20"/>
              </w:rPr>
            </w:pPr>
            <w:r>
              <w:rPr>
                <w:rFonts w:hint="eastAsia"/>
                <w:b/>
                <w:bCs/>
                <w:color w:val="FF0000"/>
                <w:sz w:val="20"/>
              </w:rPr>
              <w:t>*</w:t>
            </w:r>
            <w:r>
              <w:rPr>
                <w:rFonts w:hint="eastAsia" w:cs="宋体"/>
                <w:color w:val="000000"/>
                <w:kern w:val="0"/>
                <w:sz w:val="20"/>
              </w:rPr>
              <w:t>债券质押式协议回购到期续做的委托申报、成交回报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FF0000"/>
                <w:kern w:val="0"/>
                <w:sz w:val="20"/>
              </w:rPr>
            </w:pPr>
            <w:r>
              <w:rPr>
                <w:rFonts w:hint="eastAsia"/>
                <w:b/>
                <w:bCs/>
                <w:color w:val="FF0000"/>
                <w:sz w:val="20"/>
              </w:rPr>
              <w:t>*</w:t>
            </w:r>
            <w:r>
              <w:rPr>
                <w:rFonts w:hint="eastAsia" w:cs="宋体"/>
                <w:color w:val="000000"/>
                <w:kern w:val="0"/>
                <w:sz w:val="20"/>
              </w:rPr>
              <w:t>债券质押式协议回购到期购回的委托申报、成交回报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Ansi="楷体_GB2312" w:cs="楷体_GB2312"/>
                <w:kern w:val="0"/>
                <w:sz w:val="20"/>
              </w:rPr>
            </w:pPr>
            <w:r>
              <w:rPr>
                <w:rFonts w:hint="eastAsia"/>
                <w:b/>
                <w:bCs/>
                <w:color w:val="FF0000"/>
                <w:sz w:val="20"/>
              </w:rPr>
              <w:t>*</w:t>
            </w:r>
            <w:r>
              <w:rPr>
                <w:rFonts w:hint="eastAsia" w:cs="宋体"/>
                <w:color w:val="000000"/>
                <w:kern w:val="0"/>
                <w:sz w:val="20"/>
              </w:rPr>
              <w:t>债券质押式协议回购质押券变更的委托申报、成交回报</w:t>
            </w:r>
          </w:p>
        </w:tc>
        <w:tc>
          <w:tcPr>
            <w:tcW w:w="3402" w:type="dxa"/>
            <w:gridSpan w:val="2"/>
            <w:vAlign w:val="center"/>
          </w:tcPr>
          <w:p>
            <w:pPr>
              <w:widowControl/>
              <w:jc w:val="center"/>
              <w:rPr>
                <w:rFonts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Ansi="楷体_GB2312" w:cs="楷体_GB2312"/>
                <w:kern w:val="0"/>
                <w:sz w:val="20"/>
              </w:rPr>
            </w:pPr>
            <w:r>
              <w:rPr>
                <w:rFonts w:hint="eastAsia"/>
                <w:b/>
                <w:bCs/>
                <w:color w:val="FF0000"/>
                <w:sz w:val="20"/>
              </w:rPr>
              <w:t>*</w:t>
            </w:r>
            <w:r>
              <w:rPr>
                <w:rFonts w:hint="eastAsia" w:cs="宋体"/>
                <w:color w:val="000000"/>
                <w:kern w:val="0"/>
                <w:sz w:val="20"/>
              </w:rPr>
              <w:t>债券质押式协议回购提前购回的委托申报、成交回报</w:t>
            </w:r>
          </w:p>
        </w:tc>
        <w:tc>
          <w:tcPr>
            <w:tcW w:w="3402" w:type="dxa"/>
            <w:gridSpan w:val="2"/>
            <w:vAlign w:val="center"/>
          </w:tcPr>
          <w:p>
            <w:pPr>
              <w:widowControl/>
              <w:jc w:val="center"/>
              <w:rPr>
                <w:rFonts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Ansi="楷体_GB2312" w:cs="楷体_GB2312"/>
                <w:kern w:val="0"/>
                <w:sz w:val="20"/>
              </w:rPr>
            </w:pPr>
            <w:r>
              <w:rPr>
                <w:rFonts w:hint="eastAsia" w:cs="宋体"/>
                <w:color w:val="000000"/>
                <w:kern w:val="0"/>
                <w:sz w:val="20"/>
              </w:rPr>
              <w:t>债券质押式协议回购解除质押的委托申报、成交回报</w:t>
            </w:r>
          </w:p>
        </w:tc>
        <w:tc>
          <w:tcPr>
            <w:tcW w:w="3402" w:type="dxa"/>
            <w:gridSpan w:val="2"/>
            <w:vAlign w:val="center"/>
          </w:tcPr>
          <w:p>
            <w:pPr>
              <w:widowControl/>
              <w:jc w:val="center"/>
              <w:rPr>
                <w:rFonts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cs="宋体"/>
                <w:color w:val="000000"/>
                <w:kern w:val="0"/>
                <w:sz w:val="20"/>
              </w:rPr>
            </w:pPr>
            <w:r>
              <w:rPr>
                <w:rFonts w:hint="eastAsia"/>
                <w:b/>
                <w:bCs/>
                <w:color w:val="FF0000"/>
                <w:sz w:val="20"/>
              </w:rPr>
              <w:t>*</w:t>
            </w:r>
            <w:r>
              <w:rPr>
                <w:rFonts w:hint="eastAsia" w:cs="宋体"/>
                <w:color w:val="000000"/>
                <w:kern w:val="0"/>
                <w:sz w:val="20"/>
              </w:rPr>
              <w:t>是否已启用MemoEx（STEP接口</w:t>
            </w:r>
            <w:r>
              <w:rPr>
                <w:rFonts w:hint="eastAsia" w:cs="宋体"/>
                <w:color w:val="000000"/>
                <w:kern w:val="0"/>
                <w:sz w:val="20"/>
                <w:highlight w:val="none"/>
              </w:rPr>
              <w:t>TAG=10248）字段报送交易双方约定非结构化信息，而非Memo（STEP接口TAG=10198)</w:t>
            </w:r>
            <w:r>
              <w:rPr>
                <w:rFonts w:hint="eastAsia" w:cs="宋体"/>
                <w:color w:val="000000"/>
                <w:kern w:val="0"/>
                <w:sz w:val="20"/>
              </w:rPr>
              <w:t>字段</w:t>
            </w:r>
          </w:p>
        </w:tc>
        <w:tc>
          <w:tcPr>
            <w:tcW w:w="3402" w:type="dxa"/>
            <w:gridSpan w:val="2"/>
            <w:vAlign w:val="center"/>
          </w:tcPr>
          <w:p>
            <w:pPr>
              <w:widowControl/>
              <w:jc w:val="center"/>
              <w:rPr>
                <w:rFonts w:hint="eastAsia" w:hAnsi="楷体_GB2312" w:cs="楷体_GB2312"/>
                <w:kern w:val="0"/>
                <w:sz w:val="20"/>
              </w:rPr>
            </w:pPr>
            <w:r>
              <w:rPr>
                <w:rFonts w:hint="eastAsia" w:hAnsi="楷体_GB2312" w:cs="楷体_GB2312"/>
                <w:kern w:val="0"/>
                <w:sz w:val="20"/>
              </w:rPr>
              <w:t>◎是 ◎否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cs="宋体"/>
                <w:color w:val="000000"/>
                <w:kern w:val="0"/>
                <w:sz w:val="20"/>
              </w:rPr>
            </w:pPr>
            <w:r>
              <w:rPr>
                <w:rFonts w:hint="eastAsia"/>
                <w:b/>
                <w:bCs/>
                <w:color w:val="FF0000"/>
                <w:sz w:val="20"/>
              </w:rPr>
              <w:t>*</w:t>
            </w:r>
            <w:r>
              <w:rPr>
                <w:rFonts w:hint="eastAsia" w:cs="宋体"/>
                <w:color w:val="000000"/>
                <w:kern w:val="0"/>
                <w:sz w:val="20"/>
              </w:rPr>
              <w:t>通过交易终端进行协议回购初始交易的委托申报、主动撤单，逆回购方的委托确认及拒绝、成交回报，当日委托、当日成交的查询及导出、消息提醒</w:t>
            </w:r>
          </w:p>
        </w:tc>
        <w:tc>
          <w:tcPr>
            <w:tcW w:w="3402" w:type="dxa"/>
            <w:gridSpan w:val="2"/>
            <w:vAlign w:val="center"/>
          </w:tcPr>
          <w:p>
            <w:pPr>
              <w:widowControl/>
              <w:jc w:val="center"/>
              <w:rPr>
                <w:rFonts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cs="宋体"/>
                <w:color w:val="000000"/>
                <w:kern w:val="0"/>
                <w:sz w:val="20"/>
              </w:rPr>
            </w:pPr>
            <w:r>
              <w:rPr>
                <w:rFonts w:hint="eastAsia"/>
                <w:b/>
                <w:bCs/>
                <w:color w:val="FF0000"/>
                <w:sz w:val="20"/>
              </w:rPr>
              <w:t>*</w:t>
            </w:r>
            <w:r>
              <w:rPr>
                <w:rFonts w:hint="eastAsia" w:cs="宋体"/>
                <w:color w:val="000000"/>
                <w:kern w:val="0"/>
                <w:sz w:val="20"/>
              </w:rPr>
              <w:t>通过交易终端进行协议回购在途合约提前购回、质押券变更、到期续做、到期购回、解除质押的的委托申报、主动撤单，逆回购方的委托确认及拒绝、成交回报，</w:t>
            </w:r>
          </w:p>
          <w:p>
            <w:pPr>
              <w:jc w:val="left"/>
              <w:rPr>
                <w:rFonts w:cs="宋体"/>
                <w:color w:val="000000"/>
                <w:kern w:val="0"/>
                <w:sz w:val="20"/>
              </w:rPr>
            </w:pPr>
            <w:r>
              <w:rPr>
                <w:rFonts w:hint="eastAsia" w:cs="宋体"/>
                <w:color w:val="000000"/>
                <w:kern w:val="0"/>
                <w:sz w:val="20"/>
              </w:rPr>
              <w:t>当日委托、当日成交的查询及导出、消息提醒</w:t>
            </w:r>
          </w:p>
        </w:tc>
        <w:tc>
          <w:tcPr>
            <w:tcW w:w="3402" w:type="dxa"/>
            <w:gridSpan w:val="2"/>
            <w:vAlign w:val="center"/>
          </w:tcPr>
          <w:p>
            <w:pPr>
              <w:widowControl/>
              <w:jc w:val="center"/>
              <w:rPr>
                <w:rFonts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cs="宋体"/>
                <w:color w:val="000000"/>
                <w:kern w:val="0"/>
                <w:sz w:val="20"/>
              </w:rPr>
            </w:pPr>
            <w:r>
              <w:rPr>
                <w:rFonts w:hint="eastAsia"/>
                <w:b/>
                <w:bCs/>
                <w:color w:val="FF0000"/>
                <w:sz w:val="20"/>
              </w:rPr>
              <w:t>*</w:t>
            </w:r>
            <w:r>
              <w:rPr>
                <w:rFonts w:hint="eastAsia" w:cs="宋体"/>
                <w:color w:val="000000"/>
                <w:kern w:val="0"/>
                <w:sz w:val="20"/>
              </w:rPr>
              <w:t>协议回购初始交易、质押券变更、提前购回、到期购回、到期续做变更对手方、到期续做不变更对手方、解除质押等业务的清算交收处理</w:t>
            </w:r>
          </w:p>
        </w:tc>
        <w:tc>
          <w:tcPr>
            <w:tcW w:w="3402" w:type="dxa"/>
            <w:gridSpan w:val="2"/>
            <w:vAlign w:val="center"/>
          </w:tcPr>
          <w:p>
            <w:pPr>
              <w:widowControl/>
              <w:jc w:val="center"/>
              <w:rPr>
                <w:rFonts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_GB2312" w:cs="楷体_GB2312"/>
                <w:b/>
                <w:kern w:val="0"/>
                <w:sz w:val="20"/>
              </w:rPr>
              <w:t>Level 1行情接收与展示相关测试反馈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b/>
                <w:bCs/>
                <w:color w:val="FF0000"/>
                <w:sz w:val="20"/>
              </w:rPr>
              <w:t>*</w:t>
            </w:r>
            <w:r>
              <w:rPr>
                <w:rFonts w:hint="eastAsia"/>
                <w:color w:val="auto"/>
                <w:sz w:val="21"/>
                <w:szCs w:val="21"/>
                <w:lang w:val="en-US" w:eastAsia="zh-CN"/>
              </w:rPr>
              <w:t>福田Level 1行情正常时，</w:t>
            </w:r>
            <w:r>
              <w:rPr>
                <w:rFonts w:hint="eastAsia" w:ascii="楷体" w:hAnsi="楷体" w:eastAsia="楷体" w:cs="宋体"/>
                <w:color w:val="000000"/>
                <w:kern w:val="0"/>
                <w:sz w:val="20"/>
                <w:lang w:val="en-US" w:eastAsia="zh-CN"/>
              </w:rPr>
              <w:t>广域网线路对LEVEL1现货</w:t>
            </w:r>
            <w:r>
              <w:rPr>
                <w:rFonts w:hint="eastAsia" w:ascii="楷体" w:hAnsi="楷体" w:eastAsia="楷体" w:cs="宋体"/>
                <w:color w:val="000000"/>
                <w:kern w:val="0"/>
                <w:sz w:val="20"/>
              </w:rPr>
              <w:t>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b/>
                <w:bCs/>
                <w:color w:val="FF0000"/>
                <w:sz w:val="20"/>
              </w:rPr>
              <w:t>*</w:t>
            </w:r>
            <w:r>
              <w:rPr>
                <w:rFonts w:hint="eastAsia"/>
                <w:color w:val="auto"/>
                <w:sz w:val="21"/>
                <w:szCs w:val="21"/>
                <w:lang w:val="en-US" w:eastAsia="zh-CN"/>
              </w:rPr>
              <w:t>福田Level 1行情正常时，</w:t>
            </w:r>
            <w:r>
              <w:rPr>
                <w:rFonts w:hint="eastAsia" w:ascii="楷体" w:hAnsi="楷体" w:eastAsia="楷体" w:cs="宋体"/>
                <w:color w:val="000000"/>
                <w:kern w:val="0"/>
                <w:sz w:val="20"/>
                <w:lang w:val="en-US" w:eastAsia="zh-CN"/>
              </w:rPr>
              <w:t>广域网线路对LEVEL1期权</w:t>
            </w:r>
            <w:r>
              <w:rPr>
                <w:rFonts w:hint="eastAsia" w:ascii="楷体" w:hAnsi="楷体" w:eastAsia="楷体" w:cs="宋体"/>
                <w:color w:val="000000"/>
                <w:kern w:val="0"/>
                <w:sz w:val="20"/>
              </w:rPr>
              <w:t>行情接收与展示</w:t>
            </w:r>
          </w:p>
        </w:tc>
        <w:tc>
          <w:tcPr>
            <w:tcW w:w="3402" w:type="dxa"/>
            <w:gridSpan w:val="2"/>
            <w:vAlign w:val="center"/>
          </w:tcPr>
          <w:p>
            <w:pPr>
              <w:widowControl/>
              <w:jc w:val="center"/>
              <w:rPr>
                <w:rFonts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lang w:val="en-US" w:eastAsia="zh-CN" w:bidi="ar-SA"/>
              </w:rPr>
            </w:pPr>
            <w:r>
              <w:rPr>
                <w:rFonts w:hint="eastAsia"/>
                <w:b/>
                <w:bCs/>
                <w:color w:val="FF0000"/>
                <w:sz w:val="20"/>
              </w:rPr>
              <w:t>*</w:t>
            </w:r>
            <w:r>
              <w:rPr>
                <w:rFonts w:hint="eastAsia"/>
                <w:color w:val="auto"/>
                <w:sz w:val="21"/>
                <w:szCs w:val="21"/>
                <w:lang w:val="en-US" w:eastAsia="zh-CN"/>
              </w:rPr>
              <w:t>福田Level 1行情正常时，</w:t>
            </w:r>
            <w:r>
              <w:rPr>
                <w:rFonts w:hint="eastAsia" w:ascii="楷体" w:hAnsi="楷体" w:eastAsia="楷体" w:cs="宋体"/>
                <w:color w:val="000000"/>
                <w:kern w:val="0"/>
                <w:sz w:val="20"/>
                <w:lang w:val="en-US" w:eastAsia="zh-CN"/>
              </w:rPr>
              <w:t>卫星线路对LEVEL1现货</w:t>
            </w:r>
            <w:r>
              <w:rPr>
                <w:rFonts w:hint="eastAsia" w:ascii="楷体" w:hAnsi="楷体" w:eastAsia="楷体" w:cs="宋体"/>
                <w:color w:val="000000"/>
                <w:kern w:val="0"/>
                <w:sz w:val="20"/>
              </w:rPr>
              <w:t>行情接收与展示</w:t>
            </w:r>
          </w:p>
        </w:tc>
        <w:tc>
          <w:tcPr>
            <w:tcW w:w="3402" w:type="dxa"/>
            <w:gridSpan w:val="2"/>
            <w:vAlign w:val="center"/>
          </w:tcPr>
          <w:p>
            <w:pPr>
              <w:widowControl/>
              <w:jc w:val="center"/>
              <w:rPr>
                <w:rFonts w:hint="eastAsia"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lang w:val="en-US" w:eastAsia="zh-CN" w:bidi="ar-SA"/>
              </w:rPr>
            </w:pPr>
            <w:r>
              <w:rPr>
                <w:rFonts w:hint="eastAsia"/>
                <w:b/>
                <w:bCs/>
                <w:color w:val="FF0000"/>
                <w:sz w:val="20"/>
              </w:rPr>
              <w:t>*</w:t>
            </w:r>
            <w:r>
              <w:rPr>
                <w:rFonts w:hint="eastAsia"/>
                <w:color w:val="auto"/>
                <w:sz w:val="21"/>
                <w:szCs w:val="21"/>
                <w:lang w:val="en-US" w:eastAsia="zh-CN"/>
              </w:rPr>
              <w:t>福田Level 1行情正常时，</w:t>
            </w:r>
            <w:r>
              <w:rPr>
                <w:rFonts w:hint="eastAsia" w:ascii="楷体" w:hAnsi="楷体" w:eastAsia="楷体" w:cs="宋体"/>
                <w:b w:val="0"/>
                <w:bCs w:val="0"/>
                <w:color w:val="000000"/>
                <w:kern w:val="0"/>
                <w:sz w:val="20"/>
                <w:lang w:val="en-US" w:eastAsia="zh-CN"/>
              </w:rPr>
              <w:t>卫星线路</w:t>
            </w:r>
            <w:r>
              <w:rPr>
                <w:rFonts w:hint="eastAsia" w:ascii="楷体" w:hAnsi="楷体" w:eastAsia="楷体" w:cs="宋体"/>
                <w:color w:val="000000"/>
                <w:kern w:val="0"/>
                <w:sz w:val="20"/>
                <w:lang w:val="en-US" w:eastAsia="zh-CN"/>
              </w:rPr>
              <w:t>对LEVEL1期权</w:t>
            </w:r>
            <w:r>
              <w:rPr>
                <w:rFonts w:hint="eastAsia" w:ascii="楷体" w:hAnsi="楷体" w:eastAsia="楷体" w:cs="宋体"/>
                <w:color w:val="000000"/>
                <w:kern w:val="0"/>
                <w:sz w:val="20"/>
              </w:rPr>
              <w:t>行情接收与展示</w:t>
            </w:r>
          </w:p>
        </w:tc>
        <w:tc>
          <w:tcPr>
            <w:tcW w:w="3402" w:type="dxa"/>
            <w:gridSpan w:val="2"/>
            <w:vAlign w:val="center"/>
          </w:tcPr>
          <w:p>
            <w:pPr>
              <w:widowControl/>
              <w:jc w:val="center"/>
              <w:rPr>
                <w:rFonts w:hint="eastAsia"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lang w:val="en-US" w:eastAsia="zh-CN" w:bidi="ar-SA"/>
              </w:rPr>
            </w:pPr>
            <w:r>
              <w:rPr>
                <w:rFonts w:hint="eastAsia"/>
                <w:b/>
                <w:bCs/>
                <w:color w:val="FF0000"/>
                <w:sz w:val="20"/>
              </w:rPr>
              <w:t>*</w:t>
            </w:r>
            <w:r>
              <w:rPr>
                <w:rFonts w:hint="eastAsia"/>
                <w:color w:val="FF0000"/>
                <w:sz w:val="21"/>
                <w:szCs w:val="21"/>
                <w:lang w:val="en-US" w:eastAsia="zh-CN"/>
              </w:rPr>
              <w:t>福田Level 1行情中断后</w:t>
            </w:r>
            <w:r>
              <w:rPr>
                <w:rFonts w:hint="eastAsia"/>
                <w:color w:val="auto"/>
                <w:sz w:val="21"/>
                <w:szCs w:val="21"/>
                <w:lang w:val="en-US" w:eastAsia="zh-CN"/>
              </w:rPr>
              <w:t>，</w:t>
            </w:r>
            <w:r>
              <w:rPr>
                <w:rFonts w:hint="eastAsia" w:ascii="楷体" w:hAnsi="楷体" w:eastAsia="楷体" w:cs="宋体"/>
                <w:color w:val="000000"/>
                <w:kern w:val="0"/>
                <w:sz w:val="20"/>
                <w:lang w:val="en-US" w:eastAsia="zh-CN"/>
              </w:rPr>
              <w:t>广域网线路对LEVEL1现货</w:t>
            </w:r>
            <w:r>
              <w:rPr>
                <w:rFonts w:hint="eastAsia" w:ascii="楷体" w:hAnsi="楷体" w:eastAsia="楷体" w:cs="宋体"/>
                <w:color w:val="000000"/>
                <w:kern w:val="0"/>
                <w:sz w:val="20"/>
              </w:rPr>
              <w:t>行情接收与展示</w:t>
            </w:r>
          </w:p>
        </w:tc>
        <w:tc>
          <w:tcPr>
            <w:tcW w:w="3402" w:type="dxa"/>
            <w:gridSpan w:val="2"/>
            <w:vAlign w:val="center"/>
          </w:tcPr>
          <w:p>
            <w:pPr>
              <w:widowControl/>
              <w:jc w:val="center"/>
              <w:rPr>
                <w:rFonts w:hint="eastAsia" w:ascii="楷体" w:hAnsi="楷体" w:eastAsia="楷体" w:cs="宋体"/>
                <w:color w:val="000000"/>
                <w:kern w:val="0"/>
                <w:sz w:val="20"/>
                <w:lang w:val="en-US" w:eastAsia="zh-CN" w:bidi="ar-SA"/>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lang w:val="en-US" w:eastAsia="zh-CN" w:bidi="ar-SA"/>
              </w:rPr>
            </w:pPr>
            <w:r>
              <w:rPr>
                <w:rFonts w:hint="eastAsia"/>
                <w:b/>
                <w:bCs/>
                <w:color w:val="FF0000"/>
                <w:sz w:val="20"/>
              </w:rPr>
              <w:t>*</w:t>
            </w:r>
            <w:r>
              <w:rPr>
                <w:rFonts w:hint="eastAsia"/>
                <w:color w:val="FF0000"/>
                <w:sz w:val="21"/>
                <w:szCs w:val="21"/>
                <w:lang w:val="en-US" w:eastAsia="zh-CN"/>
              </w:rPr>
              <w:t>福田Level 1行情中断后</w:t>
            </w:r>
            <w:r>
              <w:rPr>
                <w:rFonts w:hint="eastAsia"/>
                <w:color w:val="auto"/>
                <w:sz w:val="21"/>
                <w:szCs w:val="21"/>
                <w:lang w:val="en-US" w:eastAsia="zh-CN"/>
              </w:rPr>
              <w:t>，</w:t>
            </w:r>
            <w:r>
              <w:rPr>
                <w:rFonts w:hint="eastAsia" w:ascii="楷体" w:hAnsi="楷体" w:eastAsia="楷体" w:cs="宋体"/>
                <w:color w:val="000000"/>
                <w:kern w:val="0"/>
                <w:sz w:val="20"/>
                <w:lang w:val="en-US" w:eastAsia="zh-CN"/>
              </w:rPr>
              <w:t>广域网线路对LEVEL1期权</w:t>
            </w:r>
            <w:r>
              <w:rPr>
                <w:rFonts w:hint="eastAsia" w:ascii="楷体" w:hAnsi="楷体" w:eastAsia="楷体" w:cs="宋体"/>
                <w:color w:val="000000"/>
                <w:kern w:val="0"/>
                <w:sz w:val="20"/>
              </w:rPr>
              <w:t>行情接收与展示</w:t>
            </w:r>
          </w:p>
        </w:tc>
        <w:tc>
          <w:tcPr>
            <w:tcW w:w="3402" w:type="dxa"/>
            <w:gridSpan w:val="2"/>
            <w:vAlign w:val="center"/>
          </w:tcPr>
          <w:p>
            <w:pPr>
              <w:widowControl/>
              <w:jc w:val="center"/>
              <w:rPr>
                <w:rFonts w:hint="eastAsia" w:ascii="楷体_GB2312" w:hAnsi="楷体_GB2312" w:eastAsia="楷体_GB2312" w:cs="楷体_GB2312"/>
                <w:kern w:val="0"/>
                <w:sz w:val="20"/>
                <w:lang w:val="en-US" w:eastAsia="zh-CN" w:bidi="ar-SA"/>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lang w:val="en-US" w:eastAsia="zh-CN" w:bidi="ar-SA"/>
              </w:rPr>
            </w:pPr>
            <w:r>
              <w:rPr>
                <w:rFonts w:hint="eastAsia"/>
                <w:b/>
                <w:bCs/>
                <w:color w:val="FF0000"/>
                <w:sz w:val="20"/>
              </w:rPr>
              <w:t>*</w:t>
            </w:r>
            <w:r>
              <w:rPr>
                <w:rFonts w:hint="eastAsia"/>
                <w:color w:val="FF0000"/>
                <w:sz w:val="21"/>
                <w:szCs w:val="21"/>
                <w:lang w:val="en-US" w:eastAsia="zh-CN"/>
              </w:rPr>
              <w:t>福田Level 1行情中断后</w:t>
            </w:r>
            <w:r>
              <w:rPr>
                <w:rFonts w:hint="eastAsia"/>
                <w:color w:val="auto"/>
                <w:sz w:val="21"/>
                <w:szCs w:val="21"/>
                <w:lang w:val="en-US" w:eastAsia="zh-CN"/>
              </w:rPr>
              <w:t>，</w:t>
            </w:r>
            <w:r>
              <w:rPr>
                <w:rFonts w:hint="eastAsia" w:ascii="楷体" w:hAnsi="楷体" w:eastAsia="楷体" w:cs="宋体"/>
                <w:color w:val="000000"/>
                <w:kern w:val="0"/>
                <w:sz w:val="20"/>
                <w:lang w:val="en-US" w:eastAsia="zh-CN"/>
              </w:rPr>
              <w:t>卫星线路对LEVEL1现货</w:t>
            </w:r>
            <w:r>
              <w:rPr>
                <w:rFonts w:hint="eastAsia" w:ascii="楷体" w:hAnsi="楷体" w:eastAsia="楷体" w:cs="宋体"/>
                <w:color w:val="000000"/>
                <w:kern w:val="0"/>
                <w:sz w:val="20"/>
              </w:rPr>
              <w:t>行情接收与展示</w:t>
            </w:r>
          </w:p>
        </w:tc>
        <w:tc>
          <w:tcPr>
            <w:tcW w:w="3402" w:type="dxa"/>
            <w:gridSpan w:val="2"/>
            <w:vAlign w:val="center"/>
          </w:tcPr>
          <w:p>
            <w:pPr>
              <w:widowControl/>
              <w:jc w:val="center"/>
              <w:rPr>
                <w:rFonts w:hint="eastAsia" w:ascii="楷体_GB2312" w:hAnsi="楷体_GB2312" w:eastAsia="楷体_GB2312" w:cs="楷体_GB2312"/>
                <w:kern w:val="0"/>
                <w:sz w:val="20"/>
                <w:lang w:val="en-US" w:eastAsia="zh-CN" w:bidi="ar-SA"/>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lang w:val="en-US" w:eastAsia="zh-CN" w:bidi="ar-SA"/>
              </w:rPr>
            </w:pPr>
            <w:r>
              <w:rPr>
                <w:rFonts w:hint="eastAsia"/>
                <w:b/>
                <w:bCs/>
                <w:color w:val="FF0000"/>
                <w:sz w:val="20"/>
              </w:rPr>
              <w:t>*</w:t>
            </w:r>
            <w:r>
              <w:rPr>
                <w:rFonts w:hint="eastAsia"/>
                <w:color w:val="FF0000"/>
                <w:sz w:val="21"/>
                <w:szCs w:val="21"/>
                <w:lang w:val="en-US" w:eastAsia="zh-CN"/>
              </w:rPr>
              <w:t>福田Level 1行情中断后</w:t>
            </w:r>
            <w:r>
              <w:rPr>
                <w:rFonts w:hint="eastAsia"/>
                <w:color w:val="auto"/>
                <w:sz w:val="21"/>
                <w:szCs w:val="21"/>
                <w:lang w:val="en-US" w:eastAsia="zh-CN"/>
              </w:rPr>
              <w:t>，</w:t>
            </w:r>
            <w:r>
              <w:rPr>
                <w:rFonts w:hint="eastAsia" w:ascii="楷体" w:hAnsi="楷体" w:eastAsia="楷体" w:cs="宋体"/>
                <w:b w:val="0"/>
                <w:bCs w:val="0"/>
                <w:color w:val="000000"/>
                <w:kern w:val="0"/>
                <w:sz w:val="20"/>
                <w:lang w:val="en-US" w:eastAsia="zh-CN"/>
              </w:rPr>
              <w:t>卫星线路</w:t>
            </w:r>
            <w:r>
              <w:rPr>
                <w:rFonts w:hint="eastAsia" w:ascii="楷体" w:hAnsi="楷体" w:eastAsia="楷体" w:cs="宋体"/>
                <w:color w:val="000000"/>
                <w:kern w:val="0"/>
                <w:sz w:val="20"/>
                <w:lang w:val="en-US" w:eastAsia="zh-CN"/>
              </w:rPr>
              <w:t>对LEVEL1期权</w:t>
            </w:r>
            <w:r>
              <w:rPr>
                <w:rFonts w:hint="eastAsia" w:ascii="楷体" w:hAnsi="楷体" w:eastAsia="楷体" w:cs="宋体"/>
                <w:color w:val="000000"/>
                <w:kern w:val="0"/>
                <w:sz w:val="20"/>
              </w:rPr>
              <w:t>行情接收与展示</w:t>
            </w:r>
          </w:p>
        </w:tc>
        <w:tc>
          <w:tcPr>
            <w:tcW w:w="3402" w:type="dxa"/>
            <w:gridSpan w:val="2"/>
            <w:vAlign w:val="center"/>
          </w:tcPr>
          <w:p>
            <w:pPr>
              <w:widowControl/>
              <w:jc w:val="center"/>
              <w:rPr>
                <w:rFonts w:hint="eastAsia" w:ascii="楷体_GB2312" w:hAnsi="楷体_GB2312" w:eastAsia="楷体_GB2312" w:cs="楷体_GB2312"/>
                <w:kern w:val="0"/>
                <w:sz w:val="20"/>
                <w:lang w:val="en-US" w:eastAsia="zh-CN" w:bidi="ar-SA"/>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其他行情相关测试反馈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LEVEL2-1行情接收与展示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LEVEL2-2行情接收与展示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b/>
                <w:bCs/>
                <w:color w:val="FF0000"/>
                <w:sz w:val="20"/>
              </w:rPr>
            </w:pPr>
            <w:r>
              <w:rPr>
                <w:rFonts w:hint="eastAsia" w:ascii="楷体" w:hAnsi="楷体" w:eastAsia="楷体" w:cs="宋体"/>
                <w:color w:val="000000"/>
                <w:kern w:val="0"/>
                <w:sz w:val="20"/>
                <w:highlight w:val="none"/>
              </w:rPr>
              <w:t>港股通</w:t>
            </w:r>
            <w:r>
              <w:rPr>
                <w:rFonts w:hint="eastAsia" w:ascii="楷体" w:hAnsi="楷体" w:eastAsia="楷体" w:cs="宋体"/>
                <w:color w:val="000000"/>
                <w:kern w:val="0"/>
                <w:sz w:val="20"/>
              </w:rPr>
              <w:t>行情的接收与展示</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其他反馈</w:t>
            </w:r>
            <w:r>
              <w:rPr>
                <w:rFonts w:hint="eastAsia" w:ascii="楷体" w:hAnsi="楷体" w:eastAsia="楷体" w:cs="宋体"/>
                <w:b/>
                <w:kern w:val="0"/>
                <w:sz w:val="20"/>
              </w:rPr>
              <w:t>（行情服务商无需填写）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lang w:eastAsia="zh-CN"/>
              </w:rPr>
              <w:t>早间下发</w:t>
            </w:r>
            <w:r>
              <w:rPr>
                <w:rFonts w:hint="eastAsia" w:ascii="楷体" w:hAnsi="楷体" w:eastAsia="楷体" w:cs="宋体"/>
                <w:color w:val="000000"/>
                <w:kern w:val="0"/>
                <w:sz w:val="20"/>
              </w:rPr>
              <w:t>静态交易参考信息文件的接收与处理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现货集中竞价交易平台相关业务的委托申报、成交回报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 w:hAnsi="楷体" w:eastAsia="楷体" w:cs="宋体"/>
                <w:color w:val="000000"/>
                <w:kern w:val="0"/>
                <w:sz w:val="20"/>
              </w:rPr>
            </w:pPr>
            <w:r>
              <w:rPr>
                <w:rFonts w:hint="eastAsia" w:ascii="楷体" w:hAnsi="楷体" w:eastAsia="楷体" w:cs="宋体"/>
                <w:color w:val="000000"/>
                <w:kern w:val="0"/>
                <w:sz w:val="20"/>
                <w:lang w:eastAsia="zh-CN"/>
              </w:rPr>
              <w:t>衍生品</w:t>
            </w:r>
            <w:r>
              <w:rPr>
                <w:rFonts w:hint="eastAsia" w:ascii="楷体" w:hAnsi="楷体" w:eastAsia="楷体" w:cs="宋体"/>
                <w:color w:val="000000"/>
                <w:kern w:val="0"/>
                <w:sz w:val="20"/>
              </w:rPr>
              <w:t>集中竞价交易</w:t>
            </w:r>
            <w:r>
              <w:rPr>
                <w:rFonts w:hint="eastAsia" w:ascii="楷体" w:hAnsi="楷体" w:eastAsia="楷体" w:cs="宋体"/>
                <w:color w:val="000000"/>
                <w:kern w:val="0"/>
                <w:sz w:val="20"/>
                <w:lang w:eastAsia="zh-CN"/>
              </w:rPr>
              <w:t>业务</w:t>
            </w:r>
            <w:r>
              <w:rPr>
                <w:rFonts w:hint="eastAsia" w:ascii="楷体" w:hAnsi="楷体" w:eastAsia="楷体" w:cs="宋体"/>
                <w:color w:val="000000"/>
                <w:kern w:val="0"/>
                <w:sz w:val="20"/>
              </w:rPr>
              <w:t>的委托申报、成交回报</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综合金融服务平台相关业务的委托申报、成交回报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非交易处理平台相关业务的委托申报、成交回报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固定收益交易平台其他相关业务的委托申报、成交回报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港股通平台相关业务的委托申报、成交回报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接收并处理各平台成交汇总文件</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tabs>
                <w:tab w:val="left" w:pos="4107"/>
              </w:tabs>
              <w:jc w:val="left"/>
              <w:rPr>
                <w:rFonts w:hint="eastAsia" w:ascii="楷体" w:hAnsi="楷体" w:eastAsia="楷体" w:cs="宋体"/>
                <w:color w:val="000000"/>
                <w:kern w:val="0"/>
                <w:sz w:val="20"/>
              </w:rPr>
            </w:pPr>
            <w:r>
              <w:rPr>
                <w:rFonts w:hint="eastAsia" w:ascii="楷体" w:hAnsi="楷体" w:eastAsia="楷体" w:cs="宋体"/>
                <w:color w:val="000000"/>
                <w:kern w:val="0"/>
                <w:sz w:val="20"/>
                <w:lang w:eastAsia="zh-CN"/>
              </w:rPr>
              <w:t>清算交收文件接收与处理</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10343" w:type="dxa"/>
            <w:gridSpan w:val="6"/>
            <w:shd w:val="clear" w:color="auto" w:fill="auto"/>
            <w:vAlign w:val="center"/>
          </w:tcPr>
          <w:p>
            <w:pPr>
              <w:widowControl/>
              <w:rPr>
                <w:rFonts w:hAnsi="楷体"/>
                <w:sz w:val="21"/>
                <w:szCs w:val="21"/>
              </w:rPr>
            </w:pPr>
            <w:r>
              <w:rPr>
                <w:rFonts w:hint="eastAsia" w:hAnsi="楷体"/>
                <w:sz w:val="21"/>
                <w:szCs w:val="21"/>
              </w:rPr>
              <w:t>以上反馈项有“异常”的，务必说明具体情况：（不超过500汉字，需详细说明涉及哪些业务系统及各系统的具体症状）</w:t>
            </w:r>
          </w:p>
          <w:p>
            <w:pPr>
              <w:widowControl/>
              <w:rPr>
                <w:rFonts w:hAnsi="楷体"/>
                <w:sz w:val="21"/>
                <w:szCs w:val="21"/>
              </w:rPr>
            </w:pPr>
          </w:p>
          <w:p>
            <w:pPr>
              <w:widowControl/>
              <w:rPr>
                <w:rFonts w:hAnsi="楷体"/>
                <w:sz w:val="21"/>
                <w:szCs w:val="21"/>
              </w:rPr>
            </w:pPr>
          </w:p>
          <w:p>
            <w:pPr>
              <w:widowControl/>
              <w:rPr>
                <w:rFonts w:hAnsi="楷体"/>
                <w:sz w:val="21"/>
                <w:szCs w:val="21"/>
              </w:rPr>
            </w:pPr>
          </w:p>
          <w:p>
            <w:pPr>
              <w:widowControl/>
              <w:rPr>
                <w:rFonts w:hAnsi="楷体"/>
                <w:sz w:val="21"/>
                <w:szCs w:val="21"/>
                <w:u w:val="single"/>
              </w:rPr>
            </w:pPr>
          </w:p>
        </w:tc>
      </w:tr>
    </w:tbl>
    <w:p/>
    <w:p/>
    <w:sectPr>
      <w:type w:val="continuous"/>
      <w:pgSz w:w="11907" w:h="16840"/>
      <w:pgMar w:top="1588" w:right="1701" w:bottom="1588" w:left="1701" w:header="851" w:footer="851" w:gutter="0"/>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00" w:usb3="00000000" w:csb0="00040000" w:csb1="00000000"/>
  </w:font>
  <w:font w:name="CG Times">
    <w:altName w:val="Times New Roman"/>
    <w:panose1 w:val="00000000000000000000"/>
    <w:charset w:val="00"/>
    <w:family w:val="roman"/>
    <w:pitch w:val="default"/>
    <w:sig w:usb0="00000000" w:usb1="00000000" w:usb2="00000000" w:usb3="00000000" w:csb0="00000093" w:csb1="00000000"/>
  </w:font>
  <w:font w:name="隶书">
    <w:panose1 w:val="02010509060101010101"/>
    <w:charset w:val="86"/>
    <w:family w:val="modern"/>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86C369"/>
    <w:multiLevelType w:val="singleLevel"/>
    <w:tmpl w:val="C586C369"/>
    <w:lvl w:ilvl="0" w:tentative="0">
      <w:start w:val="1"/>
      <w:numFmt w:val="decimal"/>
      <w:suff w:val="nothing"/>
      <w:lvlText w:val="（%1）"/>
      <w:lvlJc w:val="left"/>
      <w:pPr>
        <w:ind w:left="490"/>
      </w:pPr>
      <w:rPr>
        <w:rFonts w:hint="default"/>
        <w:color w:val="auto"/>
      </w:rPr>
    </w:lvl>
  </w:abstractNum>
  <w:abstractNum w:abstractNumId="1">
    <w:nsid w:val="CA51B9C6"/>
    <w:multiLevelType w:val="singleLevel"/>
    <w:tmpl w:val="CA51B9C6"/>
    <w:lvl w:ilvl="0" w:tentative="0">
      <w:start w:val="1"/>
      <w:numFmt w:val="decimal"/>
      <w:lvlText w:val="%1."/>
      <w:lvlJc w:val="left"/>
      <w:pPr>
        <w:tabs>
          <w:tab w:val="left" w:pos="312"/>
        </w:tabs>
      </w:pPr>
    </w:lvl>
  </w:abstractNum>
  <w:abstractNum w:abstractNumId="2">
    <w:nsid w:val="EDB56FD8"/>
    <w:multiLevelType w:val="singleLevel"/>
    <w:tmpl w:val="EDB56FD8"/>
    <w:lvl w:ilvl="0" w:tentative="0">
      <w:start w:val="1"/>
      <w:numFmt w:val="chineseCounting"/>
      <w:suff w:val="nothing"/>
      <w:lvlText w:val="（%1）"/>
      <w:lvlJc w:val="left"/>
      <w:pPr>
        <w:ind w:left="0" w:firstLine="420"/>
      </w:pPr>
      <w:rPr>
        <w:rFonts w:hint="eastAsia"/>
      </w:rPr>
    </w:lvl>
  </w:abstractNum>
  <w:abstractNum w:abstractNumId="3">
    <w:nsid w:val="06C5649B"/>
    <w:multiLevelType w:val="multilevel"/>
    <w:tmpl w:val="06C5649B"/>
    <w:lvl w:ilvl="0" w:tentative="0">
      <w:start w:val="1"/>
      <w:numFmt w:val="decimal"/>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4">
    <w:nsid w:val="0C4E4A4D"/>
    <w:multiLevelType w:val="multilevel"/>
    <w:tmpl w:val="0C4E4A4D"/>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5">
    <w:nsid w:val="257E03B8"/>
    <w:multiLevelType w:val="multilevel"/>
    <w:tmpl w:val="257E03B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2A10541C"/>
    <w:multiLevelType w:val="singleLevel"/>
    <w:tmpl w:val="2A10541C"/>
    <w:lvl w:ilvl="0" w:tentative="0">
      <w:start w:val="1"/>
      <w:numFmt w:val="decimal"/>
      <w:suff w:val="nothing"/>
      <w:lvlText w:val="（%1）"/>
      <w:lvlJc w:val="left"/>
      <w:pPr>
        <w:ind w:left="490"/>
      </w:pPr>
      <w:rPr>
        <w:rFonts w:hint="default"/>
        <w:color w:val="auto"/>
      </w:rPr>
    </w:lvl>
  </w:abstractNum>
  <w:abstractNum w:abstractNumId="7">
    <w:nsid w:val="3B3473B7"/>
    <w:multiLevelType w:val="multilevel"/>
    <w:tmpl w:val="3B3473B7"/>
    <w:lvl w:ilvl="0" w:tentative="0">
      <w:start w:val="1"/>
      <w:numFmt w:val="decimal"/>
      <w:suff w:val="space"/>
      <w:lvlText w:val="%1."/>
      <w:lvlJc w:val="left"/>
      <w:pPr>
        <w:ind w:left="160" w:firstLine="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8">
    <w:nsid w:val="5B2A18A7"/>
    <w:multiLevelType w:val="multilevel"/>
    <w:tmpl w:val="5B2A18A7"/>
    <w:lvl w:ilvl="0" w:tentative="0">
      <w:start w:val="1"/>
      <w:numFmt w:val="decimal"/>
      <w:lvlText w:val="%1."/>
      <w:lvlJc w:val="left"/>
      <w:pPr>
        <w:tabs>
          <w:tab w:val="left" w:pos="1003"/>
        </w:tabs>
        <w:ind w:left="1003" w:hanging="720"/>
      </w:pPr>
    </w:lvl>
    <w:lvl w:ilvl="1" w:tentative="0">
      <w:start w:val="1"/>
      <w:numFmt w:val="decimal"/>
      <w:lvlText w:val="%2."/>
      <w:lvlJc w:val="left"/>
      <w:pPr>
        <w:tabs>
          <w:tab w:val="left" w:pos="1723"/>
        </w:tabs>
        <w:ind w:left="1723" w:hanging="720"/>
      </w:pPr>
    </w:lvl>
    <w:lvl w:ilvl="2" w:tentative="0">
      <w:start w:val="1"/>
      <w:numFmt w:val="decimal"/>
      <w:lvlText w:val="%3."/>
      <w:lvlJc w:val="left"/>
      <w:pPr>
        <w:tabs>
          <w:tab w:val="left" w:pos="2443"/>
        </w:tabs>
        <w:ind w:left="2443" w:hanging="720"/>
      </w:pPr>
    </w:lvl>
    <w:lvl w:ilvl="3" w:tentative="0">
      <w:start w:val="1"/>
      <w:numFmt w:val="decimal"/>
      <w:lvlText w:val="%4."/>
      <w:lvlJc w:val="left"/>
      <w:pPr>
        <w:tabs>
          <w:tab w:val="left" w:pos="3163"/>
        </w:tabs>
        <w:ind w:left="3163" w:hanging="720"/>
      </w:pPr>
    </w:lvl>
    <w:lvl w:ilvl="4" w:tentative="0">
      <w:start w:val="1"/>
      <w:numFmt w:val="decimal"/>
      <w:lvlText w:val="%5."/>
      <w:lvlJc w:val="left"/>
      <w:pPr>
        <w:tabs>
          <w:tab w:val="left" w:pos="3883"/>
        </w:tabs>
        <w:ind w:left="3883" w:hanging="720"/>
      </w:pPr>
    </w:lvl>
    <w:lvl w:ilvl="5" w:tentative="0">
      <w:start w:val="1"/>
      <w:numFmt w:val="decimal"/>
      <w:lvlText w:val="%6."/>
      <w:lvlJc w:val="left"/>
      <w:pPr>
        <w:tabs>
          <w:tab w:val="left" w:pos="4603"/>
        </w:tabs>
        <w:ind w:left="4603" w:hanging="720"/>
      </w:pPr>
    </w:lvl>
    <w:lvl w:ilvl="6" w:tentative="0">
      <w:start w:val="1"/>
      <w:numFmt w:val="decimal"/>
      <w:lvlText w:val="%7."/>
      <w:lvlJc w:val="left"/>
      <w:pPr>
        <w:tabs>
          <w:tab w:val="left" w:pos="5323"/>
        </w:tabs>
        <w:ind w:left="5323" w:hanging="720"/>
      </w:pPr>
    </w:lvl>
    <w:lvl w:ilvl="7" w:tentative="0">
      <w:start w:val="1"/>
      <w:numFmt w:val="decimal"/>
      <w:lvlText w:val="%8."/>
      <w:lvlJc w:val="left"/>
      <w:pPr>
        <w:tabs>
          <w:tab w:val="left" w:pos="6043"/>
        </w:tabs>
        <w:ind w:left="6043" w:hanging="720"/>
      </w:pPr>
    </w:lvl>
    <w:lvl w:ilvl="8" w:tentative="0">
      <w:start w:val="1"/>
      <w:numFmt w:val="decimal"/>
      <w:lvlText w:val="%9."/>
      <w:lvlJc w:val="left"/>
      <w:pPr>
        <w:tabs>
          <w:tab w:val="left" w:pos="6763"/>
        </w:tabs>
        <w:ind w:left="6763" w:hanging="720"/>
      </w:pPr>
    </w:lvl>
  </w:abstractNum>
  <w:abstractNum w:abstractNumId="9">
    <w:nsid w:val="64D1027A"/>
    <w:multiLevelType w:val="multilevel"/>
    <w:tmpl w:val="64D1027A"/>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4"/>
  </w:num>
  <w:num w:numId="2">
    <w:abstractNumId w:val="9"/>
  </w:num>
  <w:num w:numId="3">
    <w:abstractNumId w:val="2"/>
  </w:num>
  <w:num w:numId="4">
    <w:abstractNumId w:val="1"/>
  </w:num>
  <w:num w:numId="5">
    <w:abstractNumId w:val="6"/>
  </w:num>
  <w:num w:numId="6">
    <w:abstractNumId w:val="0"/>
  </w:num>
  <w:num w:numId="7">
    <w:abstractNumId w:val="7"/>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num>
  <w:num w:numId="10">
    <w:abstractNumId w:val="3"/>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5"/>
  <w:drawingGridHorizontalSpacing w:val="120"/>
  <w:drawingGridVerticalSpacing w:val="163"/>
  <w:noPunctuationKerning w:val="1"/>
  <w:characterSpacingControl w:val="compressPunctuation"/>
  <w:compat>
    <w:spaceForUL/>
    <w:balanceSingleByteDoubleByteWidth/>
    <w:doNotLeaveBackslashAlone/>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gwNGI4MjQ5Y2RjZmI2NTcxN2RmZmRkYTNlZmUyNWMifQ=="/>
  </w:docVars>
  <w:rsids>
    <w:rsidRoot w:val="00116610"/>
    <w:rsid w:val="00000261"/>
    <w:rsid w:val="0000085D"/>
    <w:rsid w:val="000016DA"/>
    <w:rsid w:val="00001B0B"/>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60F"/>
    <w:rsid w:val="00031B83"/>
    <w:rsid w:val="00031C4A"/>
    <w:rsid w:val="0003213A"/>
    <w:rsid w:val="000323AE"/>
    <w:rsid w:val="000326C3"/>
    <w:rsid w:val="00032762"/>
    <w:rsid w:val="00032B60"/>
    <w:rsid w:val="00032EF8"/>
    <w:rsid w:val="00033308"/>
    <w:rsid w:val="00033B88"/>
    <w:rsid w:val="00033F69"/>
    <w:rsid w:val="000346ED"/>
    <w:rsid w:val="000347C6"/>
    <w:rsid w:val="00034AC9"/>
    <w:rsid w:val="00034B7E"/>
    <w:rsid w:val="00034E5B"/>
    <w:rsid w:val="00034F82"/>
    <w:rsid w:val="00035256"/>
    <w:rsid w:val="000352D8"/>
    <w:rsid w:val="00035847"/>
    <w:rsid w:val="00035A16"/>
    <w:rsid w:val="00035E14"/>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5A3"/>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91"/>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59"/>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9AC"/>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92A"/>
    <w:rsid w:val="00131AAC"/>
    <w:rsid w:val="00131F71"/>
    <w:rsid w:val="0013253B"/>
    <w:rsid w:val="00132581"/>
    <w:rsid w:val="00132D10"/>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963"/>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5B"/>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282"/>
    <w:rsid w:val="001A537D"/>
    <w:rsid w:val="001A557A"/>
    <w:rsid w:val="001A593C"/>
    <w:rsid w:val="001A59F1"/>
    <w:rsid w:val="001A5ED7"/>
    <w:rsid w:val="001A6103"/>
    <w:rsid w:val="001A6630"/>
    <w:rsid w:val="001A6836"/>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0B2"/>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1100"/>
    <w:rsid w:val="0022166B"/>
    <w:rsid w:val="00221797"/>
    <w:rsid w:val="0022181F"/>
    <w:rsid w:val="00221BD3"/>
    <w:rsid w:val="00221C8E"/>
    <w:rsid w:val="00221DF5"/>
    <w:rsid w:val="0022219D"/>
    <w:rsid w:val="00222435"/>
    <w:rsid w:val="00222765"/>
    <w:rsid w:val="00222C38"/>
    <w:rsid w:val="0022314C"/>
    <w:rsid w:val="002231AE"/>
    <w:rsid w:val="0022324C"/>
    <w:rsid w:val="0022325B"/>
    <w:rsid w:val="00223773"/>
    <w:rsid w:val="0022377A"/>
    <w:rsid w:val="00223C82"/>
    <w:rsid w:val="00223CDF"/>
    <w:rsid w:val="002243FD"/>
    <w:rsid w:val="00224721"/>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8CC"/>
    <w:rsid w:val="00241AEF"/>
    <w:rsid w:val="00241E13"/>
    <w:rsid w:val="00241F31"/>
    <w:rsid w:val="0024237B"/>
    <w:rsid w:val="0024295B"/>
    <w:rsid w:val="00242C91"/>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7231"/>
    <w:rsid w:val="002577FF"/>
    <w:rsid w:val="00257A71"/>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33BC"/>
    <w:rsid w:val="00264462"/>
    <w:rsid w:val="00264A10"/>
    <w:rsid w:val="00264C3F"/>
    <w:rsid w:val="0026525F"/>
    <w:rsid w:val="00265362"/>
    <w:rsid w:val="0026592F"/>
    <w:rsid w:val="00265AFF"/>
    <w:rsid w:val="002668FA"/>
    <w:rsid w:val="00266CF1"/>
    <w:rsid w:val="00266E9F"/>
    <w:rsid w:val="0026769C"/>
    <w:rsid w:val="002676F8"/>
    <w:rsid w:val="00267BDF"/>
    <w:rsid w:val="002707D6"/>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E2"/>
    <w:rsid w:val="002732C7"/>
    <w:rsid w:val="00273912"/>
    <w:rsid w:val="00273A35"/>
    <w:rsid w:val="0027435F"/>
    <w:rsid w:val="0027460F"/>
    <w:rsid w:val="002747CB"/>
    <w:rsid w:val="002749EA"/>
    <w:rsid w:val="00274A3E"/>
    <w:rsid w:val="00274D5C"/>
    <w:rsid w:val="00274F98"/>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BD9"/>
    <w:rsid w:val="00291C51"/>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6E6"/>
    <w:rsid w:val="002958AA"/>
    <w:rsid w:val="00295D54"/>
    <w:rsid w:val="00296AA4"/>
    <w:rsid w:val="0029750D"/>
    <w:rsid w:val="00297849"/>
    <w:rsid w:val="0029787C"/>
    <w:rsid w:val="00297F92"/>
    <w:rsid w:val="002A002C"/>
    <w:rsid w:val="002A01A7"/>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325D"/>
    <w:rsid w:val="002C3663"/>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1FA6"/>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B4A"/>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1E6"/>
    <w:rsid w:val="0030655B"/>
    <w:rsid w:val="003067CA"/>
    <w:rsid w:val="00306925"/>
    <w:rsid w:val="00306CB2"/>
    <w:rsid w:val="00306CCC"/>
    <w:rsid w:val="003070DF"/>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D6"/>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146"/>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87E"/>
    <w:rsid w:val="003A0C86"/>
    <w:rsid w:val="003A18FC"/>
    <w:rsid w:val="003A1EA6"/>
    <w:rsid w:val="003A1EEC"/>
    <w:rsid w:val="003A2532"/>
    <w:rsid w:val="003A2AE4"/>
    <w:rsid w:val="003A2C49"/>
    <w:rsid w:val="003A2EFF"/>
    <w:rsid w:val="003A317E"/>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6EA"/>
    <w:rsid w:val="003E1BE3"/>
    <w:rsid w:val="003E1D4A"/>
    <w:rsid w:val="003E2610"/>
    <w:rsid w:val="003E3211"/>
    <w:rsid w:val="003E33F8"/>
    <w:rsid w:val="003E348B"/>
    <w:rsid w:val="003E37EC"/>
    <w:rsid w:val="003E3A61"/>
    <w:rsid w:val="003E3C3F"/>
    <w:rsid w:val="003E3EE2"/>
    <w:rsid w:val="003E4560"/>
    <w:rsid w:val="003E4B0B"/>
    <w:rsid w:val="003E4B8F"/>
    <w:rsid w:val="003E5304"/>
    <w:rsid w:val="003E5685"/>
    <w:rsid w:val="003E5A03"/>
    <w:rsid w:val="003E5AB8"/>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80"/>
    <w:rsid w:val="004640A1"/>
    <w:rsid w:val="00464C9C"/>
    <w:rsid w:val="00464DC2"/>
    <w:rsid w:val="00464DE2"/>
    <w:rsid w:val="00464E72"/>
    <w:rsid w:val="004653AD"/>
    <w:rsid w:val="00465435"/>
    <w:rsid w:val="004655A3"/>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94E"/>
    <w:rsid w:val="004F0AAD"/>
    <w:rsid w:val="004F0B37"/>
    <w:rsid w:val="004F0DC5"/>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71E"/>
    <w:rsid w:val="00607A41"/>
    <w:rsid w:val="00607C82"/>
    <w:rsid w:val="0061010E"/>
    <w:rsid w:val="00610141"/>
    <w:rsid w:val="006101FE"/>
    <w:rsid w:val="0061038A"/>
    <w:rsid w:val="00610431"/>
    <w:rsid w:val="006105BD"/>
    <w:rsid w:val="00610A69"/>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F42"/>
    <w:rsid w:val="00653B2E"/>
    <w:rsid w:val="00653D38"/>
    <w:rsid w:val="00653DF1"/>
    <w:rsid w:val="0065473D"/>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B2"/>
    <w:rsid w:val="0068031B"/>
    <w:rsid w:val="006803D9"/>
    <w:rsid w:val="0068055C"/>
    <w:rsid w:val="006809E3"/>
    <w:rsid w:val="00680F3E"/>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48"/>
    <w:rsid w:val="006B7791"/>
    <w:rsid w:val="006C011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C7A"/>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58D"/>
    <w:rsid w:val="006D7902"/>
    <w:rsid w:val="006D7BD1"/>
    <w:rsid w:val="006D7FDA"/>
    <w:rsid w:val="006E043C"/>
    <w:rsid w:val="006E04D9"/>
    <w:rsid w:val="006E07AB"/>
    <w:rsid w:val="006E0B7B"/>
    <w:rsid w:val="006E0E96"/>
    <w:rsid w:val="006E11AB"/>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C74"/>
    <w:rsid w:val="00700D81"/>
    <w:rsid w:val="00700F68"/>
    <w:rsid w:val="007014CA"/>
    <w:rsid w:val="00701D58"/>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5BE5"/>
    <w:rsid w:val="0074618A"/>
    <w:rsid w:val="007464F1"/>
    <w:rsid w:val="007467E2"/>
    <w:rsid w:val="00746A8D"/>
    <w:rsid w:val="00746B94"/>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3B4"/>
    <w:rsid w:val="007C1583"/>
    <w:rsid w:val="007C17DF"/>
    <w:rsid w:val="007C1861"/>
    <w:rsid w:val="007C1888"/>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64E"/>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A41"/>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3E1"/>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326B"/>
    <w:rsid w:val="008242C8"/>
    <w:rsid w:val="008242E7"/>
    <w:rsid w:val="0082440B"/>
    <w:rsid w:val="00824733"/>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B2F"/>
    <w:rsid w:val="00855B5B"/>
    <w:rsid w:val="00855BA0"/>
    <w:rsid w:val="008566E4"/>
    <w:rsid w:val="00856939"/>
    <w:rsid w:val="00856AEA"/>
    <w:rsid w:val="00856E14"/>
    <w:rsid w:val="008575DB"/>
    <w:rsid w:val="0085774A"/>
    <w:rsid w:val="00860133"/>
    <w:rsid w:val="00860272"/>
    <w:rsid w:val="008611FD"/>
    <w:rsid w:val="00861591"/>
    <w:rsid w:val="00861B15"/>
    <w:rsid w:val="00861D4E"/>
    <w:rsid w:val="00862040"/>
    <w:rsid w:val="0086219C"/>
    <w:rsid w:val="008628EA"/>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AC2"/>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FBD"/>
    <w:rsid w:val="0088548A"/>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00E"/>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4AF5"/>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42E"/>
    <w:rsid w:val="00907498"/>
    <w:rsid w:val="009076F1"/>
    <w:rsid w:val="00907C00"/>
    <w:rsid w:val="00907C67"/>
    <w:rsid w:val="00907F48"/>
    <w:rsid w:val="00910048"/>
    <w:rsid w:val="009108F5"/>
    <w:rsid w:val="00910913"/>
    <w:rsid w:val="00910B04"/>
    <w:rsid w:val="00910CC3"/>
    <w:rsid w:val="00910E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DA"/>
    <w:rsid w:val="00926CF6"/>
    <w:rsid w:val="00926FD2"/>
    <w:rsid w:val="00927258"/>
    <w:rsid w:val="00927924"/>
    <w:rsid w:val="009279BF"/>
    <w:rsid w:val="00930A72"/>
    <w:rsid w:val="00930EC4"/>
    <w:rsid w:val="00930FD0"/>
    <w:rsid w:val="0093109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52E"/>
    <w:rsid w:val="00966AEF"/>
    <w:rsid w:val="0096703C"/>
    <w:rsid w:val="009676B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1F4F"/>
    <w:rsid w:val="00992108"/>
    <w:rsid w:val="00992582"/>
    <w:rsid w:val="00992772"/>
    <w:rsid w:val="00992822"/>
    <w:rsid w:val="00992A32"/>
    <w:rsid w:val="00992AD8"/>
    <w:rsid w:val="00992B34"/>
    <w:rsid w:val="0099307A"/>
    <w:rsid w:val="00993162"/>
    <w:rsid w:val="00993204"/>
    <w:rsid w:val="009936F3"/>
    <w:rsid w:val="00993E21"/>
    <w:rsid w:val="00993E45"/>
    <w:rsid w:val="00993ED5"/>
    <w:rsid w:val="00994019"/>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5F9E"/>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AA7"/>
    <w:rsid w:val="009D4F35"/>
    <w:rsid w:val="009D5171"/>
    <w:rsid w:val="009D52D5"/>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5FC"/>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62C"/>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2D0"/>
    <w:rsid w:val="00A563E3"/>
    <w:rsid w:val="00A56641"/>
    <w:rsid w:val="00A5679C"/>
    <w:rsid w:val="00A575FA"/>
    <w:rsid w:val="00A5761E"/>
    <w:rsid w:val="00A57FB5"/>
    <w:rsid w:val="00A60442"/>
    <w:rsid w:val="00A60470"/>
    <w:rsid w:val="00A608A7"/>
    <w:rsid w:val="00A608C0"/>
    <w:rsid w:val="00A6096B"/>
    <w:rsid w:val="00A60E2D"/>
    <w:rsid w:val="00A61413"/>
    <w:rsid w:val="00A61766"/>
    <w:rsid w:val="00A617AB"/>
    <w:rsid w:val="00A62302"/>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8C8"/>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AF4"/>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811"/>
    <w:rsid w:val="00B04DC8"/>
    <w:rsid w:val="00B04E2A"/>
    <w:rsid w:val="00B053C8"/>
    <w:rsid w:val="00B059B6"/>
    <w:rsid w:val="00B059E3"/>
    <w:rsid w:val="00B05FB3"/>
    <w:rsid w:val="00B062B2"/>
    <w:rsid w:val="00B06336"/>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4B"/>
    <w:rsid w:val="00B17F8D"/>
    <w:rsid w:val="00B2031D"/>
    <w:rsid w:val="00B20349"/>
    <w:rsid w:val="00B2039E"/>
    <w:rsid w:val="00B2066A"/>
    <w:rsid w:val="00B207D4"/>
    <w:rsid w:val="00B20E8A"/>
    <w:rsid w:val="00B2115A"/>
    <w:rsid w:val="00B21319"/>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63E"/>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486"/>
    <w:rsid w:val="00B46784"/>
    <w:rsid w:val="00B4748F"/>
    <w:rsid w:val="00B4782B"/>
    <w:rsid w:val="00B47B5C"/>
    <w:rsid w:val="00B47EAD"/>
    <w:rsid w:val="00B50432"/>
    <w:rsid w:val="00B50594"/>
    <w:rsid w:val="00B51227"/>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77D90"/>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441"/>
    <w:rsid w:val="00BD3889"/>
    <w:rsid w:val="00BD3CF8"/>
    <w:rsid w:val="00BD4224"/>
    <w:rsid w:val="00BD4289"/>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BB6"/>
    <w:rsid w:val="00BE7C81"/>
    <w:rsid w:val="00BE7E3D"/>
    <w:rsid w:val="00BE7FFA"/>
    <w:rsid w:val="00BF01C5"/>
    <w:rsid w:val="00BF03D2"/>
    <w:rsid w:val="00BF0447"/>
    <w:rsid w:val="00BF04CD"/>
    <w:rsid w:val="00BF0571"/>
    <w:rsid w:val="00BF05C9"/>
    <w:rsid w:val="00BF0C4F"/>
    <w:rsid w:val="00BF0D59"/>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4E"/>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7F"/>
    <w:rsid w:val="00C2403E"/>
    <w:rsid w:val="00C24230"/>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C38"/>
    <w:rsid w:val="00C73ADE"/>
    <w:rsid w:val="00C74912"/>
    <w:rsid w:val="00C74B49"/>
    <w:rsid w:val="00C74E8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ECF"/>
    <w:rsid w:val="00CA2FE1"/>
    <w:rsid w:val="00CA3169"/>
    <w:rsid w:val="00CA3364"/>
    <w:rsid w:val="00CA33ED"/>
    <w:rsid w:val="00CA38F3"/>
    <w:rsid w:val="00CA3916"/>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582"/>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43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7E1"/>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5EB1"/>
    <w:rsid w:val="00D46412"/>
    <w:rsid w:val="00D46770"/>
    <w:rsid w:val="00D47155"/>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14CC"/>
    <w:rsid w:val="00D61707"/>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60B5"/>
    <w:rsid w:val="00D960C8"/>
    <w:rsid w:val="00D961E3"/>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ED6"/>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3CE8"/>
    <w:rsid w:val="00DB4572"/>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A1A"/>
    <w:rsid w:val="00DC5CEC"/>
    <w:rsid w:val="00DC60F0"/>
    <w:rsid w:val="00DC6167"/>
    <w:rsid w:val="00DC6207"/>
    <w:rsid w:val="00DC6886"/>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C18"/>
    <w:rsid w:val="00DE659D"/>
    <w:rsid w:val="00DE66F2"/>
    <w:rsid w:val="00DE68B9"/>
    <w:rsid w:val="00DE6924"/>
    <w:rsid w:val="00DE6AA9"/>
    <w:rsid w:val="00DE77DD"/>
    <w:rsid w:val="00DF0AEE"/>
    <w:rsid w:val="00DF0BD1"/>
    <w:rsid w:val="00DF0E1C"/>
    <w:rsid w:val="00DF0F0D"/>
    <w:rsid w:val="00DF1B55"/>
    <w:rsid w:val="00DF1C23"/>
    <w:rsid w:val="00DF2126"/>
    <w:rsid w:val="00DF2569"/>
    <w:rsid w:val="00DF2618"/>
    <w:rsid w:val="00DF2E7F"/>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1B57"/>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4EE1"/>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27A4F"/>
    <w:rsid w:val="00E3011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367"/>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32"/>
    <w:rsid w:val="00EA506E"/>
    <w:rsid w:val="00EA5643"/>
    <w:rsid w:val="00EA5A30"/>
    <w:rsid w:val="00EA5DA2"/>
    <w:rsid w:val="00EA61A9"/>
    <w:rsid w:val="00EA67F9"/>
    <w:rsid w:val="00EA69E8"/>
    <w:rsid w:val="00EA6C22"/>
    <w:rsid w:val="00EA6CC0"/>
    <w:rsid w:val="00EA746F"/>
    <w:rsid w:val="00EA78F8"/>
    <w:rsid w:val="00EA7FE4"/>
    <w:rsid w:val="00EB046B"/>
    <w:rsid w:val="00EB0608"/>
    <w:rsid w:val="00EB0898"/>
    <w:rsid w:val="00EB0A13"/>
    <w:rsid w:val="00EB0E1B"/>
    <w:rsid w:val="00EB174C"/>
    <w:rsid w:val="00EB1DAF"/>
    <w:rsid w:val="00EB1FD4"/>
    <w:rsid w:val="00EB2192"/>
    <w:rsid w:val="00EB26F5"/>
    <w:rsid w:val="00EB2BC2"/>
    <w:rsid w:val="00EB2D7D"/>
    <w:rsid w:val="00EB2DC8"/>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2BA"/>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49E"/>
    <w:rsid w:val="00EC4CB5"/>
    <w:rsid w:val="00EC58F8"/>
    <w:rsid w:val="00EC6087"/>
    <w:rsid w:val="00EC6487"/>
    <w:rsid w:val="00EC6599"/>
    <w:rsid w:val="00EC6C26"/>
    <w:rsid w:val="00EC6D63"/>
    <w:rsid w:val="00EC6F42"/>
    <w:rsid w:val="00EC758B"/>
    <w:rsid w:val="00EC76CA"/>
    <w:rsid w:val="00ED0469"/>
    <w:rsid w:val="00ED046D"/>
    <w:rsid w:val="00ED0598"/>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E3C"/>
    <w:rsid w:val="00F54408"/>
    <w:rsid w:val="00F54506"/>
    <w:rsid w:val="00F54987"/>
    <w:rsid w:val="00F54B24"/>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176"/>
    <w:rsid w:val="00FC61D7"/>
    <w:rsid w:val="00FC63A1"/>
    <w:rsid w:val="00FC663E"/>
    <w:rsid w:val="00FC67BD"/>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2848E8"/>
    <w:rsid w:val="015C1B8C"/>
    <w:rsid w:val="017D32D3"/>
    <w:rsid w:val="01AD03D7"/>
    <w:rsid w:val="01B52CF5"/>
    <w:rsid w:val="01B97764"/>
    <w:rsid w:val="01C02D07"/>
    <w:rsid w:val="01D141F9"/>
    <w:rsid w:val="01E54F85"/>
    <w:rsid w:val="01E75112"/>
    <w:rsid w:val="020B3A29"/>
    <w:rsid w:val="02152C8C"/>
    <w:rsid w:val="023B72F7"/>
    <w:rsid w:val="024C338F"/>
    <w:rsid w:val="02836F1B"/>
    <w:rsid w:val="029B2623"/>
    <w:rsid w:val="02A82A4D"/>
    <w:rsid w:val="02AC0069"/>
    <w:rsid w:val="02B41020"/>
    <w:rsid w:val="02BB3CD8"/>
    <w:rsid w:val="02C13A84"/>
    <w:rsid w:val="02CE7923"/>
    <w:rsid w:val="02DD08C5"/>
    <w:rsid w:val="02E11EA5"/>
    <w:rsid w:val="02EE65A7"/>
    <w:rsid w:val="02F56E71"/>
    <w:rsid w:val="031614CE"/>
    <w:rsid w:val="03163115"/>
    <w:rsid w:val="031E1229"/>
    <w:rsid w:val="032A22DA"/>
    <w:rsid w:val="03413055"/>
    <w:rsid w:val="034C6AF4"/>
    <w:rsid w:val="03652CA2"/>
    <w:rsid w:val="036D6942"/>
    <w:rsid w:val="03740DE1"/>
    <w:rsid w:val="038F118E"/>
    <w:rsid w:val="03994471"/>
    <w:rsid w:val="03BE24C7"/>
    <w:rsid w:val="03CA4D95"/>
    <w:rsid w:val="03D40D58"/>
    <w:rsid w:val="03DE10F9"/>
    <w:rsid w:val="03EF2EEF"/>
    <w:rsid w:val="04063FE1"/>
    <w:rsid w:val="041C7221"/>
    <w:rsid w:val="04245229"/>
    <w:rsid w:val="042B0470"/>
    <w:rsid w:val="042D2398"/>
    <w:rsid w:val="04402907"/>
    <w:rsid w:val="04780EF9"/>
    <w:rsid w:val="04914B02"/>
    <w:rsid w:val="04A775D4"/>
    <w:rsid w:val="04A92701"/>
    <w:rsid w:val="04AD56A5"/>
    <w:rsid w:val="04B37BA5"/>
    <w:rsid w:val="04C60576"/>
    <w:rsid w:val="04F5755C"/>
    <w:rsid w:val="052B1309"/>
    <w:rsid w:val="052D2E12"/>
    <w:rsid w:val="052F619C"/>
    <w:rsid w:val="053C70C4"/>
    <w:rsid w:val="054B4C33"/>
    <w:rsid w:val="0550176B"/>
    <w:rsid w:val="05542D26"/>
    <w:rsid w:val="055A0936"/>
    <w:rsid w:val="05821D18"/>
    <w:rsid w:val="05833E73"/>
    <w:rsid w:val="0590322C"/>
    <w:rsid w:val="059E6F5E"/>
    <w:rsid w:val="05CC7F10"/>
    <w:rsid w:val="05D92ECD"/>
    <w:rsid w:val="05DF20B2"/>
    <w:rsid w:val="060C32BF"/>
    <w:rsid w:val="0619570F"/>
    <w:rsid w:val="062338B2"/>
    <w:rsid w:val="06265C73"/>
    <w:rsid w:val="06387666"/>
    <w:rsid w:val="065345EF"/>
    <w:rsid w:val="065A2E3C"/>
    <w:rsid w:val="06676354"/>
    <w:rsid w:val="06A2743B"/>
    <w:rsid w:val="06A5297F"/>
    <w:rsid w:val="06A55B12"/>
    <w:rsid w:val="06AB6009"/>
    <w:rsid w:val="06C078D8"/>
    <w:rsid w:val="06FB60AA"/>
    <w:rsid w:val="07107761"/>
    <w:rsid w:val="07120344"/>
    <w:rsid w:val="072C1E39"/>
    <w:rsid w:val="07762FAE"/>
    <w:rsid w:val="07A677CA"/>
    <w:rsid w:val="07B64C34"/>
    <w:rsid w:val="07D307CE"/>
    <w:rsid w:val="07DD2969"/>
    <w:rsid w:val="080E3239"/>
    <w:rsid w:val="081C29ED"/>
    <w:rsid w:val="081F25E1"/>
    <w:rsid w:val="083A3518"/>
    <w:rsid w:val="08483A71"/>
    <w:rsid w:val="08494C63"/>
    <w:rsid w:val="085C470B"/>
    <w:rsid w:val="086B7589"/>
    <w:rsid w:val="086F4045"/>
    <w:rsid w:val="089D0478"/>
    <w:rsid w:val="08B006D7"/>
    <w:rsid w:val="08B936F5"/>
    <w:rsid w:val="08BC62FE"/>
    <w:rsid w:val="08E74D7B"/>
    <w:rsid w:val="08F30DB8"/>
    <w:rsid w:val="08F42680"/>
    <w:rsid w:val="08F80534"/>
    <w:rsid w:val="090F1421"/>
    <w:rsid w:val="09103B70"/>
    <w:rsid w:val="0912042F"/>
    <w:rsid w:val="091466A5"/>
    <w:rsid w:val="093767C9"/>
    <w:rsid w:val="093E15EC"/>
    <w:rsid w:val="093E7CC7"/>
    <w:rsid w:val="09443720"/>
    <w:rsid w:val="09587C3E"/>
    <w:rsid w:val="097746F9"/>
    <w:rsid w:val="097B2B9E"/>
    <w:rsid w:val="097E40EF"/>
    <w:rsid w:val="09935C44"/>
    <w:rsid w:val="09A34570"/>
    <w:rsid w:val="09A5684A"/>
    <w:rsid w:val="09A62C4D"/>
    <w:rsid w:val="09B6697F"/>
    <w:rsid w:val="09B85B3B"/>
    <w:rsid w:val="09BB14D2"/>
    <w:rsid w:val="09DA2212"/>
    <w:rsid w:val="09E441A3"/>
    <w:rsid w:val="09F17A58"/>
    <w:rsid w:val="09F6142F"/>
    <w:rsid w:val="0A060E98"/>
    <w:rsid w:val="0A06479A"/>
    <w:rsid w:val="0A072481"/>
    <w:rsid w:val="0A11327E"/>
    <w:rsid w:val="0A117E98"/>
    <w:rsid w:val="0A126BE0"/>
    <w:rsid w:val="0A154370"/>
    <w:rsid w:val="0A295EB9"/>
    <w:rsid w:val="0A390467"/>
    <w:rsid w:val="0A3E226C"/>
    <w:rsid w:val="0A3F2C4E"/>
    <w:rsid w:val="0A5605A2"/>
    <w:rsid w:val="0A5A7C08"/>
    <w:rsid w:val="0A5C34B2"/>
    <w:rsid w:val="0A60531E"/>
    <w:rsid w:val="0A911A78"/>
    <w:rsid w:val="0A9D4650"/>
    <w:rsid w:val="0AB47FA3"/>
    <w:rsid w:val="0ABA30C8"/>
    <w:rsid w:val="0AC24C94"/>
    <w:rsid w:val="0AC90EC9"/>
    <w:rsid w:val="0AE07CD7"/>
    <w:rsid w:val="0AE21B53"/>
    <w:rsid w:val="0AE21BBC"/>
    <w:rsid w:val="0AE57866"/>
    <w:rsid w:val="0AEA4E9C"/>
    <w:rsid w:val="0AF10B25"/>
    <w:rsid w:val="0AF8528D"/>
    <w:rsid w:val="0B1708F9"/>
    <w:rsid w:val="0B1957C1"/>
    <w:rsid w:val="0B1E1C49"/>
    <w:rsid w:val="0B392103"/>
    <w:rsid w:val="0B3C464E"/>
    <w:rsid w:val="0B4D5D14"/>
    <w:rsid w:val="0B633330"/>
    <w:rsid w:val="0B65633F"/>
    <w:rsid w:val="0B697B67"/>
    <w:rsid w:val="0B7600D9"/>
    <w:rsid w:val="0B9C0576"/>
    <w:rsid w:val="0BA5427D"/>
    <w:rsid w:val="0BAB4C3D"/>
    <w:rsid w:val="0BAC2E82"/>
    <w:rsid w:val="0BD62AD1"/>
    <w:rsid w:val="0BDD4F7F"/>
    <w:rsid w:val="0BE25D6D"/>
    <w:rsid w:val="0BEC3A35"/>
    <w:rsid w:val="0BEC723D"/>
    <w:rsid w:val="0BF0007D"/>
    <w:rsid w:val="0BF82C78"/>
    <w:rsid w:val="0BF871DD"/>
    <w:rsid w:val="0C0D6006"/>
    <w:rsid w:val="0C23162F"/>
    <w:rsid w:val="0C267773"/>
    <w:rsid w:val="0C3059AA"/>
    <w:rsid w:val="0C3C73DD"/>
    <w:rsid w:val="0C3D2519"/>
    <w:rsid w:val="0C4409B5"/>
    <w:rsid w:val="0C523899"/>
    <w:rsid w:val="0C5D5CD1"/>
    <w:rsid w:val="0C6B1B4B"/>
    <w:rsid w:val="0C6E60F3"/>
    <w:rsid w:val="0C80621D"/>
    <w:rsid w:val="0C8B115B"/>
    <w:rsid w:val="0C8B154B"/>
    <w:rsid w:val="0CB145DE"/>
    <w:rsid w:val="0CC477F3"/>
    <w:rsid w:val="0CC72005"/>
    <w:rsid w:val="0CC848C0"/>
    <w:rsid w:val="0CC8716B"/>
    <w:rsid w:val="0D2B247C"/>
    <w:rsid w:val="0D4C5B63"/>
    <w:rsid w:val="0D4D5C1F"/>
    <w:rsid w:val="0D6033C0"/>
    <w:rsid w:val="0D7B164F"/>
    <w:rsid w:val="0D7E67A8"/>
    <w:rsid w:val="0DA26547"/>
    <w:rsid w:val="0DB628CD"/>
    <w:rsid w:val="0DC10F1B"/>
    <w:rsid w:val="0DD77C44"/>
    <w:rsid w:val="0DDD6C64"/>
    <w:rsid w:val="0DE10795"/>
    <w:rsid w:val="0DFC3A1E"/>
    <w:rsid w:val="0E0C50A5"/>
    <w:rsid w:val="0E1208D9"/>
    <w:rsid w:val="0E4424D3"/>
    <w:rsid w:val="0E570AC0"/>
    <w:rsid w:val="0E8F546F"/>
    <w:rsid w:val="0ECE71CE"/>
    <w:rsid w:val="0ECF4CF8"/>
    <w:rsid w:val="0EE51B71"/>
    <w:rsid w:val="0EF1099A"/>
    <w:rsid w:val="0F0B0C64"/>
    <w:rsid w:val="0F13783F"/>
    <w:rsid w:val="0F1E79A8"/>
    <w:rsid w:val="0F225B1B"/>
    <w:rsid w:val="0F231E64"/>
    <w:rsid w:val="0F247080"/>
    <w:rsid w:val="0F4B68C1"/>
    <w:rsid w:val="0F4D2765"/>
    <w:rsid w:val="0F530B23"/>
    <w:rsid w:val="0F54564B"/>
    <w:rsid w:val="0F59233E"/>
    <w:rsid w:val="0F5E65E3"/>
    <w:rsid w:val="0F6708CF"/>
    <w:rsid w:val="0F670905"/>
    <w:rsid w:val="0F6812D4"/>
    <w:rsid w:val="0F751750"/>
    <w:rsid w:val="0F8C76C9"/>
    <w:rsid w:val="0FA41AC2"/>
    <w:rsid w:val="0FA45281"/>
    <w:rsid w:val="0FC22D8C"/>
    <w:rsid w:val="0FDB0940"/>
    <w:rsid w:val="0FE22570"/>
    <w:rsid w:val="0FE37E1F"/>
    <w:rsid w:val="0FEE14A0"/>
    <w:rsid w:val="0FEE6031"/>
    <w:rsid w:val="1000027C"/>
    <w:rsid w:val="101C653D"/>
    <w:rsid w:val="102454BB"/>
    <w:rsid w:val="103740EA"/>
    <w:rsid w:val="103B6CD4"/>
    <w:rsid w:val="103C0192"/>
    <w:rsid w:val="10534754"/>
    <w:rsid w:val="109A4137"/>
    <w:rsid w:val="10A16CDC"/>
    <w:rsid w:val="10D34F95"/>
    <w:rsid w:val="10D46685"/>
    <w:rsid w:val="10E41604"/>
    <w:rsid w:val="10F6565B"/>
    <w:rsid w:val="10F70901"/>
    <w:rsid w:val="10F96D13"/>
    <w:rsid w:val="110221F0"/>
    <w:rsid w:val="11074F97"/>
    <w:rsid w:val="111E66CB"/>
    <w:rsid w:val="11241D3D"/>
    <w:rsid w:val="112627CA"/>
    <w:rsid w:val="11347E7E"/>
    <w:rsid w:val="1135225F"/>
    <w:rsid w:val="11401CA1"/>
    <w:rsid w:val="11440308"/>
    <w:rsid w:val="114D7A95"/>
    <w:rsid w:val="115C5293"/>
    <w:rsid w:val="11730667"/>
    <w:rsid w:val="11796160"/>
    <w:rsid w:val="117E3E17"/>
    <w:rsid w:val="11805D10"/>
    <w:rsid w:val="118E2A81"/>
    <w:rsid w:val="119E790B"/>
    <w:rsid w:val="11A021C9"/>
    <w:rsid w:val="11D56DE8"/>
    <w:rsid w:val="11DD7ADE"/>
    <w:rsid w:val="1236016D"/>
    <w:rsid w:val="12574E45"/>
    <w:rsid w:val="126E0E9B"/>
    <w:rsid w:val="12773A64"/>
    <w:rsid w:val="128A40EC"/>
    <w:rsid w:val="12972F1F"/>
    <w:rsid w:val="129E076F"/>
    <w:rsid w:val="12C754DE"/>
    <w:rsid w:val="12CD5F7F"/>
    <w:rsid w:val="12DF1B96"/>
    <w:rsid w:val="12E42BD4"/>
    <w:rsid w:val="12F240ED"/>
    <w:rsid w:val="12F77121"/>
    <w:rsid w:val="12FD1D5A"/>
    <w:rsid w:val="130D3B0A"/>
    <w:rsid w:val="13162160"/>
    <w:rsid w:val="131C7703"/>
    <w:rsid w:val="132C272D"/>
    <w:rsid w:val="13367949"/>
    <w:rsid w:val="135A78BC"/>
    <w:rsid w:val="135E1DFD"/>
    <w:rsid w:val="13605533"/>
    <w:rsid w:val="13753F2D"/>
    <w:rsid w:val="138A7582"/>
    <w:rsid w:val="13A17CB5"/>
    <w:rsid w:val="13AD2641"/>
    <w:rsid w:val="13BF16E4"/>
    <w:rsid w:val="13C700C8"/>
    <w:rsid w:val="14157C66"/>
    <w:rsid w:val="142060B0"/>
    <w:rsid w:val="14220676"/>
    <w:rsid w:val="14256D94"/>
    <w:rsid w:val="14295FF9"/>
    <w:rsid w:val="142F3427"/>
    <w:rsid w:val="1439496C"/>
    <w:rsid w:val="143D0A63"/>
    <w:rsid w:val="146B6173"/>
    <w:rsid w:val="14735281"/>
    <w:rsid w:val="148A09C2"/>
    <w:rsid w:val="148D1678"/>
    <w:rsid w:val="14A84FD4"/>
    <w:rsid w:val="14BA79FC"/>
    <w:rsid w:val="14BF227E"/>
    <w:rsid w:val="14E02FB8"/>
    <w:rsid w:val="14F77668"/>
    <w:rsid w:val="15023451"/>
    <w:rsid w:val="150819F2"/>
    <w:rsid w:val="15143747"/>
    <w:rsid w:val="151A457F"/>
    <w:rsid w:val="151D27FC"/>
    <w:rsid w:val="152B7105"/>
    <w:rsid w:val="15512989"/>
    <w:rsid w:val="15594455"/>
    <w:rsid w:val="156D4BAB"/>
    <w:rsid w:val="15767F10"/>
    <w:rsid w:val="15822045"/>
    <w:rsid w:val="15896B57"/>
    <w:rsid w:val="15A87015"/>
    <w:rsid w:val="15E73CAB"/>
    <w:rsid w:val="15F41F95"/>
    <w:rsid w:val="15FD0FFE"/>
    <w:rsid w:val="15FF679C"/>
    <w:rsid w:val="1610088E"/>
    <w:rsid w:val="161330D0"/>
    <w:rsid w:val="161359E4"/>
    <w:rsid w:val="162723E1"/>
    <w:rsid w:val="16317A78"/>
    <w:rsid w:val="163B0040"/>
    <w:rsid w:val="163B6B2A"/>
    <w:rsid w:val="163D31CD"/>
    <w:rsid w:val="165B742B"/>
    <w:rsid w:val="165F040B"/>
    <w:rsid w:val="167166CC"/>
    <w:rsid w:val="167F3718"/>
    <w:rsid w:val="169948C7"/>
    <w:rsid w:val="169C3915"/>
    <w:rsid w:val="16BD4E15"/>
    <w:rsid w:val="16BE3E4A"/>
    <w:rsid w:val="16C219A8"/>
    <w:rsid w:val="16CE21C7"/>
    <w:rsid w:val="170352FB"/>
    <w:rsid w:val="170E4FF3"/>
    <w:rsid w:val="17277B54"/>
    <w:rsid w:val="172D1EFE"/>
    <w:rsid w:val="173D4823"/>
    <w:rsid w:val="173E162A"/>
    <w:rsid w:val="174C0270"/>
    <w:rsid w:val="17667170"/>
    <w:rsid w:val="176A0AF3"/>
    <w:rsid w:val="177C6745"/>
    <w:rsid w:val="177D4640"/>
    <w:rsid w:val="177E0356"/>
    <w:rsid w:val="1799781F"/>
    <w:rsid w:val="179A6E4A"/>
    <w:rsid w:val="17A35DD9"/>
    <w:rsid w:val="17AA5293"/>
    <w:rsid w:val="17B95D08"/>
    <w:rsid w:val="17C21FF9"/>
    <w:rsid w:val="17CD6238"/>
    <w:rsid w:val="17CE02F4"/>
    <w:rsid w:val="181C77B5"/>
    <w:rsid w:val="182E0B4B"/>
    <w:rsid w:val="1830534F"/>
    <w:rsid w:val="185247CD"/>
    <w:rsid w:val="186D26D8"/>
    <w:rsid w:val="18764C2C"/>
    <w:rsid w:val="187B650B"/>
    <w:rsid w:val="18821A32"/>
    <w:rsid w:val="188921B8"/>
    <w:rsid w:val="18895AA4"/>
    <w:rsid w:val="18AB670D"/>
    <w:rsid w:val="18AC27B2"/>
    <w:rsid w:val="18B36492"/>
    <w:rsid w:val="18BA3C1F"/>
    <w:rsid w:val="18E24F7A"/>
    <w:rsid w:val="18F26B51"/>
    <w:rsid w:val="19264365"/>
    <w:rsid w:val="1938542F"/>
    <w:rsid w:val="1943599D"/>
    <w:rsid w:val="195E14CB"/>
    <w:rsid w:val="195F3020"/>
    <w:rsid w:val="196D7E33"/>
    <w:rsid w:val="19786AB4"/>
    <w:rsid w:val="197C3252"/>
    <w:rsid w:val="197D4B08"/>
    <w:rsid w:val="198312AC"/>
    <w:rsid w:val="198F42C2"/>
    <w:rsid w:val="198F6607"/>
    <w:rsid w:val="19946D61"/>
    <w:rsid w:val="199975A1"/>
    <w:rsid w:val="199F5196"/>
    <w:rsid w:val="19B1636F"/>
    <w:rsid w:val="19B21C39"/>
    <w:rsid w:val="19B505BD"/>
    <w:rsid w:val="19B62F85"/>
    <w:rsid w:val="19C83055"/>
    <w:rsid w:val="19CD6532"/>
    <w:rsid w:val="19CF42D6"/>
    <w:rsid w:val="19DC39F9"/>
    <w:rsid w:val="19E40E8E"/>
    <w:rsid w:val="19F241A9"/>
    <w:rsid w:val="19F965B8"/>
    <w:rsid w:val="19FB7AAE"/>
    <w:rsid w:val="1A0D18ED"/>
    <w:rsid w:val="1A101645"/>
    <w:rsid w:val="1A241FC3"/>
    <w:rsid w:val="1A2B00E3"/>
    <w:rsid w:val="1A2F4A85"/>
    <w:rsid w:val="1A340E9B"/>
    <w:rsid w:val="1A360A0F"/>
    <w:rsid w:val="1A5E4E62"/>
    <w:rsid w:val="1A6A57EF"/>
    <w:rsid w:val="1A763790"/>
    <w:rsid w:val="1A7669BD"/>
    <w:rsid w:val="1A7D73CD"/>
    <w:rsid w:val="1A7F1339"/>
    <w:rsid w:val="1A8D6167"/>
    <w:rsid w:val="1AAF43A8"/>
    <w:rsid w:val="1ACD4AF8"/>
    <w:rsid w:val="1ACE2B6A"/>
    <w:rsid w:val="1AD93AA5"/>
    <w:rsid w:val="1AE24529"/>
    <w:rsid w:val="1B013EC6"/>
    <w:rsid w:val="1B06430C"/>
    <w:rsid w:val="1B2244FB"/>
    <w:rsid w:val="1B296458"/>
    <w:rsid w:val="1B2A32F8"/>
    <w:rsid w:val="1B5A2117"/>
    <w:rsid w:val="1B5C57F5"/>
    <w:rsid w:val="1B622EE5"/>
    <w:rsid w:val="1B63432F"/>
    <w:rsid w:val="1B6D5C31"/>
    <w:rsid w:val="1B927805"/>
    <w:rsid w:val="1B9D7873"/>
    <w:rsid w:val="1BA850AA"/>
    <w:rsid w:val="1BB50BF6"/>
    <w:rsid w:val="1BB9141E"/>
    <w:rsid w:val="1BC13C6A"/>
    <w:rsid w:val="1BDA6E4C"/>
    <w:rsid w:val="1BE42072"/>
    <w:rsid w:val="1C0C71B1"/>
    <w:rsid w:val="1C187CC5"/>
    <w:rsid w:val="1C1D317C"/>
    <w:rsid w:val="1C321CEA"/>
    <w:rsid w:val="1C390B8A"/>
    <w:rsid w:val="1C475512"/>
    <w:rsid w:val="1C4E5985"/>
    <w:rsid w:val="1C5C6156"/>
    <w:rsid w:val="1C6B7B9D"/>
    <w:rsid w:val="1C871639"/>
    <w:rsid w:val="1C8C76C3"/>
    <w:rsid w:val="1C993A16"/>
    <w:rsid w:val="1CCE27F5"/>
    <w:rsid w:val="1CD56EE4"/>
    <w:rsid w:val="1CE36074"/>
    <w:rsid w:val="1CE76663"/>
    <w:rsid w:val="1CF27B0C"/>
    <w:rsid w:val="1CF670B8"/>
    <w:rsid w:val="1CFB6769"/>
    <w:rsid w:val="1D0A42CA"/>
    <w:rsid w:val="1D261670"/>
    <w:rsid w:val="1D293562"/>
    <w:rsid w:val="1D2B6712"/>
    <w:rsid w:val="1D41206F"/>
    <w:rsid w:val="1D430342"/>
    <w:rsid w:val="1D447CC0"/>
    <w:rsid w:val="1D474F3A"/>
    <w:rsid w:val="1D66620B"/>
    <w:rsid w:val="1D66740C"/>
    <w:rsid w:val="1DA52E33"/>
    <w:rsid w:val="1DB40421"/>
    <w:rsid w:val="1DC110DE"/>
    <w:rsid w:val="1DF81083"/>
    <w:rsid w:val="1DFE51A3"/>
    <w:rsid w:val="1E0765FF"/>
    <w:rsid w:val="1E170F14"/>
    <w:rsid w:val="1E2A62D0"/>
    <w:rsid w:val="1E306135"/>
    <w:rsid w:val="1E4538B6"/>
    <w:rsid w:val="1E4D70BE"/>
    <w:rsid w:val="1E5A5274"/>
    <w:rsid w:val="1E5B791D"/>
    <w:rsid w:val="1E6F37A0"/>
    <w:rsid w:val="1E7338B6"/>
    <w:rsid w:val="1E8D3F61"/>
    <w:rsid w:val="1E9416FC"/>
    <w:rsid w:val="1EA42BEC"/>
    <w:rsid w:val="1ECD0317"/>
    <w:rsid w:val="1ED75E29"/>
    <w:rsid w:val="1EE377FF"/>
    <w:rsid w:val="1EFD66AC"/>
    <w:rsid w:val="1F042AD0"/>
    <w:rsid w:val="1F1D0F67"/>
    <w:rsid w:val="1F1E7FD1"/>
    <w:rsid w:val="1F4637B8"/>
    <w:rsid w:val="1F7303B6"/>
    <w:rsid w:val="1F7D399A"/>
    <w:rsid w:val="1F935219"/>
    <w:rsid w:val="1FA57D0A"/>
    <w:rsid w:val="1FA61C49"/>
    <w:rsid w:val="1FC92E4F"/>
    <w:rsid w:val="1FD2008D"/>
    <w:rsid w:val="1FE10EDF"/>
    <w:rsid w:val="1FE70053"/>
    <w:rsid w:val="1FFC6F85"/>
    <w:rsid w:val="202255CA"/>
    <w:rsid w:val="203A086E"/>
    <w:rsid w:val="20431FBF"/>
    <w:rsid w:val="206F76D1"/>
    <w:rsid w:val="20781843"/>
    <w:rsid w:val="2091561C"/>
    <w:rsid w:val="209D0D2C"/>
    <w:rsid w:val="20A11725"/>
    <w:rsid w:val="20A25ED8"/>
    <w:rsid w:val="20AB6D46"/>
    <w:rsid w:val="20B308A1"/>
    <w:rsid w:val="20D73BEF"/>
    <w:rsid w:val="20DA0168"/>
    <w:rsid w:val="21202A9F"/>
    <w:rsid w:val="21225CC6"/>
    <w:rsid w:val="213D2670"/>
    <w:rsid w:val="21412C99"/>
    <w:rsid w:val="21496927"/>
    <w:rsid w:val="214A482F"/>
    <w:rsid w:val="214F0117"/>
    <w:rsid w:val="21597306"/>
    <w:rsid w:val="215D4424"/>
    <w:rsid w:val="21810EFE"/>
    <w:rsid w:val="21901F4F"/>
    <w:rsid w:val="21A444C8"/>
    <w:rsid w:val="21A5278A"/>
    <w:rsid w:val="21B63479"/>
    <w:rsid w:val="21B8487C"/>
    <w:rsid w:val="21BE0669"/>
    <w:rsid w:val="21C13A0B"/>
    <w:rsid w:val="21C916C4"/>
    <w:rsid w:val="21E5030B"/>
    <w:rsid w:val="220F1C97"/>
    <w:rsid w:val="22384ACD"/>
    <w:rsid w:val="223B2344"/>
    <w:rsid w:val="223E69B9"/>
    <w:rsid w:val="226136F6"/>
    <w:rsid w:val="227D76CE"/>
    <w:rsid w:val="2281406F"/>
    <w:rsid w:val="22963EC7"/>
    <w:rsid w:val="22A77D8C"/>
    <w:rsid w:val="22AF4A11"/>
    <w:rsid w:val="22B02A4E"/>
    <w:rsid w:val="22B40838"/>
    <w:rsid w:val="22B8269B"/>
    <w:rsid w:val="22C44F3A"/>
    <w:rsid w:val="22D93EB7"/>
    <w:rsid w:val="22F07C5E"/>
    <w:rsid w:val="22FA3332"/>
    <w:rsid w:val="23127854"/>
    <w:rsid w:val="231E09F7"/>
    <w:rsid w:val="2333194B"/>
    <w:rsid w:val="23383C8A"/>
    <w:rsid w:val="233C78C8"/>
    <w:rsid w:val="23604671"/>
    <w:rsid w:val="23746F1D"/>
    <w:rsid w:val="23750F35"/>
    <w:rsid w:val="237C3DA7"/>
    <w:rsid w:val="23A5494B"/>
    <w:rsid w:val="23A7217C"/>
    <w:rsid w:val="23AD1BD5"/>
    <w:rsid w:val="23AF5512"/>
    <w:rsid w:val="23B651FD"/>
    <w:rsid w:val="23C60123"/>
    <w:rsid w:val="23CE56A6"/>
    <w:rsid w:val="23F93CD0"/>
    <w:rsid w:val="24024816"/>
    <w:rsid w:val="24046497"/>
    <w:rsid w:val="24100DC1"/>
    <w:rsid w:val="241502BF"/>
    <w:rsid w:val="24292E92"/>
    <w:rsid w:val="243D5B3A"/>
    <w:rsid w:val="243F2B37"/>
    <w:rsid w:val="24472FBE"/>
    <w:rsid w:val="244C3251"/>
    <w:rsid w:val="244D1C80"/>
    <w:rsid w:val="24607B0F"/>
    <w:rsid w:val="246109E4"/>
    <w:rsid w:val="248654D3"/>
    <w:rsid w:val="248E0B5A"/>
    <w:rsid w:val="24946808"/>
    <w:rsid w:val="249C39D3"/>
    <w:rsid w:val="24A33524"/>
    <w:rsid w:val="24A75CD4"/>
    <w:rsid w:val="24B05BEC"/>
    <w:rsid w:val="24CE08F5"/>
    <w:rsid w:val="24F25E06"/>
    <w:rsid w:val="24F64D5F"/>
    <w:rsid w:val="25197E50"/>
    <w:rsid w:val="251F16A2"/>
    <w:rsid w:val="25201B75"/>
    <w:rsid w:val="252678E0"/>
    <w:rsid w:val="25272196"/>
    <w:rsid w:val="252B6AEB"/>
    <w:rsid w:val="25481418"/>
    <w:rsid w:val="2549103A"/>
    <w:rsid w:val="254D1C5E"/>
    <w:rsid w:val="25551670"/>
    <w:rsid w:val="255D500D"/>
    <w:rsid w:val="25637C92"/>
    <w:rsid w:val="25641E33"/>
    <w:rsid w:val="256766F7"/>
    <w:rsid w:val="256C1686"/>
    <w:rsid w:val="2572513A"/>
    <w:rsid w:val="25764EEB"/>
    <w:rsid w:val="25772983"/>
    <w:rsid w:val="25797C16"/>
    <w:rsid w:val="257F2606"/>
    <w:rsid w:val="25802642"/>
    <w:rsid w:val="25807175"/>
    <w:rsid w:val="25905FC6"/>
    <w:rsid w:val="25965D4B"/>
    <w:rsid w:val="25A53AC0"/>
    <w:rsid w:val="25DE276F"/>
    <w:rsid w:val="25E418BA"/>
    <w:rsid w:val="25EC6622"/>
    <w:rsid w:val="26093577"/>
    <w:rsid w:val="260D5DD5"/>
    <w:rsid w:val="2614529A"/>
    <w:rsid w:val="26241050"/>
    <w:rsid w:val="26317E01"/>
    <w:rsid w:val="26641479"/>
    <w:rsid w:val="26895E7B"/>
    <w:rsid w:val="26AE0482"/>
    <w:rsid w:val="26C01A21"/>
    <w:rsid w:val="26D622DE"/>
    <w:rsid w:val="26D63325"/>
    <w:rsid w:val="26ED51E7"/>
    <w:rsid w:val="26F5217A"/>
    <w:rsid w:val="26F83705"/>
    <w:rsid w:val="27097897"/>
    <w:rsid w:val="270B1DEB"/>
    <w:rsid w:val="27330503"/>
    <w:rsid w:val="27376968"/>
    <w:rsid w:val="273A2F2F"/>
    <w:rsid w:val="274B247F"/>
    <w:rsid w:val="274D3E6B"/>
    <w:rsid w:val="27664377"/>
    <w:rsid w:val="27702CB8"/>
    <w:rsid w:val="27705ECD"/>
    <w:rsid w:val="277B186B"/>
    <w:rsid w:val="27805F0E"/>
    <w:rsid w:val="278A3B13"/>
    <w:rsid w:val="279C6A8F"/>
    <w:rsid w:val="27B11472"/>
    <w:rsid w:val="27B413E3"/>
    <w:rsid w:val="27BA37B3"/>
    <w:rsid w:val="27DB0A15"/>
    <w:rsid w:val="27F34621"/>
    <w:rsid w:val="27F75876"/>
    <w:rsid w:val="280712B5"/>
    <w:rsid w:val="2807484F"/>
    <w:rsid w:val="280845EA"/>
    <w:rsid w:val="2823748B"/>
    <w:rsid w:val="283C5464"/>
    <w:rsid w:val="28423D9D"/>
    <w:rsid w:val="286D0883"/>
    <w:rsid w:val="2893739E"/>
    <w:rsid w:val="28C15F12"/>
    <w:rsid w:val="28D50B24"/>
    <w:rsid w:val="28D8496E"/>
    <w:rsid w:val="28DC5745"/>
    <w:rsid w:val="28E479CB"/>
    <w:rsid w:val="28F22EC0"/>
    <w:rsid w:val="28FB7C42"/>
    <w:rsid w:val="29065CF6"/>
    <w:rsid w:val="290B3B64"/>
    <w:rsid w:val="290F33D9"/>
    <w:rsid w:val="291762CC"/>
    <w:rsid w:val="293A1937"/>
    <w:rsid w:val="293B501E"/>
    <w:rsid w:val="29577AB9"/>
    <w:rsid w:val="29735F13"/>
    <w:rsid w:val="29827E02"/>
    <w:rsid w:val="29870C03"/>
    <w:rsid w:val="2990129E"/>
    <w:rsid w:val="29A94967"/>
    <w:rsid w:val="29AD4614"/>
    <w:rsid w:val="29B473E0"/>
    <w:rsid w:val="29BB1A89"/>
    <w:rsid w:val="29C230AD"/>
    <w:rsid w:val="29C72459"/>
    <w:rsid w:val="29D25B2C"/>
    <w:rsid w:val="29E97C50"/>
    <w:rsid w:val="29EB64D6"/>
    <w:rsid w:val="29EC23D0"/>
    <w:rsid w:val="2A064A60"/>
    <w:rsid w:val="2A136ED6"/>
    <w:rsid w:val="2A2B479A"/>
    <w:rsid w:val="2A323CC9"/>
    <w:rsid w:val="2A356E68"/>
    <w:rsid w:val="2A640906"/>
    <w:rsid w:val="2A770838"/>
    <w:rsid w:val="2A7E2034"/>
    <w:rsid w:val="2A7F23FF"/>
    <w:rsid w:val="2A88466F"/>
    <w:rsid w:val="2A8C31C6"/>
    <w:rsid w:val="2ABC5633"/>
    <w:rsid w:val="2AC7542D"/>
    <w:rsid w:val="2AD82E67"/>
    <w:rsid w:val="2AD92954"/>
    <w:rsid w:val="2AE311EC"/>
    <w:rsid w:val="2AE34A9F"/>
    <w:rsid w:val="2AE54604"/>
    <w:rsid w:val="2AEA2E94"/>
    <w:rsid w:val="2B08651B"/>
    <w:rsid w:val="2B0873F8"/>
    <w:rsid w:val="2B0A494B"/>
    <w:rsid w:val="2B164ADE"/>
    <w:rsid w:val="2B320F6B"/>
    <w:rsid w:val="2B3722B7"/>
    <w:rsid w:val="2B4C1381"/>
    <w:rsid w:val="2BA87A98"/>
    <w:rsid w:val="2BAE164F"/>
    <w:rsid w:val="2BCD4DC7"/>
    <w:rsid w:val="2BD34AB3"/>
    <w:rsid w:val="2BF15617"/>
    <w:rsid w:val="2C155BEB"/>
    <w:rsid w:val="2C4812EC"/>
    <w:rsid w:val="2C493ECD"/>
    <w:rsid w:val="2C4D2093"/>
    <w:rsid w:val="2C542347"/>
    <w:rsid w:val="2C584F53"/>
    <w:rsid w:val="2C673566"/>
    <w:rsid w:val="2C8E5DD9"/>
    <w:rsid w:val="2C9E5117"/>
    <w:rsid w:val="2CBF7478"/>
    <w:rsid w:val="2CE7470A"/>
    <w:rsid w:val="2CFA3DDA"/>
    <w:rsid w:val="2D2401B9"/>
    <w:rsid w:val="2D25295B"/>
    <w:rsid w:val="2D49332C"/>
    <w:rsid w:val="2D4B4194"/>
    <w:rsid w:val="2D6C64CF"/>
    <w:rsid w:val="2D6F1828"/>
    <w:rsid w:val="2D805224"/>
    <w:rsid w:val="2D836CA7"/>
    <w:rsid w:val="2D9A5493"/>
    <w:rsid w:val="2DA828DA"/>
    <w:rsid w:val="2DB70FC3"/>
    <w:rsid w:val="2DD37B96"/>
    <w:rsid w:val="2DDB0EC9"/>
    <w:rsid w:val="2DDB79C4"/>
    <w:rsid w:val="2DE06954"/>
    <w:rsid w:val="2DF11F7F"/>
    <w:rsid w:val="2E03680A"/>
    <w:rsid w:val="2E074793"/>
    <w:rsid w:val="2E4375F4"/>
    <w:rsid w:val="2E4C7699"/>
    <w:rsid w:val="2E4E5CF5"/>
    <w:rsid w:val="2E517647"/>
    <w:rsid w:val="2E77446F"/>
    <w:rsid w:val="2E7D38E8"/>
    <w:rsid w:val="2EA9484A"/>
    <w:rsid w:val="2EAB4DB9"/>
    <w:rsid w:val="2EC47C2B"/>
    <w:rsid w:val="2EC6434A"/>
    <w:rsid w:val="2ED45EBC"/>
    <w:rsid w:val="2EEE1C8B"/>
    <w:rsid w:val="2EF72C3C"/>
    <w:rsid w:val="2F1262F0"/>
    <w:rsid w:val="2F1A7A74"/>
    <w:rsid w:val="2F2041C3"/>
    <w:rsid w:val="2F216DAD"/>
    <w:rsid w:val="2F254FFA"/>
    <w:rsid w:val="2F2B60AF"/>
    <w:rsid w:val="2F351AA1"/>
    <w:rsid w:val="2F405DA2"/>
    <w:rsid w:val="2F490D6D"/>
    <w:rsid w:val="2F5745E1"/>
    <w:rsid w:val="2F672131"/>
    <w:rsid w:val="2F6F2FEA"/>
    <w:rsid w:val="2F74493B"/>
    <w:rsid w:val="2F816ADF"/>
    <w:rsid w:val="2F8B3281"/>
    <w:rsid w:val="2F8C74B6"/>
    <w:rsid w:val="2F8D71FE"/>
    <w:rsid w:val="2F9E6EAE"/>
    <w:rsid w:val="2FC07254"/>
    <w:rsid w:val="2FCA6BA4"/>
    <w:rsid w:val="2FD0227E"/>
    <w:rsid w:val="2FDC4998"/>
    <w:rsid w:val="2FE85726"/>
    <w:rsid w:val="301E7BB4"/>
    <w:rsid w:val="3024558B"/>
    <w:rsid w:val="302E2617"/>
    <w:rsid w:val="30377994"/>
    <w:rsid w:val="30397E43"/>
    <w:rsid w:val="304772E7"/>
    <w:rsid w:val="305C7CF8"/>
    <w:rsid w:val="30622E72"/>
    <w:rsid w:val="307B4B60"/>
    <w:rsid w:val="308C0CD4"/>
    <w:rsid w:val="309857EA"/>
    <w:rsid w:val="309B5550"/>
    <w:rsid w:val="30A83FB0"/>
    <w:rsid w:val="30AC6746"/>
    <w:rsid w:val="30B7170B"/>
    <w:rsid w:val="30C74874"/>
    <w:rsid w:val="30D74EE7"/>
    <w:rsid w:val="30E10BCA"/>
    <w:rsid w:val="310F601D"/>
    <w:rsid w:val="311A36FA"/>
    <w:rsid w:val="31217818"/>
    <w:rsid w:val="31220100"/>
    <w:rsid w:val="31312245"/>
    <w:rsid w:val="31397652"/>
    <w:rsid w:val="313D414C"/>
    <w:rsid w:val="316A2EB3"/>
    <w:rsid w:val="31710983"/>
    <w:rsid w:val="317D3178"/>
    <w:rsid w:val="317D78B4"/>
    <w:rsid w:val="31825334"/>
    <w:rsid w:val="3189615B"/>
    <w:rsid w:val="318A3915"/>
    <w:rsid w:val="31BC0E1A"/>
    <w:rsid w:val="31BD4DEC"/>
    <w:rsid w:val="31CB268E"/>
    <w:rsid w:val="31D1684D"/>
    <w:rsid w:val="31EF6277"/>
    <w:rsid w:val="32101599"/>
    <w:rsid w:val="32130D2B"/>
    <w:rsid w:val="322A2AC0"/>
    <w:rsid w:val="326D42CE"/>
    <w:rsid w:val="3286142E"/>
    <w:rsid w:val="329D6F19"/>
    <w:rsid w:val="32AF4AEC"/>
    <w:rsid w:val="32B37FBF"/>
    <w:rsid w:val="32C70E6A"/>
    <w:rsid w:val="32CB6B54"/>
    <w:rsid w:val="32E52D3B"/>
    <w:rsid w:val="32F00F21"/>
    <w:rsid w:val="32F71241"/>
    <w:rsid w:val="33026CC5"/>
    <w:rsid w:val="330A6052"/>
    <w:rsid w:val="330E7E56"/>
    <w:rsid w:val="33392F0E"/>
    <w:rsid w:val="33655903"/>
    <w:rsid w:val="33764DB8"/>
    <w:rsid w:val="337874BC"/>
    <w:rsid w:val="338761EA"/>
    <w:rsid w:val="338F6B01"/>
    <w:rsid w:val="339325E3"/>
    <w:rsid w:val="339E007E"/>
    <w:rsid w:val="33C4477D"/>
    <w:rsid w:val="33F57504"/>
    <w:rsid w:val="33F73630"/>
    <w:rsid w:val="3417307B"/>
    <w:rsid w:val="342B09E2"/>
    <w:rsid w:val="34371239"/>
    <w:rsid w:val="34390853"/>
    <w:rsid w:val="343D3CB9"/>
    <w:rsid w:val="345278D1"/>
    <w:rsid w:val="34696841"/>
    <w:rsid w:val="34744B40"/>
    <w:rsid w:val="34A33F34"/>
    <w:rsid w:val="34A5095C"/>
    <w:rsid w:val="34AD54EC"/>
    <w:rsid w:val="34C42121"/>
    <w:rsid w:val="34C43CCE"/>
    <w:rsid w:val="34DC0E1F"/>
    <w:rsid w:val="34DD0DD0"/>
    <w:rsid w:val="34EA46D8"/>
    <w:rsid w:val="34EC1320"/>
    <w:rsid w:val="34F61016"/>
    <w:rsid w:val="35061878"/>
    <w:rsid w:val="350D1981"/>
    <w:rsid w:val="3526225B"/>
    <w:rsid w:val="35374677"/>
    <w:rsid w:val="354D0915"/>
    <w:rsid w:val="3571067D"/>
    <w:rsid w:val="3584576E"/>
    <w:rsid w:val="35893B0B"/>
    <w:rsid w:val="35A23E5D"/>
    <w:rsid w:val="35C464CA"/>
    <w:rsid w:val="35E8113F"/>
    <w:rsid w:val="35FD5922"/>
    <w:rsid w:val="360C034F"/>
    <w:rsid w:val="36761E29"/>
    <w:rsid w:val="36794245"/>
    <w:rsid w:val="36814EFF"/>
    <w:rsid w:val="368A62E3"/>
    <w:rsid w:val="369210DE"/>
    <w:rsid w:val="3696421B"/>
    <w:rsid w:val="36A036FB"/>
    <w:rsid w:val="36AD7AFE"/>
    <w:rsid w:val="36BC6349"/>
    <w:rsid w:val="36CD2176"/>
    <w:rsid w:val="36CF72D9"/>
    <w:rsid w:val="370A6758"/>
    <w:rsid w:val="373F260F"/>
    <w:rsid w:val="37630F5F"/>
    <w:rsid w:val="376452CB"/>
    <w:rsid w:val="37832694"/>
    <w:rsid w:val="378D71EA"/>
    <w:rsid w:val="379561C8"/>
    <w:rsid w:val="37A66D38"/>
    <w:rsid w:val="37C223DC"/>
    <w:rsid w:val="37DE74B9"/>
    <w:rsid w:val="37F4192F"/>
    <w:rsid w:val="37FC638E"/>
    <w:rsid w:val="37FF4EF6"/>
    <w:rsid w:val="38042588"/>
    <w:rsid w:val="381037EF"/>
    <w:rsid w:val="38634327"/>
    <w:rsid w:val="38766CAF"/>
    <w:rsid w:val="38A5150F"/>
    <w:rsid w:val="38B94144"/>
    <w:rsid w:val="38C661FC"/>
    <w:rsid w:val="38D26DAE"/>
    <w:rsid w:val="38D67C17"/>
    <w:rsid w:val="38DF7FBF"/>
    <w:rsid w:val="3914549F"/>
    <w:rsid w:val="3917518E"/>
    <w:rsid w:val="39464A7A"/>
    <w:rsid w:val="394A0816"/>
    <w:rsid w:val="39542006"/>
    <w:rsid w:val="395A27A5"/>
    <w:rsid w:val="396B2F42"/>
    <w:rsid w:val="397A30CF"/>
    <w:rsid w:val="398101C0"/>
    <w:rsid w:val="3982537B"/>
    <w:rsid w:val="398E5B8A"/>
    <w:rsid w:val="399C1379"/>
    <w:rsid w:val="39C82DD9"/>
    <w:rsid w:val="39CB38EA"/>
    <w:rsid w:val="39F10E58"/>
    <w:rsid w:val="39F238BD"/>
    <w:rsid w:val="39F44F22"/>
    <w:rsid w:val="39F80C6A"/>
    <w:rsid w:val="3A05633A"/>
    <w:rsid w:val="3A093898"/>
    <w:rsid w:val="3A3B03D2"/>
    <w:rsid w:val="3A5F5D65"/>
    <w:rsid w:val="3A7E4E86"/>
    <w:rsid w:val="3A822A99"/>
    <w:rsid w:val="3A8D3E1B"/>
    <w:rsid w:val="3A9800AE"/>
    <w:rsid w:val="3A9A3A5A"/>
    <w:rsid w:val="3A9D3BAE"/>
    <w:rsid w:val="3AB62744"/>
    <w:rsid w:val="3AB77F3B"/>
    <w:rsid w:val="3AB84DB4"/>
    <w:rsid w:val="3AC15D50"/>
    <w:rsid w:val="3ACE14FD"/>
    <w:rsid w:val="3AD65514"/>
    <w:rsid w:val="3AE0276A"/>
    <w:rsid w:val="3AE57099"/>
    <w:rsid w:val="3AEC4B5C"/>
    <w:rsid w:val="3B025CFA"/>
    <w:rsid w:val="3B15176B"/>
    <w:rsid w:val="3B2A49A6"/>
    <w:rsid w:val="3B2B12BE"/>
    <w:rsid w:val="3B305954"/>
    <w:rsid w:val="3B4C2256"/>
    <w:rsid w:val="3B535B8B"/>
    <w:rsid w:val="3B5F5256"/>
    <w:rsid w:val="3B6F4F36"/>
    <w:rsid w:val="3B750639"/>
    <w:rsid w:val="3B761076"/>
    <w:rsid w:val="3B9A048D"/>
    <w:rsid w:val="3BA1367A"/>
    <w:rsid w:val="3BB80F8B"/>
    <w:rsid w:val="3BC95674"/>
    <w:rsid w:val="3C015AFD"/>
    <w:rsid w:val="3C1614B3"/>
    <w:rsid w:val="3C2C3A0D"/>
    <w:rsid w:val="3C5E13D6"/>
    <w:rsid w:val="3C64489B"/>
    <w:rsid w:val="3C6F006C"/>
    <w:rsid w:val="3C827BF1"/>
    <w:rsid w:val="3C891EA8"/>
    <w:rsid w:val="3C943EB3"/>
    <w:rsid w:val="3CA149F0"/>
    <w:rsid w:val="3CB62ACB"/>
    <w:rsid w:val="3CC173D0"/>
    <w:rsid w:val="3CD23884"/>
    <w:rsid w:val="3D114C10"/>
    <w:rsid w:val="3D1A116E"/>
    <w:rsid w:val="3D372564"/>
    <w:rsid w:val="3D3C0BE1"/>
    <w:rsid w:val="3D4C065F"/>
    <w:rsid w:val="3D4E18F7"/>
    <w:rsid w:val="3D6435C4"/>
    <w:rsid w:val="3D6C632D"/>
    <w:rsid w:val="3D87287F"/>
    <w:rsid w:val="3D887D56"/>
    <w:rsid w:val="3D8F4E2B"/>
    <w:rsid w:val="3D9413EE"/>
    <w:rsid w:val="3D9668EA"/>
    <w:rsid w:val="3DAA3D38"/>
    <w:rsid w:val="3DB70C10"/>
    <w:rsid w:val="3DBC54A9"/>
    <w:rsid w:val="3DCF2A16"/>
    <w:rsid w:val="3DCF34F4"/>
    <w:rsid w:val="3DD2747B"/>
    <w:rsid w:val="3DD6235F"/>
    <w:rsid w:val="3DD84DE7"/>
    <w:rsid w:val="3DDD1152"/>
    <w:rsid w:val="3DDF6E8D"/>
    <w:rsid w:val="3DF379B0"/>
    <w:rsid w:val="3E0C6A7C"/>
    <w:rsid w:val="3E0F4AA6"/>
    <w:rsid w:val="3E2F2B10"/>
    <w:rsid w:val="3E4742FE"/>
    <w:rsid w:val="3E4E2EF3"/>
    <w:rsid w:val="3E671725"/>
    <w:rsid w:val="3E6A42BD"/>
    <w:rsid w:val="3E772188"/>
    <w:rsid w:val="3E7C14F9"/>
    <w:rsid w:val="3E912D31"/>
    <w:rsid w:val="3ED52B94"/>
    <w:rsid w:val="3EDD6834"/>
    <w:rsid w:val="3EF40857"/>
    <w:rsid w:val="3F181D11"/>
    <w:rsid w:val="3F3003F8"/>
    <w:rsid w:val="3F507497"/>
    <w:rsid w:val="3F5D3C95"/>
    <w:rsid w:val="3F633F65"/>
    <w:rsid w:val="3F8C3107"/>
    <w:rsid w:val="3F8F17E1"/>
    <w:rsid w:val="3F943D3B"/>
    <w:rsid w:val="3F952928"/>
    <w:rsid w:val="3F9B3F3C"/>
    <w:rsid w:val="3FB5054F"/>
    <w:rsid w:val="3FC06CA7"/>
    <w:rsid w:val="3FC47462"/>
    <w:rsid w:val="3FC5684D"/>
    <w:rsid w:val="3FC92FD9"/>
    <w:rsid w:val="3FD95CD9"/>
    <w:rsid w:val="3FDD46CB"/>
    <w:rsid w:val="3FF91E91"/>
    <w:rsid w:val="3FFE7EC0"/>
    <w:rsid w:val="40002FA5"/>
    <w:rsid w:val="4003428B"/>
    <w:rsid w:val="400A4234"/>
    <w:rsid w:val="402756C8"/>
    <w:rsid w:val="4029600D"/>
    <w:rsid w:val="40311B15"/>
    <w:rsid w:val="403C0249"/>
    <w:rsid w:val="404726F5"/>
    <w:rsid w:val="405B1A75"/>
    <w:rsid w:val="40691F70"/>
    <w:rsid w:val="40702B76"/>
    <w:rsid w:val="40882E6C"/>
    <w:rsid w:val="40AD0D47"/>
    <w:rsid w:val="40C45242"/>
    <w:rsid w:val="40D8634D"/>
    <w:rsid w:val="40DA2F23"/>
    <w:rsid w:val="40EE53E4"/>
    <w:rsid w:val="40F94425"/>
    <w:rsid w:val="41165B4F"/>
    <w:rsid w:val="413E1696"/>
    <w:rsid w:val="414B0EC9"/>
    <w:rsid w:val="415816BB"/>
    <w:rsid w:val="415B14B5"/>
    <w:rsid w:val="41AC54EC"/>
    <w:rsid w:val="41CD1C04"/>
    <w:rsid w:val="41CE34E5"/>
    <w:rsid w:val="41CF1A4E"/>
    <w:rsid w:val="41FE7695"/>
    <w:rsid w:val="421C5F77"/>
    <w:rsid w:val="42451AD3"/>
    <w:rsid w:val="424875DA"/>
    <w:rsid w:val="425C120A"/>
    <w:rsid w:val="426D38DB"/>
    <w:rsid w:val="426F0B0E"/>
    <w:rsid w:val="42872932"/>
    <w:rsid w:val="42883C37"/>
    <w:rsid w:val="42936744"/>
    <w:rsid w:val="42B5497B"/>
    <w:rsid w:val="42BB7828"/>
    <w:rsid w:val="42BC06BC"/>
    <w:rsid w:val="42C2502C"/>
    <w:rsid w:val="42DD6738"/>
    <w:rsid w:val="42ED4EC4"/>
    <w:rsid w:val="42ED5B59"/>
    <w:rsid w:val="42F23148"/>
    <w:rsid w:val="430979ED"/>
    <w:rsid w:val="431607FB"/>
    <w:rsid w:val="432C043C"/>
    <w:rsid w:val="43394D37"/>
    <w:rsid w:val="433B2643"/>
    <w:rsid w:val="43483860"/>
    <w:rsid w:val="434F0B77"/>
    <w:rsid w:val="4351367F"/>
    <w:rsid w:val="4379059E"/>
    <w:rsid w:val="43793E36"/>
    <w:rsid w:val="438F5009"/>
    <w:rsid w:val="43960663"/>
    <w:rsid w:val="439F1C45"/>
    <w:rsid w:val="43B35551"/>
    <w:rsid w:val="43B75C31"/>
    <w:rsid w:val="43CE0E1B"/>
    <w:rsid w:val="43CF0737"/>
    <w:rsid w:val="43E90179"/>
    <w:rsid w:val="43FF456A"/>
    <w:rsid w:val="44216B4B"/>
    <w:rsid w:val="44285DD1"/>
    <w:rsid w:val="443F5506"/>
    <w:rsid w:val="4449023B"/>
    <w:rsid w:val="444D43E8"/>
    <w:rsid w:val="44501E1F"/>
    <w:rsid w:val="445F7976"/>
    <w:rsid w:val="446232EA"/>
    <w:rsid w:val="446A3B54"/>
    <w:rsid w:val="447446DC"/>
    <w:rsid w:val="44783B45"/>
    <w:rsid w:val="447D749D"/>
    <w:rsid w:val="448333B9"/>
    <w:rsid w:val="44896BFF"/>
    <w:rsid w:val="448A7E6C"/>
    <w:rsid w:val="449737E0"/>
    <w:rsid w:val="44BD7D62"/>
    <w:rsid w:val="44C63248"/>
    <w:rsid w:val="44CB6305"/>
    <w:rsid w:val="44E90F29"/>
    <w:rsid w:val="44E97F15"/>
    <w:rsid w:val="44F97F66"/>
    <w:rsid w:val="45051B04"/>
    <w:rsid w:val="45107FB9"/>
    <w:rsid w:val="4523357B"/>
    <w:rsid w:val="45316114"/>
    <w:rsid w:val="4534481C"/>
    <w:rsid w:val="454469F9"/>
    <w:rsid w:val="45500C9E"/>
    <w:rsid w:val="45501B97"/>
    <w:rsid w:val="45643158"/>
    <w:rsid w:val="45704895"/>
    <w:rsid w:val="45764F95"/>
    <w:rsid w:val="457A148F"/>
    <w:rsid w:val="45844073"/>
    <w:rsid w:val="4596602D"/>
    <w:rsid w:val="45AE0F60"/>
    <w:rsid w:val="45B340D9"/>
    <w:rsid w:val="45BB49F3"/>
    <w:rsid w:val="45CB4754"/>
    <w:rsid w:val="45E23127"/>
    <w:rsid w:val="45F33AA2"/>
    <w:rsid w:val="46116BA5"/>
    <w:rsid w:val="46135C8B"/>
    <w:rsid w:val="461E7E5B"/>
    <w:rsid w:val="46387B5D"/>
    <w:rsid w:val="463C7400"/>
    <w:rsid w:val="464573E8"/>
    <w:rsid w:val="464D1E82"/>
    <w:rsid w:val="466013C5"/>
    <w:rsid w:val="468849EF"/>
    <w:rsid w:val="468A2E8C"/>
    <w:rsid w:val="468B797F"/>
    <w:rsid w:val="468F428C"/>
    <w:rsid w:val="469C5A0C"/>
    <w:rsid w:val="46BB2067"/>
    <w:rsid w:val="46E14B89"/>
    <w:rsid w:val="46F57B1D"/>
    <w:rsid w:val="46FD4105"/>
    <w:rsid w:val="47072195"/>
    <w:rsid w:val="4719792B"/>
    <w:rsid w:val="47376772"/>
    <w:rsid w:val="473C2A7F"/>
    <w:rsid w:val="474471F4"/>
    <w:rsid w:val="474F0760"/>
    <w:rsid w:val="47575373"/>
    <w:rsid w:val="47724D24"/>
    <w:rsid w:val="47820007"/>
    <w:rsid w:val="478C26EF"/>
    <w:rsid w:val="478D7730"/>
    <w:rsid w:val="47954216"/>
    <w:rsid w:val="47956F85"/>
    <w:rsid w:val="47983EBA"/>
    <w:rsid w:val="47A71ADE"/>
    <w:rsid w:val="47AB7002"/>
    <w:rsid w:val="47B248A7"/>
    <w:rsid w:val="47BA55BB"/>
    <w:rsid w:val="47BA62E1"/>
    <w:rsid w:val="47BE7D85"/>
    <w:rsid w:val="47C90A71"/>
    <w:rsid w:val="47CA62D8"/>
    <w:rsid w:val="47CD35ED"/>
    <w:rsid w:val="47CE6CE7"/>
    <w:rsid w:val="47D46A5A"/>
    <w:rsid w:val="47E442B8"/>
    <w:rsid w:val="48012FA0"/>
    <w:rsid w:val="48087BDA"/>
    <w:rsid w:val="480F3623"/>
    <w:rsid w:val="481B5FD3"/>
    <w:rsid w:val="48284AC3"/>
    <w:rsid w:val="48360268"/>
    <w:rsid w:val="48364DF3"/>
    <w:rsid w:val="483A61F4"/>
    <w:rsid w:val="483D18E2"/>
    <w:rsid w:val="483F667B"/>
    <w:rsid w:val="4844536A"/>
    <w:rsid w:val="48481AF4"/>
    <w:rsid w:val="484A143C"/>
    <w:rsid w:val="48572C26"/>
    <w:rsid w:val="486E44F0"/>
    <w:rsid w:val="486F526A"/>
    <w:rsid w:val="48742F68"/>
    <w:rsid w:val="488E20E8"/>
    <w:rsid w:val="48CD723F"/>
    <w:rsid w:val="48EA49F9"/>
    <w:rsid w:val="48F57DFF"/>
    <w:rsid w:val="48FC672D"/>
    <w:rsid w:val="492A07DE"/>
    <w:rsid w:val="492B7723"/>
    <w:rsid w:val="492E2172"/>
    <w:rsid w:val="492F2E4B"/>
    <w:rsid w:val="49452979"/>
    <w:rsid w:val="496C2F01"/>
    <w:rsid w:val="49707518"/>
    <w:rsid w:val="49951F46"/>
    <w:rsid w:val="49AE4C07"/>
    <w:rsid w:val="49AE7CE7"/>
    <w:rsid w:val="49B52386"/>
    <w:rsid w:val="49B762A1"/>
    <w:rsid w:val="49E22621"/>
    <w:rsid w:val="49E94A68"/>
    <w:rsid w:val="49EB0A1F"/>
    <w:rsid w:val="49ED1287"/>
    <w:rsid w:val="49FD55D0"/>
    <w:rsid w:val="49FF3D0C"/>
    <w:rsid w:val="4A073AD2"/>
    <w:rsid w:val="4A094D9D"/>
    <w:rsid w:val="4A462D6E"/>
    <w:rsid w:val="4A474C89"/>
    <w:rsid w:val="4A4C5CF6"/>
    <w:rsid w:val="4A693B47"/>
    <w:rsid w:val="4A7242BC"/>
    <w:rsid w:val="4A800520"/>
    <w:rsid w:val="4A895988"/>
    <w:rsid w:val="4A915FE5"/>
    <w:rsid w:val="4A986E6F"/>
    <w:rsid w:val="4AA3188B"/>
    <w:rsid w:val="4AA8710A"/>
    <w:rsid w:val="4AB35A52"/>
    <w:rsid w:val="4ADC085D"/>
    <w:rsid w:val="4ADF1400"/>
    <w:rsid w:val="4AF6728D"/>
    <w:rsid w:val="4AF9400F"/>
    <w:rsid w:val="4B360D4E"/>
    <w:rsid w:val="4B3B1EFC"/>
    <w:rsid w:val="4B3C24D4"/>
    <w:rsid w:val="4B4158E7"/>
    <w:rsid w:val="4B4675BC"/>
    <w:rsid w:val="4B4B6C02"/>
    <w:rsid w:val="4B4F5E83"/>
    <w:rsid w:val="4B555E6A"/>
    <w:rsid w:val="4B584A81"/>
    <w:rsid w:val="4BB65FA3"/>
    <w:rsid w:val="4BB970E7"/>
    <w:rsid w:val="4BC230D9"/>
    <w:rsid w:val="4BCE49FB"/>
    <w:rsid w:val="4BD146C3"/>
    <w:rsid w:val="4BEC31B7"/>
    <w:rsid w:val="4BF01A79"/>
    <w:rsid w:val="4C0F7955"/>
    <w:rsid w:val="4C160148"/>
    <w:rsid w:val="4C2E31A9"/>
    <w:rsid w:val="4C2F11A5"/>
    <w:rsid w:val="4C3420E3"/>
    <w:rsid w:val="4C497D7F"/>
    <w:rsid w:val="4C4A6357"/>
    <w:rsid w:val="4C5A6D39"/>
    <w:rsid w:val="4C5B13AB"/>
    <w:rsid w:val="4C7A3EE5"/>
    <w:rsid w:val="4C856846"/>
    <w:rsid w:val="4C9F7513"/>
    <w:rsid w:val="4CB538CD"/>
    <w:rsid w:val="4CE0222C"/>
    <w:rsid w:val="4CE13531"/>
    <w:rsid w:val="4CE6089F"/>
    <w:rsid w:val="4CF6116C"/>
    <w:rsid w:val="4D0732C0"/>
    <w:rsid w:val="4D0974E9"/>
    <w:rsid w:val="4D0A53E4"/>
    <w:rsid w:val="4D0F1B50"/>
    <w:rsid w:val="4D1328FC"/>
    <w:rsid w:val="4D2141E9"/>
    <w:rsid w:val="4D387B17"/>
    <w:rsid w:val="4D4D4D19"/>
    <w:rsid w:val="4D4E76AB"/>
    <w:rsid w:val="4D832030"/>
    <w:rsid w:val="4DCC56D3"/>
    <w:rsid w:val="4DCD7164"/>
    <w:rsid w:val="4DD362F4"/>
    <w:rsid w:val="4DE97EFD"/>
    <w:rsid w:val="4DFD1FFC"/>
    <w:rsid w:val="4E13750E"/>
    <w:rsid w:val="4E2F04E0"/>
    <w:rsid w:val="4E407D02"/>
    <w:rsid w:val="4E6E3FBD"/>
    <w:rsid w:val="4E7D54D1"/>
    <w:rsid w:val="4E811839"/>
    <w:rsid w:val="4E886CF6"/>
    <w:rsid w:val="4E966219"/>
    <w:rsid w:val="4EAC60B4"/>
    <w:rsid w:val="4EB9262C"/>
    <w:rsid w:val="4EBE3845"/>
    <w:rsid w:val="4EC1071B"/>
    <w:rsid w:val="4EDB28AC"/>
    <w:rsid w:val="4EEC3808"/>
    <w:rsid w:val="4EF460F6"/>
    <w:rsid w:val="4EF64306"/>
    <w:rsid w:val="4F006F0A"/>
    <w:rsid w:val="4F026F7F"/>
    <w:rsid w:val="4F1F027E"/>
    <w:rsid w:val="4F3B5999"/>
    <w:rsid w:val="4F4B738B"/>
    <w:rsid w:val="4F660CD1"/>
    <w:rsid w:val="4F8C68D4"/>
    <w:rsid w:val="4F8F3DC3"/>
    <w:rsid w:val="4FB26B28"/>
    <w:rsid w:val="4FBB1559"/>
    <w:rsid w:val="4FC13DA1"/>
    <w:rsid w:val="4FC92C84"/>
    <w:rsid w:val="4FD75865"/>
    <w:rsid w:val="4FD82961"/>
    <w:rsid w:val="4FDE27A0"/>
    <w:rsid w:val="4FFA731A"/>
    <w:rsid w:val="502D453C"/>
    <w:rsid w:val="5037605F"/>
    <w:rsid w:val="50465844"/>
    <w:rsid w:val="50672A43"/>
    <w:rsid w:val="507B28EC"/>
    <w:rsid w:val="50AB0AA0"/>
    <w:rsid w:val="50B04721"/>
    <w:rsid w:val="50B119C1"/>
    <w:rsid w:val="50C75FB2"/>
    <w:rsid w:val="50EF2D57"/>
    <w:rsid w:val="50F62307"/>
    <w:rsid w:val="50FC6E7E"/>
    <w:rsid w:val="51171EC6"/>
    <w:rsid w:val="511E5A4C"/>
    <w:rsid w:val="51207E27"/>
    <w:rsid w:val="51400981"/>
    <w:rsid w:val="514109A6"/>
    <w:rsid w:val="51472B45"/>
    <w:rsid w:val="51564440"/>
    <w:rsid w:val="51635294"/>
    <w:rsid w:val="51744E62"/>
    <w:rsid w:val="5174646D"/>
    <w:rsid w:val="51785B9E"/>
    <w:rsid w:val="517B3D9A"/>
    <w:rsid w:val="51880281"/>
    <w:rsid w:val="51944665"/>
    <w:rsid w:val="519D6372"/>
    <w:rsid w:val="51A9549E"/>
    <w:rsid w:val="51AA1F93"/>
    <w:rsid w:val="51B40AD7"/>
    <w:rsid w:val="51CF7E46"/>
    <w:rsid w:val="51D15047"/>
    <w:rsid w:val="51E342F0"/>
    <w:rsid w:val="51F837D1"/>
    <w:rsid w:val="520603DE"/>
    <w:rsid w:val="522A4FCA"/>
    <w:rsid w:val="52423420"/>
    <w:rsid w:val="52690D98"/>
    <w:rsid w:val="52792D28"/>
    <w:rsid w:val="5296324A"/>
    <w:rsid w:val="52C00A8E"/>
    <w:rsid w:val="52C861B5"/>
    <w:rsid w:val="52C93041"/>
    <w:rsid w:val="52CB11FB"/>
    <w:rsid w:val="52E06909"/>
    <w:rsid w:val="52E65AB1"/>
    <w:rsid w:val="52FD167C"/>
    <w:rsid w:val="5300014E"/>
    <w:rsid w:val="53117170"/>
    <w:rsid w:val="53182E70"/>
    <w:rsid w:val="53263B4D"/>
    <w:rsid w:val="53516FF9"/>
    <w:rsid w:val="535B7AFB"/>
    <w:rsid w:val="5376581B"/>
    <w:rsid w:val="537C4D73"/>
    <w:rsid w:val="537F012E"/>
    <w:rsid w:val="538F4B2E"/>
    <w:rsid w:val="53A072A3"/>
    <w:rsid w:val="53A7412F"/>
    <w:rsid w:val="53B557CD"/>
    <w:rsid w:val="53C35A9B"/>
    <w:rsid w:val="53E943EF"/>
    <w:rsid w:val="53FA1BF4"/>
    <w:rsid w:val="54076A65"/>
    <w:rsid w:val="542078EF"/>
    <w:rsid w:val="542742CB"/>
    <w:rsid w:val="543B00DA"/>
    <w:rsid w:val="54505A70"/>
    <w:rsid w:val="546B34F8"/>
    <w:rsid w:val="54776EC7"/>
    <w:rsid w:val="548549A1"/>
    <w:rsid w:val="54AA04FA"/>
    <w:rsid w:val="54C039E5"/>
    <w:rsid w:val="54DD1EEC"/>
    <w:rsid w:val="54E2491B"/>
    <w:rsid w:val="54E838DC"/>
    <w:rsid w:val="551B736A"/>
    <w:rsid w:val="551E3DB6"/>
    <w:rsid w:val="55355E0E"/>
    <w:rsid w:val="55365B23"/>
    <w:rsid w:val="554C460F"/>
    <w:rsid w:val="55567089"/>
    <w:rsid w:val="55571B81"/>
    <w:rsid w:val="555C11F5"/>
    <w:rsid w:val="555F1287"/>
    <w:rsid w:val="55A80497"/>
    <w:rsid w:val="55AB1085"/>
    <w:rsid w:val="55B13093"/>
    <w:rsid w:val="55B901ED"/>
    <w:rsid w:val="55EC321D"/>
    <w:rsid w:val="55F95F7A"/>
    <w:rsid w:val="560E218C"/>
    <w:rsid w:val="560E26A8"/>
    <w:rsid w:val="56271A3D"/>
    <w:rsid w:val="562F1735"/>
    <w:rsid w:val="564F3BC9"/>
    <w:rsid w:val="565768BA"/>
    <w:rsid w:val="5668011B"/>
    <w:rsid w:val="56A0764A"/>
    <w:rsid w:val="56AE318E"/>
    <w:rsid w:val="56B0373D"/>
    <w:rsid w:val="56BD3C40"/>
    <w:rsid w:val="56C7110A"/>
    <w:rsid w:val="56D107A8"/>
    <w:rsid w:val="56DC178D"/>
    <w:rsid w:val="56E12996"/>
    <w:rsid w:val="570C440C"/>
    <w:rsid w:val="572312F3"/>
    <w:rsid w:val="57351D81"/>
    <w:rsid w:val="57420238"/>
    <w:rsid w:val="574A13DD"/>
    <w:rsid w:val="575823DC"/>
    <w:rsid w:val="57592421"/>
    <w:rsid w:val="5765294B"/>
    <w:rsid w:val="579D4C50"/>
    <w:rsid w:val="57B851B7"/>
    <w:rsid w:val="57BC23A1"/>
    <w:rsid w:val="57D35754"/>
    <w:rsid w:val="57EB137D"/>
    <w:rsid w:val="57F347D8"/>
    <w:rsid w:val="58333EC8"/>
    <w:rsid w:val="583F5307"/>
    <w:rsid w:val="584068A0"/>
    <w:rsid w:val="584B5206"/>
    <w:rsid w:val="585F5096"/>
    <w:rsid w:val="586B0F9F"/>
    <w:rsid w:val="587902B5"/>
    <w:rsid w:val="587C3438"/>
    <w:rsid w:val="58904C9C"/>
    <w:rsid w:val="58A545FC"/>
    <w:rsid w:val="58E72AE7"/>
    <w:rsid w:val="58F46F15"/>
    <w:rsid w:val="5905445E"/>
    <w:rsid w:val="59317F1E"/>
    <w:rsid w:val="593F08A5"/>
    <w:rsid w:val="59632AE9"/>
    <w:rsid w:val="59646D08"/>
    <w:rsid w:val="59655F0E"/>
    <w:rsid w:val="59697B34"/>
    <w:rsid w:val="5972245C"/>
    <w:rsid w:val="59761B78"/>
    <w:rsid w:val="598D51A4"/>
    <w:rsid w:val="599D4259"/>
    <w:rsid w:val="599F15D6"/>
    <w:rsid w:val="59B9306D"/>
    <w:rsid w:val="5A090793"/>
    <w:rsid w:val="5A220DC2"/>
    <w:rsid w:val="5A2A502D"/>
    <w:rsid w:val="5A4E7D2E"/>
    <w:rsid w:val="5A513FF3"/>
    <w:rsid w:val="5A542E7A"/>
    <w:rsid w:val="5A6B011D"/>
    <w:rsid w:val="5A6D1419"/>
    <w:rsid w:val="5A6F4C71"/>
    <w:rsid w:val="5A7F509A"/>
    <w:rsid w:val="5A863CB4"/>
    <w:rsid w:val="5A8B5C76"/>
    <w:rsid w:val="5A97377A"/>
    <w:rsid w:val="5AAE4B9D"/>
    <w:rsid w:val="5AC06211"/>
    <w:rsid w:val="5AC85246"/>
    <w:rsid w:val="5ACB7804"/>
    <w:rsid w:val="5AD0745D"/>
    <w:rsid w:val="5AD3367F"/>
    <w:rsid w:val="5AD84F59"/>
    <w:rsid w:val="5AEC0966"/>
    <w:rsid w:val="5AED3B83"/>
    <w:rsid w:val="5B0D5CEF"/>
    <w:rsid w:val="5B291F55"/>
    <w:rsid w:val="5B551DD7"/>
    <w:rsid w:val="5B581382"/>
    <w:rsid w:val="5B6509E5"/>
    <w:rsid w:val="5B667CDE"/>
    <w:rsid w:val="5B673850"/>
    <w:rsid w:val="5B6F17D1"/>
    <w:rsid w:val="5B710AA2"/>
    <w:rsid w:val="5B79457C"/>
    <w:rsid w:val="5B7A24DA"/>
    <w:rsid w:val="5B902958"/>
    <w:rsid w:val="5BA16563"/>
    <w:rsid w:val="5BB256CB"/>
    <w:rsid w:val="5BC64E63"/>
    <w:rsid w:val="5BED07EA"/>
    <w:rsid w:val="5BF75CE5"/>
    <w:rsid w:val="5BFD2EE4"/>
    <w:rsid w:val="5C051DB0"/>
    <w:rsid w:val="5C080F5E"/>
    <w:rsid w:val="5C1342F8"/>
    <w:rsid w:val="5C5F5479"/>
    <w:rsid w:val="5C6D24D1"/>
    <w:rsid w:val="5C901728"/>
    <w:rsid w:val="5CA71E5C"/>
    <w:rsid w:val="5CF24C0B"/>
    <w:rsid w:val="5D247600"/>
    <w:rsid w:val="5D350F25"/>
    <w:rsid w:val="5D461DE8"/>
    <w:rsid w:val="5D4A409A"/>
    <w:rsid w:val="5D4B2146"/>
    <w:rsid w:val="5D51609D"/>
    <w:rsid w:val="5D67589A"/>
    <w:rsid w:val="5D7B3DBD"/>
    <w:rsid w:val="5D8364F3"/>
    <w:rsid w:val="5D866E62"/>
    <w:rsid w:val="5DA04695"/>
    <w:rsid w:val="5DA060EA"/>
    <w:rsid w:val="5DA32190"/>
    <w:rsid w:val="5DA615A8"/>
    <w:rsid w:val="5DAF31AD"/>
    <w:rsid w:val="5DC33B33"/>
    <w:rsid w:val="5DDF6E12"/>
    <w:rsid w:val="5DE26C0E"/>
    <w:rsid w:val="5DE566DC"/>
    <w:rsid w:val="5DFB15CD"/>
    <w:rsid w:val="5DFC53BA"/>
    <w:rsid w:val="5E0947D1"/>
    <w:rsid w:val="5E2036E3"/>
    <w:rsid w:val="5E2D2846"/>
    <w:rsid w:val="5E2E44FF"/>
    <w:rsid w:val="5E394E72"/>
    <w:rsid w:val="5E3968E0"/>
    <w:rsid w:val="5E3E6E2C"/>
    <w:rsid w:val="5E415D80"/>
    <w:rsid w:val="5E5A41E8"/>
    <w:rsid w:val="5E746B7E"/>
    <w:rsid w:val="5E82030A"/>
    <w:rsid w:val="5E844F4E"/>
    <w:rsid w:val="5E8836AF"/>
    <w:rsid w:val="5E931C3D"/>
    <w:rsid w:val="5EB14F51"/>
    <w:rsid w:val="5EB475D8"/>
    <w:rsid w:val="5EB757F1"/>
    <w:rsid w:val="5EC04B4D"/>
    <w:rsid w:val="5ECC6ED2"/>
    <w:rsid w:val="5ED15932"/>
    <w:rsid w:val="5EE17738"/>
    <w:rsid w:val="5EE20336"/>
    <w:rsid w:val="5EF05338"/>
    <w:rsid w:val="5EFF3430"/>
    <w:rsid w:val="5EFF40C9"/>
    <w:rsid w:val="5F2B481E"/>
    <w:rsid w:val="5F306DA7"/>
    <w:rsid w:val="5F33240F"/>
    <w:rsid w:val="5F4E536E"/>
    <w:rsid w:val="5F550DA3"/>
    <w:rsid w:val="5F5D414E"/>
    <w:rsid w:val="5F610503"/>
    <w:rsid w:val="5F7078E4"/>
    <w:rsid w:val="5F8261BE"/>
    <w:rsid w:val="5FB31174"/>
    <w:rsid w:val="5FB478FF"/>
    <w:rsid w:val="5FC63477"/>
    <w:rsid w:val="5FD23794"/>
    <w:rsid w:val="60031CA7"/>
    <w:rsid w:val="602473D5"/>
    <w:rsid w:val="60484173"/>
    <w:rsid w:val="605C0F36"/>
    <w:rsid w:val="605F50BB"/>
    <w:rsid w:val="60786F09"/>
    <w:rsid w:val="609008D7"/>
    <w:rsid w:val="60953E19"/>
    <w:rsid w:val="60B430E0"/>
    <w:rsid w:val="60B61C2B"/>
    <w:rsid w:val="60B96019"/>
    <w:rsid w:val="60BB2412"/>
    <w:rsid w:val="60CC5C2C"/>
    <w:rsid w:val="60DA1CD1"/>
    <w:rsid w:val="60DB77BD"/>
    <w:rsid w:val="60E57240"/>
    <w:rsid w:val="60FA18B8"/>
    <w:rsid w:val="60FF4446"/>
    <w:rsid w:val="610278EA"/>
    <w:rsid w:val="6107183D"/>
    <w:rsid w:val="610A12D0"/>
    <w:rsid w:val="610D2CC1"/>
    <w:rsid w:val="61114623"/>
    <w:rsid w:val="611767A2"/>
    <w:rsid w:val="611E7305"/>
    <w:rsid w:val="613245AC"/>
    <w:rsid w:val="61423CB7"/>
    <w:rsid w:val="614B123F"/>
    <w:rsid w:val="61633E16"/>
    <w:rsid w:val="61AF3280"/>
    <w:rsid w:val="61DB7677"/>
    <w:rsid w:val="61E97DB0"/>
    <w:rsid w:val="61EA78B2"/>
    <w:rsid w:val="61F54B0E"/>
    <w:rsid w:val="620B7B6C"/>
    <w:rsid w:val="620C27CC"/>
    <w:rsid w:val="621B46DF"/>
    <w:rsid w:val="621E0D0C"/>
    <w:rsid w:val="62207DBC"/>
    <w:rsid w:val="623951B5"/>
    <w:rsid w:val="628F325B"/>
    <w:rsid w:val="62A34AE2"/>
    <w:rsid w:val="62AE0C62"/>
    <w:rsid w:val="62D548A1"/>
    <w:rsid w:val="62F37D50"/>
    <w:rsid w:val="62FB7EA1"/>
    <w:rsid w:val="62FE2766"/>
    <w:rsid w:val="630E11BA"/>
    <w:rsid w:val="63194A7D"/>
    <w:rsid w:val="631D6ACB"/>
    <w:rsid w:val="63392A57"/>
    <w:rsid w:val="635E5A92"/>
    <w:rsid w:val="636635AE"/>
    <w:rsid w:val="637242A9"/>
    <w:rsid w:val="63872FC3"/>
    <w:rsid w:val="63BE1C9B"/>
    <w:rsid w:val="63C90E34"/>
    <w:rsid w:val="63CA1879"/>
    <w:rsid w:val="63CA29B6"/>
    <w:rsid w:val="63E73A40"/>
    <w:rsid w:val="640A61B2"/>
    <w:rsid w:val="64264962"/>
    <w:rsid w:val="6430556D"/>
    <w:rsid w:val="6451257B"/>
    <w:rsid w:val="645E5DB3"/>
    <w:rsid w:val="649D4C85"/>
    <w:rsid w:val="64AC5D5B"/>
    <w:rsid w:val="64C502C8"/>
    <w:rsid w:val="64C64EF2"/>
    <w:rsid w:val="64D2615B"/>
    <w:rsid w:val="64D34CD7"/>
    <w:rsid w:val="64D77899"/>
    <w:rsid w:val="64F84503"/>
    <w:rsid w:val="64FB22CE"/>
    <w:rsid w:val="64FE3CA6"/>
    <w:rsid w:val="65026177"/>
    <w:rsid w:val="65027FB1"/>
    <w:rsid w:val="650326BD"/>
    <w:rsid w:val="65072197"/>
    <w:rsid w:val="65076AA5"/>
    <w:rsid w:val="653760C8"/>
    <w:rsid w:val="653C7D75"/>
    <w:rsid w:val="65531C5D"/>
    <w:rsid w:val="65651885"/>
    <w:rsid w:val="656817BC"/>
    <w:rsid w:val="656868EF"/>
    <w:rsid w:val="656A498D"/>
    <w:rsid w:val="658D1A78"/>
    <w:rsid w:val="659975A1"/>
    <w:rsid w:val="65A166C8"/>
    <w:rsid w:val="65C161C9"/>
    <w:rsid w:val="65C4402E"/>
    <w:rsid w:val="65C55790"/>
    <w:rsid w:val="65C7590E"/>
    <w:rsid w:val="65D01048"/>
    <w:rsid w:val="65E3029C"/>
    <w:rsid w:val="65EC1B44"/>
    <w:rsid w:val="65FE1D4B"/>
    <w:rsid w:val="66102D68"/>
    <w:rsid w:val="6616351F"/>
    <w:rsid w:val="664C2976"/>
    <w:rsid w:val="664F6749"/>
    <w:rsid w:val="665B1FEC"/>
    <w:rsid w:val="666E2176"/>
    <w:rsid w:val="667600B8"/>
    <w:rsid w:val="668A7E1B"/>
    <w:rsid w:val="6696561A"/>
    <w:rsid w:val="669A3AA7"/>
    <w:rsid w:val="669C4EA5"/>
    <w:rsid w:val="66D20343"/>
    <w:rsid w:val="66E210D7"/>
    <w:rsid w:val="671F4C3D"/>
    <w:rsid w:val="672D548D"/>
    <w:rsid w:val="6731631F"/>
    <w:rsid w:val="6733751D"/>
    <w:rsid w:val="67565B78"/>
    <w:rsid w:val="676E1A23"/>
    <w:rsid w:val="679113E9"/>
    <w:rsid w:val="67A13ECC"/>
    <w:rsid w:val="67B30DE3"/>
    <w:rsid w:val="67B66CE6"/>
    <w:rsid w:val="67BB1BA5"/>
    <w:rsid w:val="67D17626"/>
    <w:rsid w:val="67F00A63"/>
    <w:rsid w:val="67F14C93"/>
    <w:rsid w:val="67F804B8"/>
    <w:rsid w:val="68191370"/>
    <w:rsid w:val="68192A62"/>
    <w:rsid w:val="682E24D1"/>
    <w:rsid w:val="68363C6D"/>
    <w:rsid w:val="683F3588"/>
    <w:rsid w:val="68431C17"/>
    <w:rsid w:val="6845686E"/>
    <w:rsid w:val="684A3153"/>
    <w:rsid w:val="684D4420"/>
    <w:rsid w:val="68500530"/>
    <w:rsid w:val="68641E84"/>
    <w:rsid w:val="686F590D"/>
    <w:rsid w:val="686F5A3D"/>
    <w:rsid w:val="68767163"/>
    <w:rsid w:val="688137B3"/>
    <w:rsid w:val="6886630B"/>
    <w:rsid w:val="68870636"/>
    <w:rsid w:val="68B93C08"/>
    <w:rsid w:val="68BA0BA8"/>
    <w:rsid w:val="68C26609"/>
    <w:rsid w:val="68E62F92"/>
    <w:rsid w:val="68FD458D"/>
    <w:rsid w:val="691B4CD4"/>
    <w:rsid w:val="69232287"/>
    <w:rsid w:val="69527625"/>
    <w:rsid w:val="695D784E"/>
    <w:rsid w:val="696302C1"/>
    <w:rsid w:val="69705FF1"/>
    <w:rsid w:val="698718B2"/>
    <w:rsid w:val="69C53915"/>
    <w:rsid w:val="69C6564D"/>
    <w:rsid w:val="69E1177C"/>
    <w:rsid w:val="69E31E2C"/>
    <w:rsid w:val="69EE2E38"/>
    <w:rsid w:val="6A0E2A85"/>
    <w:rsid w:val="6A24320F"/>
    <w:rsid w:val="6A3D0467"/>
    <w:rsid w:val="6A3F62AD"/>
    <w:rsid w:val="6A48070B"/>
    <w:rsid w:val="6A5357C0"/>
    <w:rsid w:val="6A561BDF"/>
    <w:rsid w:val="6A873F79"/>
    <w:rsid w:val="6A8E2D73"/>
    <w:rsid w:val="6AE42BCF"/>
    <w:rsid w:val="6AE4798A"/>
    <w:rsid w:val="6AF85CA8"/>
    <w:rsid w:val="6AFA743B"/>
    <w:rsid w:val="6B1C78C5"/>
    <w:rsid w:val="6B2032A9"/>
    <w:rsid w:val="6B225676"/>
    <w:rsid w:val="6B2C64CF"/>
    <w:rsid w:val="6B332C21"/>
    <w:rsid w:val="6B4D2C6A"/>
    <w:rsid w:val="6B4D64B6"/>
    <w:rsid w:val="6B6850E9"/>
    <w:rsid w:val="6B6907AA"/>
    <w:rsid w:val="6B6E7B4C"/>
    <w:rsid w:val="6B7851FB"/>
    <w:rsid w:val="6B885FA7"/>
    <w:rsid w:val="6B895614"/>
    <w:rsid w:val="6B90613E"/>
    <w:rsid w:val="6B9204DE"/>
    <w:rsid w:val="6B9B4E80"/>
    <w:rsid w:val="6BD52A63"/>
    <w:rsid w:val="6C004253"/>
    <w:rsid w:val="6C157B31"/>
    <w:rsid w:val="6C1E7D01"/>
    <w:rsid w:val="6C2830FF"/>
    <w:rsid w:val="6C3B3262"/>
    <w:rsid w:val="6C4F1ECB"/>
    <w:rsid w:val="6C652343"/>
    <w:rsid w:val="6C9B617D"/>
    <w:rsid w:val="6CC71984"/>
    <w:rsid w:val="6CF15A94"/>
    <w:rsid w:val="6D1535AA"/>
    <w:rsid w:val="6D292007"/>
    <w:rsid w:val="6D2D0CCA"/>
    <w:rsid w:val="6D406186"/>
    <w:rsid w:val="6D476ABD"/>
    <w:rsid w:val="6D495E7B"/>
    <w:rsid w:val="6D5118E8"/>
    <w:rsid w:val="6D55513E"/>
    <w:rsid w:val="6D5C484E"/>
    <w:rsid w:val="6D642B67"/>
    <w:rsid w:val="6D6E1B1E"/>
    <w:rsid w:val="6D8141AA"/>
    <w:rsid w:val="6D817A53"/>
    <w:rsid w:val="6D936C28"/>
    <w:rsid w:val="6D9F2E92"/>
    <w:rsid w:val="6DB00C2B"/>
    <w:rsid w:val="6DD94583"/>
    <w:rsid w:val="6DDE1782"/>
    <w:rsid w:val="6DF04CF1"/>
    <w:rsid w:val="6DFC64FD"/>
    <w:rsid w:val="6E1164A3"/>
    <w:rsid w:val="6E8468DA"/>
    <w:rsid w:val="6EA16E48"/>
    <w:rsid w:val="6EA61615"/>
    <w:rsid w:val="6EA834DF"/>
    <w:rsid w:val="6EBC12AB"/>
    <w:rsid w:val="6EF06DAD"/>
    <w:rsid w:val="6F007A3F"/>
    <w:rsid w:val="6F607FE4"/>
    <w:rsid w:val="6F675267"/>
    <w:rsid w:val="6F6D4E06"/>
    <w:rsid w:val="6F7C2ED8"/>
    <w:rsid w:val="6F954F12"/>
    <w:rsid w:val="6F9817A2"/>
    <w:rsid w:val="6FA223F6"/>
    <w:rsid w:val="6FD60E02"/>
    <w:rsid w:val="6FDA4A12"/>
    <w:rsid w:val="6FEC2815"/>
    <w:rsid w:val="70125157"/>
    <w:rsid w:val="70193D56"/>
    <w:rsid w:val="70206203"/>
    <w:rsid w:val="70213C84"/>
    <w:rsid w:val="70287EE3"/>
    <w:rsid w:val="70406CA5"/>
    <w:rsid w:val="706B1940"/>
    <w:rsid w:val="70945899"/>
    <w:rsid w:val="70B1431D"/>
    <w:rsid w:val="70CE5C96"/>
    <w:rsid w:val="70D051C6"/>
    <w:rsid w:val="70E02C07"/>
    <w:rsid w:val="70FA54A1"/>
    <w:rsid w:val="7108009F"/>
    <w:rsid w:val="71161961"/>
    <w:rsid w:val="71165EDA"/>
    <w:rsid w:val="71172549"/>
    <w:rsid w:val="711807E4"/>
    <w:rsid w:val="712449F8"/>
    <w:rsid w:val="713D3F08"/>
    <w:rsid w:val="71426333"/>
    <w:rsid w:val="71516271"/>
    <w:rsid w:val="717E7EFB"/>
    <w:rsid w:val="71986586"/>
    <w:rsid w:val="71AE488C"/>
    <w:rsid w:val="71C773DD"/>
    <w:rsid w:val="71D175F7"/>
    <w:rsid w:val="71EF6CF3"/>
    <w:rsid w:val="72051B9F"/>
    <w:rsid w:val="721A5074"/>
    <w:rsid w:val="72234BC1"/>
    <w:rsid w:val="72263C75"/>
    <w:rsid w:val="72487BA3"/>
    <w:rsid w:val="724A221F"/>
    <w:rsid w:val="724E0039"/>
    <w:rsid w:val="725356E5"/>
    <w:rsid w:val="72667D19"/>
    <w:rsid w:val="728674C2"/>
    <w:rsid w:val="728E18CD"/>
    <w:rsid w:val="72972D83"/>
    <w:rsid w:val="729F6449"/>
    <w:rsid w:val="72A30558"/>
    <w:rsid w:val="72AF4F50"/>
    <w:rsid w:val="72B13451"/>
    <w:rsid w:val="72BA4191"/>
    <w:rsid w:val="72C030F0"/>
    <w:rsid w:val="72CE4E7F"/>
    <w:rsid w:val="72DB2D25"/>
    <w:rsid w:val="72DB562A"/>
    <w:rsid w:val="72F03263"/>
    <w:rsid w:val="730B4065"/>
    <w:rsid w:val="730C4DB0"/>
    <w:rsid w:val="730F3D31"/>
    <w:rsid w:val="732145F1"/>
    <w:rsid w:val="73265B53"/>
    <w:rsid w:val="73347106"/>
    <w:rsid w:val="735D765F"/>
    <w:rsid w:val="736835A5"/>
    <w:rsid w:val="736E566D"/>
    <w:rsid w:val="736F1BCD"/>
    <w:rsid w:val="7384753B"/>
    <w:rsid w:val="73EB06FE"/>
    <w:rsid w:val="73ED030A"/>
    <w:rsid w:val="73ED0EC7"/>
    <w:rsid w:val="73F379AF"/>
    <w:rsid w:val="74001E7B"/>
    <w:rsid w:val="740760EE"/>
    <w:rsid w:val="740C0C71"/>
    <w:rsid w:val="74136CD5"/>
    <w:rsid w:val="74280096"/>
    <w:rsid w:val="74372947"/>
    <w:rsid w:val="74407120"/>
    <w:rsid w:val="7443214A"/>
    <w:rsid w:val="744B2E25"/>
    <w:rsid w:val="745C5273"/>
    <w:rsid w:val="74844260"/>
    <w:rsid w:val="74882D47"/>
    <w:rsid w:val="74897CF6"/>
    <w:rsid w:val="748D473B"/>
    <w:rsid w:val="749F4E39"/>
    <w:rsid w:val="74B23B86"/>
    <w:rsid w:val="74D17D1B"/>
    <w:rsid w:val="74DB683A"/>
    <w:rsid w:val="74E62C58"/>
    <w:rsid w:val="74E63293"/>
    <w:rsid w:val="74F83220"/>
    <w:rsid w:val="750941EA"/>
    <w:rsid w:val="750D4ED8"/>
    <w:rsid w:val="75310B58"/>
    <w:rsid w:val="75504CD9"/>
    <w:rsid w:val="755F2A95"/>
    <w:rsid w:val="756516AB"/>
    <w:rsid w:val="75672750"/>
    <w:rsid w:val="757C3C2A"/>
    <w:rsid w:val="757F58FC"/>
    <w:rsid w:val="75DF0DE4"/>
    <w:rsid w:val="75E31F44"/>
    <w:rsid w:val="75EF6062"/>
    <w:rsid w:val="75F45394"/>
    <w:rsid w:val="75FD6BC3"/>
    <w:rsid w:val="760A0FEB"/>
    <w:rsid w:val="761A2102"/>
    <w:rsid w:val="764C3962"/>
    <w:rsid w:val="765B0BBA"/>
    <w:rsid w:val="766E17DB"/>
    <w:rsid w:val="76720F15"/>
    <w:rsid w:val="76A45A07"/>
    <w:rsid w:val="76A62EE0"/>
    <w:rsid w:val="76C450EA"/>
    <w:rsid w:val="76CA2EAF"/>
    <w:rsid w:val="76ED2535"/>
    <w:rsid w:val="77280D37"/>
    <w:rsid w:val="773D4185"/>
    <w:rsid w:val="774351A2"/>
    <w:rsid w:val="77440389"/>
    <w:rsid w:val="77466653"/>
    <w:rsid w:val="774A4354"/>
    <w:rsid w:val="775E4966"/>
    <w:rsid w:val="77684980"/>
    <w:rsid w:val="778656DA"/>
    <w:rsid w:val="778F7334"/>
    <w:rsid w:val="779415BD"/>
    <w:rsid w:val="779B0879"/>
    <w:rsid w:val="779D6551"/>
    <w:rsid w:val="779F1ABE"/>
    <w:rsid w:val="77A108D3"/>
    <w:rsid w:val="77A51B76"/>
    <w:rsid w:val="77A750A9"/>
    <w:rsid w:val="77AC488C"/>
    <w:rsid w:val="77BC6EFE"/>
    <w:rsid w:val="77C60D40"/>
    <w:rsid w:val="77CD2392"/>
    <w:rsid w:val="77E21659"/>
    <w:rsid w:val="77FF77F0"/>
    <w:rsid w:val="7808157C"/>
    <w:rsid w:val="781432FA"/>
    <w:rsid w:val="78404F59"/>
    <w:rsid w:val="784B54E8"/>
    <w:rsid w:val="784E646D"/>
    <w:rsid w:val="78573CA1"/>
    <w:rsid w:val="78616BB1"/>
    <w:rsid w:val="7863131A"/>
    <w:rsid w:val="786B074B"/>
    <w:rsid w:val="78811E89"/>
    <w:rsid w:val="78AB0D53"/>
    <w:rsid w:val="78C45E47"/>
    <w:rsid w:val="78CD246C"/>
    <w:rsid w:val="78CF22B3"/>
    <w:rsid w:val="78F34B87"/>
    <w:rsid w:val="7908111E"/>
    <w:rsid w:val="790B6F3F"/>
    <w:rsid w:val="7913381D"/>
    <w:rsid w:val="791820E0"/>
    <w:rsid w:val="791F0037"/>
    <w:rsid w:val="792D16E0"/>
    <w:rsid w:val="793909D0"/>
    <w:rsid w:val="79392E27"/>
    <w:rsid w:val="793D798F"/>
    <w:rsid w:val="795C4BE1"/>
    <w:rsid w:val="795D06BE"/>
    <w:rsid w:val="795F20FC"/>
    <w:rsid w:val="798B467F"/>
    <w:rsid w:val="79911621"/>
    <w:rsid w:val="79AE7E06"/>
    <w:rsid w:val="79AF24C2"/>
    <w:rsid w:val="79AF4236"/>
    <w:rsid w:val="79C87946"/>
    <w:rsid w:val="79D6194B"/>
    <w:rsid w:val="79DA05A4"/>
    <w:rsid w:val="79DE6118"/>
    <w:rsid w:val="79E75366"/>
    <w:rsid w:val="79EB6C9D"/>
    <w:rsid w:val="7A212CCB"/>
    <w:rsid w:val="7A2960D9"/>
    <w:rsid w:val="7A3B36EF"/>
    <w:rsid w:val="7A3D307C"/>
    <w:rsid w:val="7A505630"/>
    <w:rsid w:val="7A68637B"/>
    <w:rsid w:val="7A6E3EE9"/>
    <w:rsid w:val="7A797D7D"/>
    <w:rsid w:val="7AA81568"/>
    <w:rsid w:val="7ABE45DA"/>
    <w:rsid w:val="7AD44310"/>
    <w:rsid w:val="7AE24B43"/>
    <w:rsid w:val="7AE6025C"/>
    <w:rsid w:val="7AE77576"/>
    <w:rsid w:val="7AF07C19"/>
    <w:rsid w:val="7AF63990"/>
    <w:rsid w:val="7B0A45F3"/>
    <w:rsid w:val="7B0D0FD5"/>
    <w:rsid w:val="7B446C0D"/>
    <w:rsid w:val="7B4E0D74"/>
    <w:rsid w:val="7B510660"/>
    <w:rsid w:val="7B5F54E9"/>
    <w:rsid w:val="7B6C318F"/>
    <w:rsid w:val="7B707181"/>
    <w:rsid w:val="7B7544F3"/>
    <w:rsid w:val="7B7E057D"/>
    <w:rsid w:val="7B9C6A13"/>
    <w:rsid w:val="7BA5620B"/>
    <w:rsid w:val="7BA848BD"/>
    <w:rsid w:val="7BBB0221"/>
    <w:rsid w:val="7BC12AC0"/>
    <w:rsid w:val="7BC71022"/>
    <w:rsid w:val="7BCB0E2E"/>
    <w:rsid w:val="7BE03EBF"/>
    <w:rsid w:val="7BE72590"/>
    <w:rsid w:val="7C115E3A"/>
    <w:rsid w:val="7C246C64"/>
    <w:rsid w:val="7C294FEA"/>
    <w:rsid w:val="7C4B0FD1"/>
    <w:rsid w:val="7C6164E8"/>
    <w:rsid w:val="7C6B16C4"/>
    <w:rsid w:val="7C993579"/>
    <w:rsid w:val="7CA063DE"/>
    <w:rsid w:val="7CA7288F"/>
    <w:rsid w:val="7CAB6E35"/>
    <w:rsid w:val="7CB07E29"/>
    <w:rsid w:val="7D016819"/>
    <w:rsid w:val="7D032FA8"/>
    <w:rsid w:val="7D1B6F19"/>
    <w:rsid w:val="7D48785E"/>
    <w:rsid w:val="7D4F4018"/>
    <w:rsid w:val="7D5845B0"/>
    <w:rsid w:val="7D9510B1"/>
    <w:rsid w:val="7D994E68"/>
    <w:rsid w:val="7D9F1F62"/>
    <w:rsid w:val="7DBE23F7"/>
    <w:rsid w:val="7DCA7882"/>
    <w:rsid w:val="7DF42531"/>
    <w:rsid w:val="7E0C591E"/>
    <w:rsid w:val="7E121A42"/>
    <w:rsid w:val="7E150F4A"/>
    <w:rsid w:val="7E161214"/>
    <w:rsid w:val="7E347A81"/>
    <w:rsid w:val="7E3D1BC5"/>
    <w:rsid w:val="7E3D7D35"/>
    <w:rsid w:val="7E701D64"/>
    <w:rsid w:val="7E8C03CE"/>
    <w:rsid w:val="7E9A1DC5"/>
    <w:rsid w:val="7EA138B2"/>
    <w:rsid w:val="7EA91618"/>
    <w:rsid w:val="7EA92848"/>
    <w:rsid w:val="7EC06164"/>
    <w:rsid w:val="7ED2429C"/>
    <w:rsid w:val="7EFE2191"/>
    <w:rsid w:val="7F021946"/>
    <w:rsid w:val="7F1C5567"/>
    <w:rsid w:val="7F2705DE"/>
    <w:rsid w:val="7F2B4920"/>
    <w:rsid w:val="7F2C7FA5"/>
    <w:rsid w:val="7F3A01D5"/>
    <w:rsid w:val="7F40233C"/>
    <w:rsid w:val="7F547A55"/>
    <w:rsid w:val="7F560F49"/>
    <w:rsid w:val="7F5E7974"/>
    <w:rsid w:val="7F6A4989"/>
    <w:rsid w:val="7F6E32DD"/>
    <w:rsid w:val="7F957981"/>
    <w:rsid w:val="7FA3227B"/>
    <w:rsid w:val="7FA96067"/>
    <w:rsid w:val="7FAA2416"/>
    <w:rsid w:val="7FAC6A77"/>
    <w:rsid w:val="7FC4066F"/>
    <w:rsid w:val="7FE53196"/>
    <w:rsid w:val="7FFC3C9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iPriority="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楷体_GB2312" w:hAnsi="Times New Roman" w:eastAsia="楷体_GB2312" w:cs="Times New Roman"/>
      <w:kern w:val="2"/>
      <w:sz w:val="24"/>
      <w:lang w:val="en-US" w:eastAsia="zh-CN" w:bidi="ar-SA"/>
    </w:rPr>
  </w:style>
  <w:style w:type="paragraph" w:styleId="2">
    <w:name w:val="heading 1"/>
    <w:basedOn w:val="1"/>
    <w:next w:val="1"/>
    <w:link w:val="43"/>
    <w:qFormat/>
    <w:uiPriority w:val="9"/>
    <w:pPr>
      <w:keepNext/>
      <w:keepLines/>
      <w:numPr>
        <w:ilvl w:val="0"/>
        <w:numId w:val="1"/>
      </w:numPr>
      <w:spacing w:before="100" w:after="100" w:line="360" w:lineRule="auto"/>
      <w:outlineLvl w:val="0"/>
    </w:pPr>
    <w:rPr>
      <w:b/>
      <w:bCs/>
      <w:kern w:val="44"/>
      <w:sz w:val="36"/>
      <w:szCs w:val="44"/>
    </w:rPr>
  </w:style>
  <w:style w:type="paragraph" w:styleId="3">
    <w:name w:val="heading 2"/>
    <w:basedOn w:val="1"/>
    <w:next w:val="1"/>
    <w:link w:val="44"/>
    <w:qFormat/>
    <w:uiPriority w:val="9"/>
    <w:pPr>
      <w:keepNext/>
      <w:keepLines/>
      <w:numPr>
        <w:ilvl w:val="1"/>
        <w:numId w:val="1"/>
      </w:numPr>
      <w:tabs>
        <w:tab w:val="left" w:pos="432"/>
      </w:tabs>
      <w:spacing w:before="100"/>
      <w:outlineLvl w:val="1"/>
    </w:pPr>
    <w:rPr>
      <w:rFonts w:hAnsi="宋体"/>
      <w:b/>
      <w:sz w:val="28"/>
    </w:rPr>
  </w:style>
  <w:style w:type="paragraph" w:styleId="4">
    <w:name w:val="heading 3"/>
    <w:basedOn w:val="1"/>
    <w:next w:val="1"/>
    <w:link w:val="45"/>
    <w:qFormat/>
    <w:uiPriority w:val="9"/>
    <w:pPr>
      <w:keepNext/>
      <w:keepLines/>
      <w:numPr>
        <w:ilvl w:val="2"/>
        <w:numId w:val="1"/>
      </w:numPr>
      <w:tabs>
        <w:tab w:val="left" w:pos="432"/>
      </w:tabs>
      <w:spacing w:before="260" w:after="260" w:line="416" w:lineRule="auto"/>
      <w:outlineLvl w:val="2"/>
    </w:pPr>
    <w:rPr>
      <w:b/>
      <w:bCs/>
      <w:sz w:val="32"/>
      <w:szCs w:val="32"/>
    </w:rPr>
  </w:style>
  <w:style w:type="paragraph" w:styleId="5">
    <w:name w:val="heading 4"/>
    <w:basedOn w:val="1"/>
    <w:next w:val="6"/>
    <w:link w:val="46"/>
    <w:qFormat/>
    <w:uiPriority w:val="9"/>
    <w:pPr>
      <w:keepNext/>
      <w:numPr>
        <w:ilvl w:val="3"/>
        <w:numId w:val="1"/>
      </w:numPr>
      <w:tabs>
        <w:tab w:val="left" w:pos="432"/>
      </w:tabs>
      <w:spacing w:line="400" w:lineRule="exact"/>
      <w:outlineLvl w:val="3"/>
    </w:pPr>
    <w:rPr>
      <w:sz w:val="28"/>
    </w:rPr>
  </w:style>
  <w:style w:type="paragraph" w:styleId="7">
    <w:name w:val="heading 5"/>
    <w:basedOn w:val="1"/>
    <w:next w:val="6"/>
    <w:link w:val="47"/>
    <w:qFormat/>
    <w:uiPriority w:val="9"/>
    <w:pPr>
      <w:keepNext/>
      <w:keepLines/>
      <w:numPr>
        <w:ilvl w:val="4"/>
        <w:numId w:val="1"/>
      </w:numPr>
      <w:tabs>
        <w:tab w:val="left" w:pos="432"/>
      </w:tabs>
      <w:spacing w:before="280" w:after="290" w:line="376" w:lineRule="auto"/>
      <w:outlineLvl w:val="4"/>
    </w:pPr>
    <w:rPr>
      <w:b/>
      <w:sz w:val="28"/>
    </w:rPr>
  </w:style>
  <w:style w:type="paragraph" w:styleId="8">
    <w:name w:val="heading 6"/>
    <w:basedOn w:val="1"/>
    <w:next w:val="6"/>
    <w:link w:val="48"/>
    <w:qFormat/>
    <w:uiPriority w:val="9"/>
    <w:pPr>
      <w:keepNext/>
      <w:keepLines/>
      <w:numPr>
        <w:ilvl w:val="5"/>
        <w:numId w:val="1"/>
      </w:numPr>
      <w:tabs>
        <w:tab w:val="left" w:pos="432"/>
      </w:tabs>
      <w:spacing w:before="240" w:after="64" w:line="320" w:lineRule="auto"/>
      <w:outlineLvl w:val="5"/>
    </w:pPr>
    <w:rPr>
      <w:rFonts w:ascii="Arial" w:hAnsi="Arial" w:eastAsia="黑体"/>
      <w:b/>
    </w:rPr>
  </w:style>
  <w:style w:type="paragraph" w:styleId="9">
    <w:name w:val="heading 7"/>
    <w:basedOn w:val="1"/>
    <w:next w:val="6"/>
    <w:link w:val="49"/>
    <w:qFormat/>
    <w:uiPriority w:val="9"/>
    <w:pPr>
      <w:keepNext/>
      <w:keepLines/>
      <w:numPr>
        <w:ilvl w:val="6"/>
        <w:numId w:val="1"/>
      </w:numPr>
      <w:tabs>
        <w:tab w:val="left" w:pos="432"/>
      </w:tabs>
      <w:spacing w:before="240" w:after="64" w:line="320" w:lineRule="auto"/>
      <w:outlineLvl w:val="6"/>
    </w:pPr>
    <w:rPr>
      <w:b/>
    </w:rPr>
  </w:style>
  <w:style w:type="paragraph" w:styleId="10">
    <w:name w:val="heading 8"/>
    <w:basedOn w:val="1"/>
    <w:next w:val="6"/>
    <w:link w:val="50"/>
    <w:qFormat/>
    <w:uiPriority w:val="9"/>
    <w:pPr>
      <w:keepNext/>
      <w:keepLines/>
      <w:numPr>
        <w:ilvl w:val="7"/>
        <w:numId w:val="1"/>
      </w:numPr>
      <w:tabs>
        <w:tab w:val="left" w:pos="432"/>
      </w:tabs>
      <w:spacing w:before="240" w:after="64" w:line="320" w:lineRule="auto"/>
      <w:outlineLvl w:val="7"/>
    </w:pPr>
    <w:rPr>
      <w:rFonts w:ascii="Arial" w:hAnsi="Arial" w:eastAsia="黑体"/>
    </w:rPr>
  </w:style>
  <w:style w:type="paragraph" w:styleId="11">
    <w:name w:val="heading 9"/>
    <w:basedOn w:val="1"/>
    <w:next w:val="6"/>
    <w:qFormat/>
    <w:uiPriority w:val="0"/>
    <w:pPr>
      <w:keepNext/>
      <w:keepLines/>
      <w:numPr>
        <w:ilvl w:val="8"/>
        <w:numId w:val="1"/>
      </w:numPr>
      <w:tabs>
        <w:tab w:val="left" w:pos="432"/>
      </w:tabs>
      <w:spacing w:before="240" w:after="64" w:line="320" w:lineRule="auto"/>
      <w:outlineLvl w:val="8"/>
    </w:pPr>
    <w:rPr>
      <w:rFonts w:ascii="Arial" w:hAnsi="Arial" w:eastAsia="黑体"/>
      <w:sz w:val="21"/>
    </w:rPr>
  </w:style>
  <w:style w:type="character" w:default="1" w:styleId="38">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ind w:firstLine="420"/>
    </w:pPr>
  </w:style>
  <w:style w:type="paragraph" w:styleId="12">
    <w:name w:val="toc 7"/>
    <w:basedOn w:val="1"/>
    <w:next w:val="1"/>
    <w:semiHidden/>
    <w:qFormat/>
    <w:uiPriority w:val="0"/>
    <w:pPr>
      <w:ind w:left="2520"/>
    </w:pPr>
  </w:style>
  <w:style w:type="paragraph" w:styleId="13">
    <w:name w:val="Document Map"/>
    <w:basedOn w:val="1"/>
    <w:link w:val="53"/>
    <w:qFormat/>
    <w:uiPriority w:val="0"/>
    <w:rPr>
      <w:rFonts w:ascii="宋体" w:eastAsia="宋体"/>
      <w:sz w:val="18"/>
      <w:szCs w:val="18"/>
    </w:rPr>
  </w:style>
  <w:style w:type="paragraph" w:styleId="14">
    <w:name w:val="annotation text"/>
    <w:basedOn w:val="1"/>
    <w:link w:val="51"/>
    <w:qFormat/>
    <w:uiPriority w:val="99"/>
    <w:pPr>
      <w:jc w:val="left"/>
    </w:pPr>
  </w:style>
  <w:style w:type="paragraph" w:styleId="15">
    <w:name w:val="Body Text 3"/>
    <w:basedOn w:val="1"/>
    <w:link w:val="54"/>
    <w:qFormat/>
    <w:uiPriority w:val="0"/>
    <w:rPr>
      <w:rFonts w:ascii="仿宋_GB2312" w:eastAsia="仿宋_GB2312"/>
      <w:sz w:val="28"/>
    </w:rPr>
  </w:style>
  <w:style w:type="paragraph" w:styleId="16">
    <w:name w:val="Body Text"/>
    <w:basedOn w:val="1"/>
    <w:link w:val="55"/>
    <w:qFormat/>
    <w:uiPriority w:val="0"/>
    <w:rPr>
      <w:rFonts w:eastAsia="仿宋_GB2312"/>
    </w:rPr>
  </w:style>
  <w:style w:type="paragraph" w:styleId="17">
    <w:name w:val="Body Text Indent"/>
    <w:basedOn w:val="1"/>
    <w:qFormat/>
    <w:uiPriority w:val="0"/>
    <w:pPr>
      <w:ind w:left="420"/>
    </w:pPr>
    <w:rPr>
      <w:rFonts w:eastAsia="仿宋_GB2312"/>
      <w:sz w:val="28"/>
    </w:rPr>
  </w:style>
  <w:style w:type="paragraph" w:styleId="18">
    <w:name w:val="toc 5"/>
    <w:basedOn w:val="1"/>
    <w:next w:val="1"/>
    <w:semiHidden/>
    <w:qFormat/>
    <w:uiPriority w:val="0"/>
    <w:pPr>
      <w:ind w:left="1680"/>
    </w:pPr>
  </w:style>
  <w:style w:type="paragraph" w:styleId="19">
    <w:name w:val="toc 3"/>
    <w:basedOn w:val="1"/>
    <w:next w:val="1"/>
    <w:semiHidden/>
    <w:qFormat/>
    <w:uiPriority w:val="0"/>
    <w:pPr>
      <w:ind w:left="840"/>
    </w:pPr>
  </w:style>
  <w:style w:type="paragraph" w:styleId="20">
    <w:name w:val="toc 8"/>
    <w:basedOn w:val="1"/>
    <w:next w:val="1"/>
    <w:semiHidden/>
    <w:qFormat/>
    <w:uiPriority w:val="0"/>
    <w:pPr>
      <w:ind w:left="2940"/>
    </w:pPr>
  </w:style>
  <w:style w:type="paragraph" w:styleId="21">
    <w:name w:val="Date"/>
    <w:basedOn w:val="1"/>
    <w:next w:val="1"/>
    <w:link w:val="56"/>
    <w:qFormat/>
    <w:uiPriority w:val="0"/>
    <w:rPr>
      <w:rFonts w:ascii="CG Times" w:hAnsi="CG Times"/>
      <w:sz w:val="28"/>
    </w:rPr>
  </w:style>
  <w:style w:type="paragraph" w:styleId="22">
    <w:name w:val="Body Text Indent 2"/>
    <w:basedOn w:val="1"/>
    <w:qFormat/>
    <w:uiPriority w:val="0"/>
    <w:pPr>
      <w:spacing w:line="560" w:lineRule="exact"/>
      <w:ind w:firstLine="425"/>
    </w:pPr>
    <w:rPr>
      <w:color w:val="FF00FF"/>
      <w:sz w:val="28"/>
    </w:rPr>
  </w:style>
  <w:style w:type="paragraph" w:styleId="23">
    <w:name w:val="Balloon Text"/>
    <w:basedOn w:val="1"/>
    <w:link w:val="57"/>
    <w:qFormat/>
    <w:uiPriority w:val="99"/>
    <w:rPr>
      <w:sz w:val="18"/>
      <w:szCs w:val="18"/>
    </w:rPr>
  </w:style>
  <w:style w:type="paragraph" w:styleId="24">
    <w:name w:val="footer"/>
    <w:basedOn w:val="1"/>
    <w:link w:val="58"/>
    <w:qFormat/>
    <w:uiPriority w:val="99"/>
    <w:pPr>
      <w:tabs>
        <w:tab w:val="center" w:pos="4153"/>
        <w:tab w:val="right" w:pos="8306"/>
      </w:tabs>
      <w:snapToGrid w:val="0"/>
      <w:jc w:val="left"/>
    </w:pPr>
    <w:rPr>
      <w:sz w:val="18"/>
      <w:szCs w:val="18"/>
    </w:rPr>
  </w:style>
  <w:style w:type="paragraph" w:styleId="25">
    <w:name w:val="header"/>
    <w:basedOn w:val="1"/>
    <w:link w:val="59"/>
    <w:qFormat/>
    <w:uiPriority w:val="99"/>
    <w:pPr>
      <w:pBdr>
        <w:bottom w:val="single" w:color="auto" w:sz="6" w:space="1"/>
      </w:pBdr>
      <w:tabs>
        <w:tab w:val="center" w:pos="4153"/>
        <w:tab w:val="right" w:pos="8306"/>
      </w:tabs>
      <w:snapToGrid w:val="0"/>
      <w:jc w:val="center"/>
    </w:pPr>
    <w:rPr>
      <w:sz w:val="18"/>
    </w:rPr>
  </w:style>
  <w:style w:type="paragraph" w:styleId="26">
    <w:name w:val="toc 1"/>
    <w:basedOn w:val="1"/>
    <w:next w:val="1"/>
    <w:semiHidden/>
    <w:qFormat/>
    <w:uiPriority w:val="0"/>
  </w:style>
  <w:style w:type="paragraph" w:styleId="27">
    <w:name w:val="toc 4"/>
    <w:basedOn w:val="1"/>
    <w:next w:val="1"/>
    <w:semiHidden/>
    <w:qFormat/>
    <w:uiPriority w:val="0"/>
    <w:pPr>
      <w:ind w:left="1260"/>
    </w:pPr>
  </w:style>
  <w:style w:type="paragraph" w:styleId="28">
    <w:name w:val="Subtitle"/>
    <w:basedOn w:val="1"/>
    <w:next w:val="1"/>
    <w:link w:val="74"/>
    <w:qFormat/>
    <w:uiPriority w:val="11"/>
    <w:pPr>
      <w:spacing w:before="240" w:after="60" w:line="312" w:lineRule="auto"/>
      <w:jc w:val="center"/>
      <w:outlineLvl w:val="1"/>
    </w:pPr>
    <w:rPr>
      <w:rFonts w:asciiTheme="minorHAnsi" w:hAnsiTheme="minorHAnsi" w:eastAsiaTheme="minorEastAsia" w:cstheme="minorBidi"/>
      <w:b/>
      <w:bCs/>
      <w:kern w:val="28"/>
      <w:sz w:val="32"/>
      <w:szCs w:val="32"/>
    </w:rPr>
  </w:style>
  <w:style w:type="paragraph" w:styleId="29">
    <w:name w:val="toc 6"/>
    <w:basedOn w:val="1"/>
    <w:next w:val="1"/>
    <w:semiHidden/>
    <w:qFormat/>
    <w:uiPriority w:val="0"/>
    <w:pPr>
      <w:ind w:left="2100"/>
    </w:pPr>
  </w:style>
  <w:style w:type="paragraph" w:styleId="30">
    <w:name w:val="Body Text Indent 3"/>
    <w:basedOn w:val="1"/>
    <w:link w:val="60"/>
    <w:qFormat/>
    <w:uiPriority w:val="0"/>
    <w:pPr>
      <w:spacing w:line="560" w:lineRule="exact"/>
      <w:ind w:firstLine="420"/>
    </w:pPr>
    <w:rPr>
      <w:sz w:val="28"/>
    </w:rPr>
  </w:style>
  <w:style w:type="paragraph" w:styleId="31">
    <w:name w:val="toc 2"/>
    <w:basedOn w:val="1"/>
    <w:next w:val="1"/>
    <w:semiHidden/>
    <w:qFormat/>
    <w:uiPriority w:val="0"/>
    <w:pPr>
      <w:ind w:left="420"/>
    </w:pPr>
  </w:style>
  <w:style w:type="paragraph" w:styleId="32">
    <w:name w:val="toc 9"/>
    <w:basedOn w:val="1"/>
    <w:next w:val="1"/>
    <w:semiHidden/>
    <w:qFormat/>
    <w:uiPriority w:val="0"/>
    <w:pPr>
      <w:ind w:left="3360"/>
    </w:pPr>
  </w:style>
  <w:style w:type="paragraph" w:styleId="33">
    <w:name w:val="Body Text 2"/>
    <w:basedOn w:val="1"/>
    <w:qFormat/>
    <w:uiPriority w:val="0"/>
    <w:pPr>
      <w:jc w:val="center"/>
    </w:pPr>
    <w:rPr>
      <w:rFonts w:ascii="CG Times" w:hAnsi="CG Times" w:eastAsia="隶书"/>
      <w:b/>
      <w:sz w:val="52"/>
    </w:rPr>
  </w:style>
  <w:style w:type="paragraph" w:styleId="34">
    <w:name w:val="Normal (Web)"/>
    <w:basedOn w:val="1"/>
    <w:semiHidden/>
    <w:unhideWhenUsed/>
    <w:qFormat/>
    <w:uiPriority w:val="0"/>
  </w:style>
  <w:style w:type="paragraph" w:styleId="35">
    <w:name w:val="annotation subject"/>
    <w:basedOn w:val="14"/>
    <w:next w:val="14"/>
    <w:link w:val="52"/>
    <w:qFormat/>
    <w:uiPriority w:val="99"/>
    <w:rPr>
      <w:b/>
      <w:bCs/>
    </w:rPr>
  </w:style>
  <w:style w:type="table" w:styleId="37">
    <w:name w:val="Table Grid"/>
    <w:basedOn w:val="3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9">
    <w:name w:val="Strong"/>
    <w:basedOn w:val="38"/>
    <w:qFormat/>
    <w:uiPriority w:val="22"/>
    <w:rPr>
      <w:b/>
      <w:bCs/>
    </w:rPr>
  </w:style>
  <w:style w:type="character" w:styleId="40">
    <w:name w:val="page number"/>
    <w:basedOn w:val="38"/>
    <w:qFormat/>
    <w:uiPriority w:val="0"/>
  </w:style>
  <w:style w:type="character" w:styleId="41">
    <w:name w:val="Hyperlink"/>
    <w:qFormat/>
    <w:uiPriority w:val="0"/>
    <w:rPr>
      <w:color w:val="0000FF"/>
      <w:u w:val="single"/>
    </w:rPr>
  </w:style>
  <w:style w:type="character" w:styleId="42">
    <w:name w:val="annotation reference"/>
    <w:qFormat/>
    <w:uiPriority w:val="99"/>
    <w:rPr>
      <w:sz w:val="21"/>
      <w:szCs w:val="21"/>
    </w:rPr>
  </w:style>
  <w:style w:type="character" w:customStyle="1" w:styleId="43">
    <w:name w:val="标题 1 Char"/>
    <w:basedOn w:val="38"/>
    <w:link w:val="2"/>
    <w:qFormat/>
    <w:uiPriority w:val="9"/>
    <w:rPr>
      <w:rFonts w:ascii="楷体_GB2312" w:eastAsia="楷体_GB2312"/>
      <w:b/>
      <w:bCs/>
      <w:kern w:val="44"/>
      <w:sz w:val="36"/>
      <w:szCs w:val="44"/>
    </w:rPr>
  </w:style>
  <w:style w:type="character" w:customStyle="1" w:styleId="44">
    <w:name w:val="标题 2 Char"/>
    <w:basedOn w:val="38"/>
    <w:link w:val="3"/>
    <w:qFormat/>
    <w:uiPriority w:val="9"/>
    <w:rPr>
      <w:rFonts w:ascii="楷体_GB2312" w:hAnsi="宋体" w:eastAsia="楷体_GB2312"/>
      <w:b/>
      <w:kern w:val="2"/>
      <w:sz w:val="28"/>
    </w:rPr>
  </w:style>
  <w:style w:type="character" w:customStyle="1" w:styleId="45">
    <w:name w:val="标题 3 Char"/>
    <w:basedOn w:val="38"/>
    <w:link w:val="4"/>
    <w:qFormat/>
    <w:uiPriority w:val="9"/>
    <w:rPr>
      <w:rFonts w:ascii="楷体_GB2312" w:eastAsia="楷体_GB2312"/>
      <w:b/>
      <w:bCs/>
      <w:kern w:val="2"/>
      <w:sz w:val="32"/>
      <w:szCs w:val="32"/>
    </w:rPr>
  </w:style>
  <w:style w:type="character" w:customStyle="1" w:styleId="46">
    <w:name w:val="标题 4 Char"/>
    <w:basedOn w:val="38"/>
    <w:link w:val="5"/>
    <w:qFormat/>
    <w:uiPriority w:val="9"/>
    <w:rPr>
      <w:rFonts w:ascii="楷体_GB2312" w:eastAsia="楷体_GB2312"/>
      <w:kern w:val="2"/>
      <w:sz w:val="28"/>
    </w:rPr>
  </w:style>
  <w:style w:type="character" w:customStyle="1" w:styleId="47">
    <w:name w:val="标题 5 Char"/>
    <w:basedOn w:val="38"/>
    <w:link w:val="7"/>
    <w:qFormat/>
    <w:uiPriority w:val="9"/>
    <w:rPr>
      <w:rFonts w:ascii="楷体_GB2312" w:eastAsia="楷体_GB2312"/>
      <w:b/>
      <w:kern w:val="2"/>
      <w:sz w:val="28"/>
    </w:rPr>
  </w:style>
  <w:style w:type="character" w:customStyle="1" w:styleId="48">
    <w:name w:val="标题 6 Char"/>
    <w:basedOn w:val="38"/>
    <w:link w:val="8"/>
    <w:qFormat/>
    <w:uiPriority w:val="9"/>
    <w:rPr>
      <w:rFonts w:ascii="Arial" w:hAnsi="Arial" w:eastAsia="黑体"/>
      <w:b/>
      <w:kern w:val="2"/>
      <w:sz w:val="24"/>
    </w:rPr>
  </w:style>
  <w:style w:type="character" w:customStyle="1" w:styleId="49">
    <w:name w:val="标题 7 Char"/>
    <w:basedOn w:val="38"/>
    <w:link w:val="9"/>
    <w:qFormat/>
    <w:uiPriority w:val="9"/>
    <w:rPr>
      <w:rFonts w:ascii="楷体_GB2312" w:eastAsia="楷体_GB2312"/>
      <w:b/>
      <w:kern w:val="2"/>
      <w:sz w:val="24"/>
    </w:rPr>
  </w:style>
  <w:style w:type="character" w:customStyle="1" w:styleId="50">
    <w:name w:val="标题 8 Char"/>
    <w:basedOn w:val="38"/>
    <w:link w:val="10"/>
    <w:qFormat/>
    <w:uiPriority w:val="9"/>
    <w:rPr>
      <w:rFonts w:ascii="Arial" w:hAnsi="Arial" w:eastAsia="黑体"/>
      <w:kern w:val="2"/>
      <w:sz w:val="24"/>
    </w:rPr>
  </w:style>
  <w:style w:type="character" w:customStyle="1" w:styleId="51">
    <w:name w:val="批注文字 Char"/>
    <w:link w:val="14"/>
    <w:qFormat/>
    <w:uiPriority w:val="99"/>
    <w:rPr>
      <w:rFonts w:ascii="楷体_GB2312" w:eastAsia="楷体_GB2312"/>
      <w:kern w:val="2"/>
      <w:sz w:val="24"/>
    </w:rPr>
  </w:style>
  <w:style w:type="character" w:customStyle="1" w:styleId="52">
    <w:name w:val="批注主题 Char"/>
    <w:basedOn w:val="51"/>
    <w:link w:val="35"/>
    <w:qFormat/>
    <w:uiPriority w:val="99"/>
    <w:rPr>
      <w:rFonts w:ascii="楷体_GB2312" w:eastAsia="楷体_GB2312"/>
      <w:b/>
      <w:bCs/>
      <w:kern w:val="2"/>
      <w:sz w:val="24"/>
    </w:rPr>
  </w:style>
  <w:style w:type="character" w:customStyle="1" w:styleId="53">
    <w:name w:val="文档结构图 Char"/>
    <w:link w:val="13"/>
    <w:qFormat/>
    <w:uiPriority w:val="0"/>
    <w:rPr>
      <w:rFonts w:ascii="宋体"/>
      <w:kern w:val="2"/>
      <w:sz w:val="18"/>
      <w:szCs w:val="18"/>
    </w:rPr>
  </w:style>
  <w:style w:type="character" w:customStyle="1" w:styleId="54">
    <w:name w:val="正文文本 3 Char"/>
    <w:link w:val="15"/>
    <w:qFormat/>
    <w:uiPriority w:val="0"/>
    <w:rPr>
      <w:rFonts w:ascii="仿宋_GB2312" w:eastAsia="仿宋_GB2312"/>
      <w:kern w:val="2"/>
      <w:sz w:val="28"/>
    </w:rPr>
  </w:style>
  <w:style w:type="character" w:customStyle="1" w:styleId="55">
    <w:name w:val="正文文本 Char"/>
    <w:basedOn w:val="38"/>
    <w:link w:val="16"/>
    <w:qFormat/>
    <w:uiPriority w:val="0"/>
    <w:rPr>
      <w:rFonts w:ascii="楷体_GB2312" w:eastAsia="仿宋_GB2312"/>
      <w:kern w:val="2"/>
      <w:sz w:val="24"/>
    </w:rPr>
  </w:style>
  <w:style w:type="character" w:customStyle="1" w:styleId="56">
    <w:name w:val="日期 Char"/>
    <w:link w:val="21"/>
    <w:qFormat/>
    <w:uiPriority w:val="0"/>
    <w:rPr>
      <w:rFonts w:ascii="CG Times" w:hAnsi="CG Times" w:eastAsia="楷体_GB2312"/>
      <w:kern w:val="2"/>
      <w:sz w:val="28"/>
    </w:rPr>
  </w:style>
  <w:style w:type="character" w:customStyle="1" w:styleId="57">
    <w:name w:val="批注框文本 Char"/>
    <w:basedOn w:val="38"/>
    <w:link w:val="23"/>
    <w:qFormat/>
    <w:uiPriority w:val="99"/>
    <w:rPr>
      <w:rFonts w:ascii="楷体_GB2312" w:eastAsia="楷体_GB2312"/>
      <w:kern w:val="2"/>
      <w:sz w:val="18"/>
      <w:szCs w:val="18"/>
    </w:rPr>
  </w:style>
  <w:style w:type="character" w:customStyle="1" w:styleId="58">
    <w:name w:val="页脚 Char"/>
    <w:basedOn w:val="38"/>
    <w:link w:val="24"/>
    <w:qFormat/>
    <w:uiPriority w:val="99"/>
    <w:rPr>
      <w:rFonts w:ascii="楷体_GB2312" w:eastAsia="楷体_GB2312"/>
      <w:kern w:val="2"/>
      <w:sz w:val="18"/>
      <w:szCs w:val="18"/>
    </w:rPr>
  </w:style>
  <w:style w:type="character" w:customStyle="1" w:styleId="59">
    <w:name w:val="页眉 Char"/>
    <w:basedOn w:val="38"/>
    <w:link w:val="25"/>
    <w:qFormat/>
    <w:uiPriority w:val="99"/>
    <w:rPr>
      <w:rFonts w:ascii="楷体_GB2312" w:eastAsia="楷体_GB2312"/>
      <w:kern w:val="2"/>
      <w:sz w:val="18"/>
    </w:rPr>
  </w:style>
  <w:style w:type="character" w:customStyle="1" w:styleId="60">
    <w:name w:val="正文文本缩进 3 Char"/>
    <w:link w:val="30"/>
    <w:qFormat/>
    <w:uiPriority w:val="0"/>
    <w:rPr>
      <w:rFonts w:ascii="楷体_GB2312" w:eastAsia="楷体_GB2312"/>
      <w:kern w:val="2"/>
      <w:sz w:val="28"/>
    </w:rPr>
  </w:style>
  <w:style w:type="character" w:customStyle="1" w:styleId="61">
    <w:name w:val="已访问的超链接1"/>
    <w:qFormat/>
    <w:uiPriority w:val="0"/>
    <w:rPr>
      <w:color w:val="800080"/>
      <w:u w:val="single"/>
    </w:rPr>
  </w:style>
  <w:style w:type="paragraph" w:customStyle="1" w:styleId="62">
    <w:name w:val="首行缩进正文"/>
    <w:basedOn w:val="1"/>
    <w:qFormat/>
    <w:uiPriority w:val="0"/>
    <w:pPr>
      <w:spacing w:line="360" w:lineRule="auto"/>
      <w:ind w:firstLine="480"/>
      <w:jc w:val="left"/>
    </w:pPr>
    <w:rPr>
      <w:rFonts w:ascii="黑体" w:eastAsia="宋体"/>
    </w:rPr>
  </w:style>
  <w:style w:type="paragraph" w:customStyle="1" w:styleId="63">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64">
    <w:name w:val="修订1"/>
    <w:hidden/>
    <w:semiHidden/>
    <w:qFormat/>
    <w:uiPriority w:val="99"/>
    <w:rPr>
      <w:rFonts w:ascii="楷体_GB2312" w:hAnsi="Times New Roman" w:eastAsia="楷体_GB2312" w:cs="Times New Roman"/>
      <w:kern w:val="2"/>
      <w:sz w:val="24"/>
      <w:lang w:val="en-US" w:eastAsia="zh-CN" w:bidi="ar-SA"/>
    </w:rPr>
  </w:style>
  <w:style w:type="paragraph" w:customStyle="1" w:styleId="65">
    <w:name w:val="z-窗体底端1"/>
    <w:basedOn w:val="1"/>
    <w:next w:val="1"/>
    <w:hidden/>
    <w:qFormat/>
    <w:uiPriority w:val="0"/>
    <w:pPr>
      <w:pBdr>
        <w:top w:val="single" w:color="auto" w:sz="6" w:space="1"/>
      </w:pBdr>
      <w:jc w:val="center"/>
    </w:pPr>
    <w:rPr>
      <w:rFonts w:ascii="Arial" w:hAnsi="Arial" w:eastAsia="宋体" w:cs="Arial"/>
      <w:vanish/>
      <w:sz w:val="16"/>
      <w:szCs w:val="16"/>
    </w:rPr>
  </w:style>
  <w:style w:type="paragraph" w:customStyle="1" w:styleId="66">
    <w:name w:val="z-窗体顶端1"/>
    <w:basedOn w:val="1"/>
    <w:next w:val="1"/>
    <w:hidden/>
    <w:qFormat/>
    <w:uiPriority w:val="0"/>
    <w:pPr>
      <w:pBdr>
        <w:bottom w:val="single" w:color="auto" w:sz="6" w:space="1"/>
      </w:pBdr>
      <w:jc w:val="center"/>
    </w:pPr>
    <w:rPr>
      <w:rFonts w:ascii="Arial" w:hAnsi="Arial" w:eastAsia="宋体" w:cs="Arial"/>
      <w:vanish/>
      <w:sz w:val="16"/>
      <w:szCs w:val="16"/>
    </w:rPr>
  </w:style>
  <w:style w:type="paragraph" w:customStyle="1" w:styleId="67">
    <w:name w:val="列出段落1"/>
    <w:basedOn w:val="1"/>
    <w:qFormat/>
    <w:uiPriority w:val="34"/>
    <w:pPr>
      <w:ind w:firstLine="420" w:firstLineChars="200"/>
    </w:pPr>
    <w:rPr>
      <w:rFonts w:ascii="Calibri" w:hAnsi="Calibri" w:eastAsia="宋体"/>
      <w:sz w:val="21"/>
      <w:szCs w:val="22"/>
    </w:rPr>
  </w:style>
  <w:style w:type="character" w:customStyle="1" w:styleId="68">
    <w:name w:val="Char Char3"/>
    <w:qFormat/>
    <w:uiPriority w:val="0"/>
    <w:rPr>
      <w:rFonts w:ascii="仿宋_GB2312" w:eastAsia="仿宋_GB2312"/>
      <w:kern w:val="2"/>
      <w:sz w:val="28"/>
    </w:rPr>
  </w:style>
  <w:style w:type="paragraph" w:customStyle="1" w:styleId="69">
    <w:name w:val="修订2"/>
    <w:hidden/>
    <w:unhideWhenUsed/>
    <w:qFormat/>
    <w:uiPriority w:val="99"/>
    <w:rPr>
      <w:rFonts w:ascii="楷体_GB2312" w:hAnsi="Times New Roman" w:eastAsia="楷体_GB2312" w:cs="Times New Roman"/>
      <w:kern w:val="2"/>
      <w:sz w:val="24"/>
      <w:lang w:val="en-US" w:eastAsia="zh-CN" w:bidi="ar-SA"/>
    </w:rPr>
  </w:style>
  <w:style w:type="paragraph" w:customStyle="1" w:styleId="70">
    <w:name w:val="p0"/>
    <w:basedOn w:val="1"/>
    <w:qFormat/>
    <w:uiPriority w:val="0"/>
    <w:pPr>
      <w:widowControl/>
      <w:jc w:val="left"/>
    </w:pPr>
    <w:rPr>
      <w:rFonts w:ascii="宋体" w:hAnsi="宋体" w:eastAsia="宋体" w:cs="宋体"/>
      <w:kern w:val="0"/>
      <w:szCs w:val="24"/>
    </w:rPr>
  </w:style>
  <w:style w:type="paragraph" w:customStyle="1" w:styleId="71">
    <w:name w:val="列出段落2"/>
    <w:basedOn w:val="1"/>
    <w:qFormat/>
    <w:uiPriority w:val="34"/>
    <w:pPr>
      <w:ind w:firstLine="420" w:firstLineChars="200"/>
    </w:pPr>
    <w:rPr>
      <w:sz w:val="28"/>
    </w:rPr>
  </w:style>
  <w:style w:type="paragraph" w:styleId="72">
    <w:name w:val="List Paragraph"/>
    <w:basedOn w:val="1"/>
    <w:qFormat/>
    <w:uiPriority w:val="34"/>
    <w:pPr>
      <w:ind w:firstLine="420" w:firstLineChars="200"/>
    </w:pPr>
    <w:rPr>
      <w:rFonts w:ascii="Times New Roman" w:eastAsia="宋体"/>
      <w:sz w:val="21"/>
      <w:szCs w:val="24"/>
    </w:rPr>
  </w:style>
  <w:style w:type="paragraph" w:customStyle="1" w:styleId="73">
    <w:name w:val="修订3"/>
    <w:hidden/>
    <w:unhideWhenUsed/>
    <w:qFormat/>
    <w:uiPriority w:val="99"/>
    <w:rPr>
      <w:rFonts w:ascii="楷体_GB2312" w:hAnsi="Times New Roman" w:eastAsia="楷体_GB2312" w:cs="Times New Roman"/>
      <w:kern w:val="2"/>
      <w:sz w:val="24"/>
      <w:lang w:val="en-US" w:eastAsia="zh-CN" w:bidi="ar-SA"/>
    </w:rPr>
  </w:style>
  <w:style w:type="character" w:customStyle="1" w:styleId="74">
    <w:name w:val="副标题 Char"/>
    <w:basedOn w:val="38"/>
    <w:link w:val="28"/>
    <w:qFormat/>
    <w:uiPriority w:val="11"/>
    <w:rPr>
      <w:rFonts w:asciiTheme="minorHAnsi" w:hAnsiTheme="minorHAnsi" w:eastAsiaTheme="minorEastAsia" w:cstheme="minorBidi"/>
      <w:b/>
      <w:bCs/>
      <w:kern w:val="28"/>
      <w:sz w:val="32"/>
      <w:szCs w:val="32"/>
    </w:rPr>
  </w:style>
  <w:style w:type="paragraph" w:customStyle="1" w:styleId="75">
    <w:name w:val="列出段落3"/>
    <w:basedOn w:val="1"/>
    <w:qFormat/>
    <w:uiPriority w:val="34"/>
    <w:pPr>
      <w:ind w:firstLine="420" w:firstLineChars="200"/>
    </w:pPr>
    <w:rPr>
      <w:rFonts w:ascii="Times New Roman" w:eastAsia="宋体"/>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4.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419BA1-AE89-42EA-8528-964E03AA5BFD}">
  <ds:schemaRefs/>
</ds:datastoreItem>
</file>

<file path=customXml/itemProps2.xml><?xml version="1.0" encoding="utf-8"?>
<ds:datastoreItem xmlns:ds="http://schemas.openxmlformats.org/officeDocument/2006/customXml" ds:itemID="{8AE4C014-E2D1-41A1-B828-E48B29106312}">
  <ds:schemaRefs/>
</ds:datastoreItem>
</file>

<file path=customXml/itemProps3.xml><?xml version="1.0" encoding="utf-8"?>
<ds:datastoreItem xmlns:ds="http://schemas.openxmlformats.org/officeDocument/2006/customXml" ds:itemID="{4E58FF85-CFB6-4EB2-8CB4-FA0A33299A81}">
  <ds:schemaRefs/>
</ds:datastoreItem>
</file>

<file path=customXml/itemProps4.xml><?xml version="1.0" encoding="utf-8"?>
<ds:datastoreItem xmlns:ds="http://schemas.openxmlformats.org/officeDocument/2006/customXml" ds:itemID="{5C1EA7F8-DCC1-4E94-97FA-96F313230D70}">
  <ds:schemaRefs/>
</ds:datastoreItem>
</file>

<file path=docProps/app.xml><?xml version="1.0" encoding="utf-8"?>
<Properties xmlns="http://schemas.openxmlformats.org/officeDocument/2006/extended-properties" xmlns:vt="http://schemas.openxmlformats.org/officeDocument/2006/docPropsVTypes">
  <Template>Normal.dotm</Template>
  <Company>sse</Company>
  <Pages>16</Pages>
  <Words>1478</Words>
  <Characters>8428</Characters>
  <Lines>70</Lines>
  <Paragraphs>19</Paragraphs>
  <TotalTime>8</TotalTime>
  <ScaleCrop>false</ScaleCrop>
  <LinksUpToDate>false</LinksUpToDate>
  <CharactersWithSpaces>9887</CharactersWithSpaces>
  <Application>WPS Office_11.8.2.12080_F1E327BC-269C-435d-A152-05C5408002CA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2020-07-09T07:52:00Z</dcterms:created>
  <dc:creator>user</dc:creator>
  <cp:lastModifiedBy>xxb19</cp:lastModifiedBy>
  <cp:lastPrinted>2020-06-22T01:00:00Z</cp:lastPrinted>
  <dcterms:modified xsi:type="dcterms:W3CDTF">2023-08-08T01:00:56Z</dcterms:modified>
  <cp:revision>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2052-11.8.2.12080</vt:lpwstr>
  </property>
  <property fmtid="{D5CDD505-2E9C-101B-9397-08002B2CF9AE}" pid="5" name="ICV">
    <vt:lpwstr>60D01D733C3A439284296E346081759D</vt:lpwstr>
  </property>
</Properties>
</file>