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tLeast"/>
        <w:jc w:val="center"/>
        <w:rPr>
          <w:rFonts w:hint="eastAsia" w:ascii="楷体_GB2312" w:hAnsi="Times New Roman" w:cs="Times New Roman"/>
          <w:b/>
          <w:color w:val="000000"/>
          <w:kern w:val="2"/>
          <w:sz w:val="36"/>
          <w:szCs w:val="36"/>
          <w:lang w:val="en-US" w:eastAsia="zh-CN"/>
        </w:rPr>
      </w:pPr>
      <w:bookmarkStart w:id="0" w:name="_Toc102489700"/>
      <w:r>
        <w:rPr>
          <w:rFonts w:hint="eastAsia" w:ascii="楷体_GB2312" w:eastAsia="楷体_GB2312"/>
          <w:b/>
          <w:color w:val="000000"/>
          <w:sz w:val="36"/>
          <w:szCs w:val="36"/>
        </w:rPr>
        <w:t>2023年</w:t>
      </w:r>
      <w:r>
        <w:rPr>
          <w:rFonts w:hint="eastAsia" w:ascii="楷体_GB2312" w:eastAsia="楷体_GB2312"/>
          <w:b/>
          <w:color w:val="000000"/>
          <w:sz w:val="36"/>
          <w:szCs w:val="36"/>
          <w:lang w:val="en-US" w:eastAsia="zh-CN"/>
        </w:rPr>
        <w:t>10</w:t>
      </w:r>
      <w:r>
        <w:rPr>
          <w:rFonts w:hint="eastAsia" w:ascii="楷体_GB2312" w:eastAsia="楷体_GB2312"/>
          <w:b/>
          <w:color w:val="000000"/>
          <w:sz w:val="36"/>
          <w:szCs w:val="36"/>
        </w:rPr>
        <w:t>月</w:t>
      </w:r>
      <w:r>
        <w:rPr>
          <w:rFonts w:hint="eastAsia" w:ascii="楷体_GB2312" w:eastAsia="楷体_GB2312"/>
          <w:b/>
          <w:color w:val="000000"/>
          <w:sz w:val="36"/>
          <w:szCs w:val="36"/>
          <w:lang w:val="en-US" w:eastAsia="zh-CN"/>
        </w:rPr>
        <w:t>28</w:t>
      </w:r>
      <w:r>
        <w:rPr>
          <w:rFonts w:hint="eastAsia" w:ascii="楷体_GB2312" w:eastAsia="楷体_GB2312"/>
          <w:b/>
          <w:color w:val="000000"/>
          <w:sz w:val="36"/>
          <w:szCs w:val="36"/>
        </w:rPr>
        <w:t>日</w:t>
      </w:r>
      <w:r>
        <w:rPr>
          <w:rFonts w:hint="eastAsia" w:ascii="楷体_GB2312" w:hAnsi="Times New Roman" w:cs="Times New Roman"/>
          <w:b/>
          <w:bCs w:val="0"/>
          <w:color w:val="000000"/>
          <w:kern w:val="2"/>
          <w:sz w:val="36"/>
          <w:szCs w:val="36"/>
          <w:highlight w:val="none"/>
          <w:lang w:val="en-US" w:eastAsia="zh-CN"/>
        </w:rPr>
        <w:t>融券保证金比例调整</w:t>
      </w:r>
      <w:r>
        <w:rPr>
          <w:rFonts w:hint="eastAsia" w:ascii="楷体_GB2312" w:hAnsi="Times New Roman" w:cs="Times New Roman"/>
          <w:b/>
          <w:color w:val="000000"/>
          <w:kern w:val="2"/>
          <w:sz w:val="36"/>
          <w:szCs w:val="36"/>
          <w:highlight w:val="none"/>
          <w:lang w:val="en-US" w:eastAsia="zh-CN"/>
        </w:rPr>
        <w:t>等业务</w:t>
      </w:r>
    </w:p>
    <w:p>
      <w:pPr>
        <w:widowControl/>
        <w:spacing w:line="360" w:lineRule="atLeast"/>
        <w:jc w:val="center"/>
        <w:rPr>
          <w:rFonts w:ascii="楷体_GB2312" w:eastAsia="楷体_GB2312"/>
          <w:b/>
          <w:color w:val="000000"/>
          <w:sz w:val="36"/>
          <w:szCs w:val="36"/>
        </w:rPr>
      </w:pPr>
      <w:r>
        <w:rPr>
          <w:rFonts w:hint="eastAsia" w:ascii="楷体_GB2312" w:eastAsia="楷体_GB2312"/>
          <w:b/>
          <w:color w:val="000000"/>
          <w:sz w:val="36"/>
          <w:szCs w:val="36"/>
        </w:rPr>
        <w:t>全网测试方案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numPr>
          <w:ilvl w:val="0"/>
          <w:numId w:val="0"/>
        </w:numPr>
        <w:spacing w:line="560" w:lineRule="exact"/>
        <w:ind w:firstLine="560" w:firstLineChars="200"/>
        <w:jc w:val="left"/>
        <w:rPr>
          <w:rFonts w:hint="eastAsia" w:eastAsia="楷体_GB2312"/>
          <w:sz w:val="28"/>
          <w:szCs w:val="28"/>
          <w:highlight w:val="none"/>
          <w:lang w:val="en-US" w:eastAsia="zh-CN"/>
        </w:rPr>
      </w:pPr>
      <w:r>
        <w:rPr>
          <w:rFonts w:hint="eastAsia"/>
          <w:sz w:val="28"/>
          <w:szCs w:val="28"/>
          <w:highlight w:val="none"/>
        </w:rPr>
        <w:t>深圳证券交易</w:t>
      </w:r>
      <w:bookmarkStart w:id="8" w:name="_GoBack"/>
      <w:bookmarkEnd w:id="8"/>
      <w:r>
        <w:rPr>
          <w:rFonts w:hint="eastAsia"/>
          <w:sz w:val="28"/>
          <w:szCs w:val="28"/>
          <w:highlight w:val="none"/>
        </w:rPr>
        <w:t>所（以下简称深交所）</w:t>
      </w:r>
      <w:r>
        <w:rPr>
          <w:rFonts w:hint="eastAsia"/>
          <w:sz w:val="28"/>
          <w:szCs w:val="28"/>
          <w:highlight w:val="none"/>
          <w:lang w:val="en-US" w:eastAsia="zh-CN"/>
        </w:rPr>
        <w:t>已于2023年10月14日发布《</w:t>
      </w:r>
      <w:r>
        <w:rPr>
          <w:rFonts w:hint="eastAsia" w:ascii="楷体_GB2312" w:eastAsia="楷体_GB2312"/>
          <w:sz w:val="28"/>
          <w:szCs w:val="28"/>
          <w:highlight w:val="none"/>
        </w:rPr>
        <w:t>关于优化融券交易和转融通证券出借交易相关安排的通知</w:t>
      </w:r>
      <w:r>
        <w:rPr>
          <w:rFonts w:hint="eastAsia"/>
          <w:sz w:val="28"/>
          <w:szCs w:val="28"/>
          <w:highlight w:val="none"/>
          <w:lang w:val="en-US" w:eastAsia="zh-CN"/>
        </w:rPr>
        <w:t>》，</w:t>
      </w:r>
      <w:r>
        <w:rPr>
          <w:rFonts w:hint="eastAsia" w:ascii="楷体_GB2312" w:hAnsi="Times New Roman" w:eastAsia="楷体_GB2312" w:cs="Times New Roman"/>
          <w:kern w:val="2"/>
          <w:sz w:val="28"/>
          <w:szCs w:val="28"/>
          <w:highlight w:val="none"/>
        </w:rPr>
        <w:t>通知第一条“投资者融券卖出时，融券保证金比例不得低于80%。其中，投资者为私募证券投资基金的，融券卖出时，融券保证金比例不得低于100%。本通知实施前尚未了结的融券合约，融券保证金比例要求仍按照原规定执行。”自2023年10月30日起施行</w:t>
      </w:r>
      <w:r>
        <w:rPr>
          <w:rFonts w:hint="eastAsia" w:cs="Times New Roman"/>
          <w:kern w:val="2"/>
          <w:sz w:val="28"/>
          <w:szCs w:val="28"/>
          <w:highlight w:val="none"/>
          <w:lang w:eastAsia="zh-CN"/>
        </w:rPr>
        <w:t>。</w:t>
      </w:r>
      <w:r>
        <w:rPr>
          <w:rFonts w:hint="eastAsia"/>
          <w:sz w:val="28"/>
          <w:szCs w:val="28"/>
          <w:highlight w:val="none"/>
          <w:lang w:val="en-US" w:eastAsia="zh-CN"/>
        </w:rPr>
        <w:t>为</w:t>
      </w:r>
      <w:r>
        <w:rPr>
          <w:rFonts w:hint="eastAsia"/>
          <w:sz w:val="28"/>
          <w:szCs w:val="28"/>
          <w:highlight w:val="none"/>
        </w:rPr>
        <w:t>确保相关业务的顺利开展，深交所联合中国证券登记结算有限责任公司深圳分公司（以下简称中国结算深圳分公司）定于2023年</w:t>
      </w:r>
      <w:r>
        <w:rPr>
          <w:rFonts w:hint="eastAsia"/>
          <w:sz w:val="28"/>
          <w:szCs w:val="28"/>
          <w:highlight w:val="none"/>
          <w:lang w:val="en-US" w:eastAsia="zh-CN"/>
        </w:rPr>
        <w:t>10月28日</w:t>
      </w:r>
      <w:r>
        <w:rPr>
          <w:rFonts w:hint="eastAsia"/>
          <w:sz w:val="28"/>
          <w:szCs w:val="28"/>
          <w:highlight w:val="none"/>
        </w:rPr>
        <w:t>组织全网测试，</w:t>
      </w:r>
      <w:r>
        <w:rPr>
          <w:rFonts w:hint="eastAsia"/>
          <w:sz w:val="28"/>
          <w:szCs w:val="28"/>
          <w:highlight w:val="none"/>
          <w:lang w:val="en-US" w:eastAsia="zh-CN"/>
        </w:rPr>
        <w:t>通过模拟融资融券的保证金可用余额计算、委托申报、成交回报及</w:t>
      </w:r>
      <w:r>
        <w:rPr>
          <w:rFonts w:hint="eastAsia"/>
          <w:sz w:val="28"/>
          <w:szCs w:val="28"/>
          <w:highlight w:val="none"/>
        </w:rPr>
        <w:t>清算交收</w:t>
      </w:r>
      <w:r>
        <w:rPr>
          <w:rFonts w:hint="eastAsia"/>
          <w:sz w:val="28"/>
          <w:szCs w:val="28"/>
          <w:highlight w:val="none"/>
          <w:lang w:val="en-US" w:eastAsia="zh-CN"/>
        </w:rPr>
        <w:t>等业务处理过程，检验市场参与各方技术系统的正确性。</w:t>
      </w:r>
    </w:p>
    <w:p>
      <w:pPr>
        <w:widowControl/>
        <w:numPr>
          <w:ilvl w:val="0"/>
          <w:numId w:val="0"/>
        </w:numPr>
        <w:spacing w:line="560" w:lineRule="exact"/>
        <w:ind w:firstLine="560" w:firstLineChars="200"/>
        <w:jc w:val="left"/>
        <w:rPr>
          <w:rFonts w:hint="eastAsia"/>
          <w:sz w:val="28"/>
          <w:szCs w:val="28"/>
          <w:highlight w:val="none"/>
        </w:rPr>
      </w:pPr>
      <w:r>
        <w:rPr>
          <w:rFonts w:hint="eastAsia"/>
          <w:sz w:val="28"/>
          <w:szCs w:val="28"/>
          <w:lang w:val="en-US" w:eastAsia="zh-CN"/>
        </w:rPr>
        <w:t>本次测试还将模拟百通能源（股票代码：001376）上市首日交易</w:t>
      </w:r>
      <w:r>
        <w:rPr>
          <w:rFonts w:hint="eastAsia"/>
          <w:sz w:val="28"/>
          <w:szCs w:val="28"/>
          <w:highlight w:val="none"/>
          <w:lang w:val="en-US" w:eastAsia="zh-CN"/>
        </w:rPr>
        <w:t>的委托申报、成交回报、</w:t>
      </w:r>
      <w:r>
        <w:rPr>
          <w:rFonts w:hint="eastAsia"/>
          <w:sz w:val="28"/>
          <w:szCs w:val="28"/>
          <w:highlight w:val="none"/>
          <w:lang w:eastAsia="zh-CN"/>
        </w:rPr>
        <w:t>行情接收与展示、</w:t>
      </w:r>
      <w:r>
        <w:rPr>
          <w:rFonts w:hint="eastAsia"/>
          <w:sz w:val="28"/>
          <w:szCs w:val="28"/>
          <w:highlight w:val="none"/>
        </w:rPr>
        <w:t>清算交收等业务处理过程，检验市场参与各方技术系统的正确性。</w:t>
      </w:r>
    </w:p>
    <w:p>
      <w:pPr>
        <w:widowControl/>
        <w:numPr>
          <w:ilvl w:val="0"/>
          <w:numId w:val="0"/>
        </w:numPr>
        <w:spacing w:line="560" w:lineRule="exact"/>
        <w:ind w:firstLine="560" w:firstLineChars="200"/>
        <w:jc w:val="left"/>
        <w:rPr>
          <w:rFonts w:hint="eastAsia"/>
          <w:sz w:val="28"/>
          <w:szCs w:val="28"/>
          <w:highlight w:val="none"/>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香港</w:t>
      </w:r>
      <w:r>
        <w:rPr>
          <w:rFonts w:hint="eastAsia"/>
          <w:color w:val="000000"/>
          <w:sz w:val="28"/>
          <w:szCs w:val="28"/>
          <w:highlight w:val="none"/>
        </w:rPr>
        <w:t>联交</w:t>
      </w:r>
      <w:r>
        <w:rPr>
          <w:rFonts w:hint="eastAsia"/>
          <w:color w:val="000000"/>
          <w:sz w:val="28"/>
          <w:szCs w:val="28"/>
        </w:rPr>
        <w:t>所</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rFonts w:hint="eastAsia"/>
          <w:color w:val="000000"/>
          <w:sz w:val="28"/>
          <w:szCs w:val="28"/>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val="en-US" w:eastAsia="zh-CN"/>
        </w:rPr>
        <w:t>10</w:t>
      </w:r>
      <w:r>
        <w:rPr>
          <w:rFonts w:hint="eastAsia"/>
          <w:color w:val="000000"/>
          <w:sz w:val="28"/>
          <w:szCs w:val="28"/>
          <w:lang w:eastAsia="zh-CN"/>
        </w:rPr>
        <w:t>月</w:t>
      </w:r>
      <w:r>
        <w:rPr>
          <w:rFonts w:hint="eastAsia"/>
          <w:color w:val="000000"/>
          <w:sz w:val="28"/>
          <w:szCs w:val="28"/>
          <w:lang w:val="en-US" w:eastAsia="zh-CN"/>
        </w:rPr>
        <w:t>28</w:t>
      </w:r>
      <w:r>
        <w:rPr>
          <w:rFonts w:hint="eastAsia"/>
          <w:color w:val="000000"/>
          <w:sz w:val="28"/>
          <w:szCs w:val="28"/>
          <w:lang w:eastAsia="zh-CN"/>
        </w:rPr>
        <w:t>日</w:t>
      </w:r>
      <w:r>
        <w:rPr>
          <w:rFonts w:hint="eastAsia"/>
          <w:color w:val="000000"/>
          <w:sz w:val="28"/>
          <w:szCs w:val="28"/>
        </w:rPr>
        <w:t>），港股通证券模拟半日市的交易和1个结算日的结算（即模拟T日2023年10月28日）。</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widowControl/>
        <w:numPr>
          <w:ilvl w:val="0"/>
          <w:numId w:val="4"/>
        </w:numPr>
        <w:spacing w:line="360" w:lineRule="atLeast"/>
        <w:ind w:left="0" w:leftChars="0" w:firstLine="560" w:firstLineChars="200"/>
        <w:outlineLvl w:val="1"/>
        <w:rPr>
          <w:rFonts w:hint="eastAsia" w:ascii="宋体" w:hAnsi="宋体" w:cs="宋体"/>
          <w:b/>
          <w:bCs/>
          <w:sz w:val="28"/>
          <w:szCs w:val="28"/>
          <w:lang w:val="en-US" w:eastAsia="zh-CN"/>
        </w:rPr>
      </w:pPr>
      <w:r>
        <w:rPr>
          <w:rFonts w:hint="eastAsia" w:ascii="宋体" w:hAnsi="宋体" w:cs="宋体"/>
          <w:b w:val="0"/>
          <w:bCs w:val="0"/>
          <w:sz w:val="28"/>
          <w:szCs w:val="28"/>
          <w:lang w:val="en-US" w:eastAsia="zh-CN"/>
        </w:rPr>
        <w:t>融券保证金比例调整。</w:t>
      </w:r>
      <w:r>
        <w:rPr>
          <w:rFonts w:hint="eastAsia"/>
          <w:sz w:val="28"/>
          <w:szCs w:val="28"/>
          <w:highlight w:val="none"/>
          <w:lang w:val="en-US" w:eastAsia="zh-CN"/>
        </w:rPr>
        <w:t>融资融券业务的保证金可用余额计算、委托申报、成交回报及</w:t>
      </w:r>
      <w:r>
        <w:rPr>
          <w:rFonts w:hint="eastAsia"/>
          <w:sz w:val="28"/>
          <w:szCs w:val="28"/>
          <w:highlight w:val="none"/>
        </w:rPr>
        <w:t>清算交收</w:t>
      </w:r>
      <w:r>
        <w:rPr>
          <w:rFonts w:hint="eastAsia"/>
          <w:sz w:val="28"/>
          <w:szCs w:val="28"/>
          <w:highlight w:val="none"/>
          <w:lang w:eastAsia="zh-CN"/>
        </w:rPr>
        <w:t>。</w:t>
      </w:r>
    </w:p>
    <w:p>
      <w:pPr>
        <w:widowControl/>
        <w:numPr>
          <w:ilvl w:val="0"/>
          <w:numId w:val="4"/>
        </w:numPr>
        <w:spacing w:line="360" w:lineRule="atLeast"/>
        <w:ind w:firstLine="560" w:firstLineChars="200"/>
        <w:outlineLvl w:val="1"/>
        <w:rPr>
          <w:rFonts w:hint="eastAsia" w:ascii="宋体" w:hAnsi="宋体" w:cs="宋体"/>
          <w:b/>
          <w:bCs/>
          <w:sz w:val="28"/>
          <w:szCs w:val="28"/>
          <w:lang w:val="en-US" w:eastAsia="zh-CN"/>
        </w:rPr>
      </w:pPr>
      <w:r>
        <w:rPr>
          <w:rFonts w:hint="eastAsia"/>
          <w:sz w:val="28"/>
          <w:szCs w:val="28"/>
          <w:lang w:val="en-US" w:eastAsia="zh-CN"/>
        </w:rPr>
        <w:t>百通能源（股票代码：001376）</w:t>
      </w:r>
      <w:r>
        <w:rPr>
          <w:rFonts w:hint="eastAsia"/>
          <w:sz w:val="28"/>
          <w:szCs w:val="28"/>
        </w:rPr>
        <w:t>新股上市</w:t>
      </w:r>
      <w:r>
        <w:rPr>
          <w:rFonts w:hint="eastAsia"/>
          <w:sz w:val="28"/>
          <w:szCs w:val="28"/>
          <w:lang w:val="en-US" w:eastAsia="zh-CN"/>
        </w:rPr>
        <w:t>首日交易</w:t>
      </w:r>
      <w:r>
        <w:rPr>
          <w:rFonts w:hint="eastAsia"/>
          <w:sz w:val="28"/>
          <w:szCs w:val="28"/>
        </w:rPr>
        <w:t>的委托申报、成交回报、行情接收与展示、清算交收等业务处理</w:t>
      </w:r>
      <w:r>
        <w:rPr>
          <w:rFonts w:hint="eastAsia"/>
          <w:sz w:val="28"/>
          <w:szCs w:val="28"/>
          <w:lang w:eastAsia="zh-CN"/>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val="en-US" w:eastAsia="zh-CN"/>
        </w:rPr>
        <w:t>10</w:t>
      </w:r>
      <w:r>
        <w:rPr>
          <w:rFonts w:hint="eastAsia"/>
          <w:b/>
          <w:bCs/>
          <w:color w:val="000000"/>
          <w:sz w:val="28"/>
          <w:szCs w:val="28"/>
          <w:lang w:eastAsia="zh-CN"/>
        </w:rPr>
        <w:t>月2</w:t>
      </w:r>
      <w:r>
        <w:rPr>
          <w:rFonts w:hint="eastAsia"/>
          <w:b/>
          <w:bCs/>
          <w:color w:val="000000"/>
          <w:sz w:val="28"/>
          <w:szCs w:val="28"/>
          <w:lang w:val="en-US" w:eastAsia="zh-CN"/>
        </w:rPr>
        <w:t>8</w:t>
      </w:r>
      <w:r>
        <w:rPr>
          <w:rFonts w:hint="eastAsia"/>
          <w:b/>
          <w:bCs/>
          <w:color w:val="000000"/>
          <w:sz w:val="28"/>
          <w:szCs w:val="28"/>
          <w:lang w:eastAsia="zh-CN"/>
        </w:rPr>
        <w:t>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color w:val="000000"/>
          <w:szCs w:val="28"/>
          <w:lang w:val="en-US" w:eastAsia="zh-CN"/>
        </w:rPr>
        <w:t>和港股通证券日常</w:t>
      </w:r>
      <w:r>
        <w:rPr>
          <w:rFonts w:hint="eastAsia"/>
          <w:color w:val="000000"/>
          <w:szCs w:val="28"/>
        </w:rPr>
        <w:t>交易、非交易等业务的委托申报，接收成交回报与实时行情。通过交易终端进行委托申报、行情查询、成交查询及数据下载。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模拟深市证券（含现货、期权等品种）、港股通证券的股份及资金清算交收等业务处理。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恢复验证测试内容（模拟2023年</w:t>
      </w:r>
      <w:r>
        <w:rPr>
          <w:rFonts w:hint="eastAsia"/>
          <w:b/>
          <w:bCs/>
          <w:color w:val="000000"/>
          <w:sz w:val="28"/>
          <w:szCs w:val="28"/>
          <w:lang w:val="en-US" w:eastAsia="zh-CN"/>
        </w:rPr>
        <w:t>10</w:t>
      </w:r>
      <w:r>
        <w:rPr>
          <w:rFonts w:hint="eastAsia"/>
          <w:b/>
          <w:bCs/>
          <w:color w:val="000000"/>
          <w:sz w:val="28"/>
          <w:szCs w:val="28"/>
          <w:lang w:eastAsia="zh-CN"/>
        </w:rPr>
        <w:t>月</w:t>
      </w:r>
      <w:r>
        <w:rPr>
          <w:rFonts w:hint="eastAsia"/>
          <w:b/>
          <w:bCs/>
          <w:color w:val="000000"/>
          <w:sz w:val="28"/>
          <w:szCs w:val="28"/>
          <w:lang w:val="en-US" w:eastAsia="zh-CN"/>
        </w:rPr>
        <w:t>28</w:t>
      </w:r>
      <w:r>
        <w:rPr>
          <w:rFonts w:hint="eastAsia"/>
          <w:b/>
          <w:bCs/>
          <w:color w:val="000000"/>
          <w:sz w:val="28"/>
          <w:szCs w:val="28"/>
          <w:lang w:eastAsia="zh-CN"/>
        </w:rPr>
        <w:t>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市场参与人技术系统：交易网关、行情网关、文件网关使用与2023年</w:t>
      </w:r>
      <w:r>
        <w:rPr>
          <w:rFonts w:hint="eastAsia"/>
          <w:b/>
          <w:color w:val="000000"/>
          <w:szCs w:val="28"/>
          <w:lang w:val="en-US" w:eastAsia="zh-CN"/>
        </w:rPr>
        <w:t>10</w:t>
      </w:r>
      <w:r>
        <w:rPr>
          <w:rFonts w:hint="eastAsia"/>
          <w:b/>
          <w:color w:val="000000"/>
          <w:szCs w:val="28"/>
          <w:lang w:eastAsia="zh-CN"/>
        </w:rPr>
        <w:t>月</w:t>
      </w:r>
      <w:r>
        <w:rPr>
          <w:rFonts w:hint="eastAsia"/>
          <w:b/>
          <w:color w:val="000000"/>
          <w:szCs w:val="28"/>
          <w:lang w:val="en-US" w:eastAsia="zh-CN"/>
        </w:rPr>
        <w:t>30</w:t>
      </w:r>
      <w:r>
        <w:rPr>
          <w:rFonts w:hint="eastAsia"/>
          <w:b/>
          <w:color w:val="000000"/>
          <w:szCs w:val="28"/>
          <w:lang w:eastAsia="zh-CN"/>
        </w:rPr>
        <w:t>日</w:t>
      </w:r>
      <w:r>
        <w:rPr>
          <w:rFonts w:hint="eastAsia"/>
          <w:b/>
          <w:color w:val="000000"/>
          <w:szCs w:val="28"/>
        </w:rPr>
        <w:t>生产系统相同配置连接交易及相关系统。</w:t>
      </w:r>
      <w:r>
        <w:rPr>
          <w:rFonts w:hint="eastAsia"/>
          <w:color w:val="000000"/>
          <w:szCs w:val="28"/>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w:t>
      </w:r>
      <w:r>
        <w:rPr>
          <w:rFonts w:hint="eastAsia"/>
          <w:b/>
          <w:color w:val="000000"/>
          <w:sz w:val="28"/>
          <w:szCs w:val="28"/>
          <w:lang w:val="en-US" w:eastAsia="zh-CN"/>
        </w:rPr>
        <w:t>10</w:t>
      </w:r>
      <w:r>
        <w:rPr>
          <w:rFonts w:hint="eastAsia"/>
          <w:b/>
          <w:color w:val="000000"/>
          <w:sz w:val="28"/>
          <w:szCs w:val="28"/>
          <w:lang w:eastAsia="zh-CN"/>
        </w:rPr>
        <w:t>月</w:t>
      </w:r>
      <w:r>
        <w:rPr>
          <w:rFonts w:hint="eastAsia"/>
          <w:b/>
          <w:color w:val="000000"/>
          <w:sz w:val="28"/>
          <w:szCs w:val="28"/>
          <w:lang w:val="en-US" w:eastAsia="zh-CN"/>
        </w:rPr>
        <w:t>28</w:t>
      </w:r>
      <w:r>
        <w:rPr>
          <w:rFonts w:hint="eastAsia"/>
          <w:b/>
          <w:color w:val="000000"/>
          <w:sz w:val="28"/>
          <w:szCs w:val="28"/>
          <w:lang w:eastAsia="zh-CN"/>
        </w:rPr>
        <w:t>日</w:t>
      </w:r>
      <w:r>
        <w:rPr>
          <w:rFonts w:hint="eastAsia"/>
          <w:b/>
          <w:color w:val="000000"/>
          <w:sz w:val="28"/>
          <w:szCs w:val="28"/>
        </w:rPr>
        <w:t>8:30至</w:t>
      </w:r>
      <w:r>
        <w:rPr>
          <w:rFonts w:hint="eastAsia"/>
          <w:b/>
          <w:color w:val="000000"/>
          <w:sz w:val="28"/>
          <w:szCs w:val="28"/>
          <w:lang w:val="en-US" w:eastAsia="zh-CN"/>
        </w:rPr>
        <w:t>15</w:t>
      </w:r>
      <w:r>
        <w:rPr>
          <w:rFonts w:hint="eastAsia"/>
          <w:b/>
          <w:color w:val="000000"/>
          <w:sz w:val="28"/>
          <w:szCs w:val="28"/>
        </w:rPr>
        <w:t>:</w:t>
      </w:r>
      <w:r>
        <w:rPr>
          <w:rFonts w:hint="eastAsia"/>
          <w:b/>
          <w:color w:val="000000"/>
          <w:sz w:val="28"/>
          <w:szCs w:val="28"/>
          <w:lang w:val="en-US" w:eastAsia="zh-CN"/>
        </w:rPr>
        <w:t>3</w:t>
      </w:r>
      <w:r>
        <w:rPr>
          <w:rFonts w:hint="eastAsia"/>
          <w:b/>
          <w:color w:val="000000"/>
          <w:sz w:val="28"/>
          <w:szCs w:val="28"/>
        </w:rPr>
        <w:t>0（含恢复验证测试）。</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10</w:t>
            </w:r>
            <w:r>
              <w:rPr>
                <w:rFonts w:hint="eastAsia" w:ascii="Times New Roman"/>
                <w:b/>
                <w:bCs/>
                <w:color w:val="000000"/>
                <w:sz w:val="21"/>
                <w:szCs w:val="21"/>
                <w:lang w:eastAsia="zh-CN"/>
              </w:rPr>
              <w:t>月</w:t>
            </w:r>
            <w:r>
              <w:rPr>
                <w:rFonts w:hint="eastAsia" w:ascii="Times New Roman"/>
                <w:b/>
                <w:bCs/>
                <w:color w:val="000000"/>
                <w:sz w:val="21"/>
                <w:szCs w:val="21"/>
                <w:lang w:val="en-US" w:eastAsia="zh-CN"/>
              </w:rPr>
              <w:t>28</w:t>
            </w:r>
            <w:r>
              <w:rPr>
                <w:rFonts w:hint="eastAsia" w:ascii="Times New Roman"/>
                <w:b/>
                <w:bCs/>
                <w:color w:val="000000"/>
                <w:sz w:val="21"/>
                <w:szCs w:val="21"/>
                <w:lang w:eastAsia="zh-CN"/>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default"/>
                <w:color w:val="000000"/>
                <w:sz w:val="21"/>
                <w:szCs w:val="21"/>
                <w:lang w:val="en-US" w:eastAsia="zh-CN"/>
              </w:rPr>
            </w:pPr>
            <w:r>
              <w:rPr>
                <w:rFonts w:hint="eastAsia"/>
                <w:color w:val="000000"/>
                <w:sz w:val="21"/>
                <w:szCs w:val="21"/>
              </w:rPr>
              <w:t>深市现货、股票期权等品种交易、非交易业务。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color w:val="FF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eastAsia="楷体_GB2312"/>
                <w:sz w:val="21"/>
                <w:szCs w:val="21"/>
                <w:lang w:eastAsia="zh-CN"/>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tbl>
      <w:tblPr>
        <w:tblStyle w:val="36"/>
        <w:tblpPr w:leftFromText="180" w:rightFromText="180" w:vertAnchor="text" w:horzAnchor="page" w:tblpX="1694" w:tblpY="6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4177"/>
        <w:gridCol w:w="28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10</w:t>
            </w:r>
            <w:r>
              <w:rPr>
                <w:rFonts w:hint="eastAsia" w:ascii="Times New Roman"/>
                <w:b/>
                <w:bCs/>
                <w:color w:val="000000"/>
                <w:sz w:val="21"/>
                <w:szCs w:val="21"/>
                <w:lang w:eastAsia="zh-CN"/>
              </w:rPr>
              <w:t>月</w:t>
            </w:r>
            <w:r>
              <w:rPr>
                <w:rFonts w:hint="eastAsia" w:ascii="Times New Roman"/>
                <w:b/>
                <w:bCs/>
                <w:color w:val="000000"/>
                <w:sz w:val="21"/>
                <w:szCs w:val="21"/>
                <w:lang w:val="en-US" w:eastAsia="zh-CN"/>
              </w:rPr>
              <w:t>28</w:t>
            </w:r>
            <w:r>
              <w:rPr>
                <w:rFonts w:hint="eastAsia" w:ascii="Times New Roman"/>
                <w:b/>
                <w:bCs/>
                <w:color w:val="000000"/>
                <w:sz w:val="21"/>
                <w:szCs w:val="21"/>
                <w:lang w:eastAsia="zh-CN"/>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highlight w:val="none"/>
              </w:rPr>
            </w:pPr>
            <w:r>
              <w:rPr>
                <w:rFonts w:hint="eastAsia" w:ascii="Times New Roman"/>
                <w:sz w:val="21"/>
                <w:szCs w:val="21"/>
                <w:highlight w:val="none"/>
              </w:rPr>
              <w:t>1</w:t>
            </w:r>
            <w:r>
              <w:rPr>
                <w:rFonts w:hint="eastAsia" w:ascii="Times New Roman"/>
                <w:sz w:val="21"/>
                <w:szCs w:val="21"/>
                <w:highlight w:val="none"/>
                <w:lang w:val="en-US" w:eastAsia="zh-CN"/>
              </w:rPr>
              <w:t>4</w:t>
            </w:r>
            <w:r>
              <w:rPr>
                <w:rFonts w:ascii="Times New Roman"/>
                <w:sz w:val="21"/>
                <w:szCs w:val="21"/>
                <w:highlight w:val="none"/>
              </w:rPr>
              <w:t>:</w:t>
            </w:r>
            <w:r>
              <w:rPr>
                <w:rFonts w:hint="eastAsia" w:ascii="Times New Roman"/>
                <w:sz w:val="21"/>
                <w:szCs w:val="21"/>
                <w:highlight w:val="none"/>
                <w:lang w:val="en-US" w:eastAsia="zh-CN"/>
              </w:rPr>
              <w:t>25</w:t>
            </w:r>
            <w:r>
              <w:rPr>
                <w:rFonts w:ascii="Times New Roman"/>
                <w:sz w:val="21"/>
                <w:szCs w:val="21"/>
                <w:highlight w:val="none"/>
              </w:rPr>
              <w:t>前</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highlight w:val="none"/>
              </w:rPr>
            </w:pPr>
            <w:r>
              <w:rPr>
                <w:rFonts w:hint="eastAsia" w:ascii="Times New Roman"/>
                <w:sz w:val="21"/>
                <w:szCs w:val="21"/>
                <w:highlight w:val="none"/>
              </w:rPr>
              <w:t>14</w:t>
            </w:r>
            <w:r>
              <w:rPr>
                <w:rFonts w:ascii="Times New Roman"/>
                <w:sz w:val="21"/>
                <w:szCs w:val="21"/>
                <w:highlight w:val="none"/>
              </w:rPr>
              <w:t>:</w:t>
            </w:r>
            <w:r>
              <w:rPr>
                <w:rFonts w:hint="eastAsia" w:ascii="Times New Roman"/>
                <w:sz w:val="21"/>
                <w:szCs w:val="21"/>
                <w:highlight w:val="none"/>
                <w:lang w:val="en-US" w:eastAsia="zh-CN"/>
              </w:rPr>
              <w:t>25</w:t>
            </w:r>
            <w:r>
              <w:rPr>
                <w:rFonts w:hint="eastAsia" w:ascii="Times New Roman"/>
                <w:sz w:val="21"/>
                <w:szCs w:val="21"/>
                <w:highlight w:val="none"/>
              </w:rPr>
              <w:t>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3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highlight w:val="none"/>
              </w:rPr>
            </w:pPr>
            <w:r>
              <w:rPr>
                <w:rFonts w:hint="eastAsia" w:ascii="Times New Roman"/>
                <w:sz w:val="21"/>
                <w:szCs w:val="21"/>
                <w:highlight w:val="none"/>
              </w:rPr>
              <w:t>14</w:t>
            </w:r>
            <w:r>
              <w:rPr>
                <w:rFonts w:ascii="Times New Roman"/>
                <w:sz w:val="21"/>
                <w:szCs w:val="21"/>
                <w:highlight w:val="none"/>
              </w:rPr>
              <w:t>:</w:t>
            </w:r>
            <w:r>
              <w:rPr>
                <w:rFonts w:hint="eastAsia" w:ascii="Times New Roman"/>
                <w:sz w:val="21"/>
                <w:szCs w:val="21"/>
                <w:highlight w:val="none"/>
              </w:rPr>
              <w:t>2</w:t>
            </w:r>
            <w:r>
              <w:rPr>
                <w:rFonts w:ascii="Times New Roman"/>
                <w:sz w:val="21"/>
                <w:szCs w:val="21"/>
                <w:highlight w:val="none"/>
              </w:rPr>
              <w:t>5-</w:t>
            </w:r>
            <w:r>
              <w:rPr>
                <w:rFonts w:hint="eastAsia" w:ascii="Times New Roman"/>
                <w:sz w:val="21"/>
                <w:szCs w:val="21"/>
                <w:highlight w:val="none"/>
              </w:rPr>
              <w:t>15</w:t>
            </w:r>
            <w:r>
              <w:rPr>
                <w:rFonts w:ascii="Times New Roman"/>
                <w:sz w:val="21"/>
                <w:szCs w:val="21"/>
                <w:highlight w:val="none"/>
              </w:rPr>
              <w:t>:</w:t>
            </w:r>
            <w:r>
              <w:rPr>
                <w:rFonts w:hint="eastAsia" w:ascii="Times New Roman"/>
                <w:sz w:val="21"/>
                <w:szCs w:val="21"/>
                <w:highlight w:val="none"/>
              </w:rPr>
              <w:t>3</w:t>
            </w:r>
            <w:r>
              <w:rPr>
                <w:rFonts w:ascii="Times New Roman"/>
                <w:sz w:val="21"/>
                <w:szCs w:val="21"/>
                <w:highlight w:val="none"/>
              </w:rPr>
              <w:t>0</w:t>
            </w:r>
          </w:p>
          <w:p>
            <w:pPr>
              <w:spacing w:line="300" w:lineRule="exact"/>
              <w:jc w:val="center"/>
              <w:rPr>
                <w:rFonts w:ascii="Times New Roman"/>
                <w:sz w:val="21"/>
                <w:szCs w:val="21"/>
                <w:highlight w:val="none"/>
              </w:rPr>
            </w:pPr>
            <w:r>
              <w:rPr>
                <w:rFonts w:hint="eastAsia" w:ascii="Times New Roman"/>
                <w:sz w:val="21"/>
                <w:szCs w:val="21"/>
                <w:highlight w:val="none"/>
              </w:rPr>
              <w:t>（15</w:t>
            </w:r>
            <w:r>
              <w:rPr>
                <w:rFonts w:ascii="Times New Roman"/>
                <w:sz w:val="21"/>
                <w:szCs w:val="21"/>
                <w:highlight w:val="none"/>
              </w:rPr>
              <w:t>:</w:t>
            </w:r>
            <w:r>
              <w:rPr>
                <w:rFonts w:hint="eastAsia" w:ascii="Times New Roman"/>
                <w:sz w:val="21"/>
                <w:szCs w:val="21"/>
                <w:highlight w:val="none"/>
              </w:rPr>
              <w:t>0</w:t>
            </w:r>
            <w:r>
              <w:rPr>
                <w:rFonts w:ascii="Times New Roman"/>
                <w:sz w:val="21"/>
                <w:szCs w:val="21"/>
                <w:highlight w:val="none"/>
              </w:rPr>
              <w:t>0-</w:t>
            </w:r>
            <w:r>
              <w:rPr>
                <w:rFonts w:hint="eastAsia" w:ascii="Times New Roman"/>
                <w:sz w:val="21"/>
                <w:szCs w:val="21"/>
                <w:highlight w:val="none"/>
              </w:rPr>
              <w:t>15</w:t>
            </w:r>
            <w:r>
              <w:rPr>
                <w:rFonts w:ascii="Times New Roman"/>
                <w:sz w:val="21"/>
                <w:szCs w:val="21"/>
                <w:highlight w:val="none"/>
              </w:rPr>
              <w:t>:</w:t>
            </w:r>
            <w:r>
              <w:rPr>
                <w:rFonts w:hint="eastAsia" w:ascii="Times New Roman"/>
                <w:sz w:val="21"/>
                <w:szCs w:val="21"/>
                <w:highlight w:val="none"/>
              </w:rPr>
              <w:t>0</w:t>
            </w:r>
            <w:r>
              <w:rPr>
                <w:rFonts w:ascii="Times New Roman"/>
                <w:sz w:val="21"/>
                <w:szCs w:val="21"/>
                <w:highlight w:val="none"/>
              </w:rPr>
              <w:t>5</w:t>
            </w:r>
            <w:r>
              <w:rPr>
                <w:rFonts w:hint="eastAsia" w:ascii="Times New Roman"/>
                <w:sz w:val="21"/>
                <w:szCs w:val="21"/>
                <w:highlight w:val="none"/>
              </w:rPr>
              <w:t>中午休市）</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10月30日</w:t>
            </w:r>
            <w:r>
              <w:rPr>
                <w:rFonts w:hint="eastAsia" w:ascii="Times New Roman"/>
                <w:sz w:val="21"/>
                <w:szCs w:val="21"/>
              </w:rPr>
              <w:t>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highlight w:val="none"/>
              </w:rPr>
            </w:pPr>
            <w:r>
              <w:rPr>
                <w:rFonts w:hint="eastAsia" w:ascii="Times New Roman"/>
                <w:sz w:val="21"/>
                <w:szCs w:val="21"/>
                <w:highlight w:val="none"/>
              </w:rPr>
              <w:t>15:30后</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rPr>
              <w:t>15</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14</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highlight w:val="none"/>
        </w:rPr>
        <w:t>港股通</w:t>
      </w:r>
      <w:r>
        <w:rPr>
          <w:rFonts w:hint="eastAsia" w:hAnsi="楷体_GB2312" w:cs="楷体_GB2312"/>
          <w:b/>
          <w:bCs/>
          <w:color w:val="000000"/>
          <w:sz w:val="28"/>
          <w:szCs w:val="28"/>
        </w:rPr>
        <w:t>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w:t>
            </w:r>
            <w:r>
              <w:rPr>
                <w:rFonts w:hint="eastAsia" w:ascii="楷体_GB2312"/>
                <w:b/>
                <w:bCs/>
                <w:sz w:val="24"/>
                <w:szCs w:val="24"/>
                <w:lang w:val="en-US" w:eastAsia="zh-CN"/>
              </w:rPr>
              <w:t>10</w:t>
            </w:r>
            <w:r>
              <w:rPr>
                <w:rFonts w:hint="eastAsia" w:ascii="楷体_GB2312"/>
                <w:b/>
                <w:bCs/>
                <w:sz w:val="24"/>
                <w:szCs w:val="24"/>
                <w:lang w:eastAsia="zh-CN"/>
              </w:rPr>
              <w:t>月</w:t>
            </w:r>
            <w:r>
              <w:rPr>
                <w:rFonts w:hint="eastAsia" w:ascii="楷体_GB2312"/>
                <w:b/>
                <w:bCs/>
                <w:sz w:val="24"/>
                <w:szCs w:val="24"/>
                <w:lang w:val="en-US" w:eastAsia="zh-CN"/>
              </w:rPr>
              <w:t>28</w:t>
            </w:r>
            <w:r>
              <w:rPr>
                <w:rFonts w:hint="eastAsia" w:ascii="楷体_GB2312"/>
                <w:b/>
                <w:bCs/>
                <w:sz w:val="24"/>
                <w:szCs w:val="24"/>
                <w:lang w:eastAsia="zh-CN"/>
              </w:rPr>
              <w:t>日</w:t>
            </w:r>
            <w:r>
              <w:rPr>
                <w:rFonts w:hint="eastAsia" w:ascii="楷体_GB2312"/>
                <w:b/>
                <w:bCs/>
                <w:sz w:val="24"/>
                <w:szCs w:val="24"/>
              </w:rPr>
              <w:t>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w:t>
            </w:r>
            <w:r>
              <w:rPr>
                <w:rFonts w:hint="eastAsia"/>
                <w:b/>
                <w:bCs/>
                <w:szCs w:val="24"/>
                <w:lang w:val="en-US" w:eastAsia="zh-CN"/>
              </w:rPr>
              <w:t>10</w:t>
            </w:r>
            <w:r>
              <w:rPr>
                <w:rFonts w:hint="eastAsia"/>
                <w:b/>
                <w:bCs/>
                <w:szCs w:val="24"/>
                <w:lang w:eastAsia="zh-CN"/>
              </w:rPr>
              <w:t>月</w:t>
            </w:r>
            <w:r>
              <w:rPr>
                <w:rFonts w:hint="eastAsia"/>
                <w:b/>
                <w:bCs/>
                <w:szCs w:val="24"/>
                <w:lang w:val="en-US" w:eastAsia="zh-CN"/>
              </w:rPr>
              <w:t>28</w:t>
            </w:r>
            <w:r>
              <w:rPr>
                <w:rFonts w:hint="eastAsia"/>
                <w:b/>
                <w:bCs/>
                <w:szCs w:val="24"/>
                <w:lang w:eastAsia="zh-CN"/>
              </w:rPr>
              <w:t>日</w:t>
            </w:r>
            <w:r>
              <w:rPr>
                <w:rFonts w:hint="eastAsia"/>
                <w:b/>
                <w:bCs/>
                <w:szCs w:val="24"/>
              </w:rPr>
              <w:t>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5"/>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月2</w:t>
      </w:r>
      <w:r>
        <w:rPr>
          <w:rFonts w:hint="eastAsia" w:ascii="楷体_GB2312" w:eastAsia="楷体_GB2312"/>
          <w:color w:val="000000"/>
          <w:sz w:val="28"/>
          <w:szCs w:val="28"/>
          <w:lang w:val="en-US" w:eastAsia="zh-CN"/>
        </w:rPr>
        <w:t>7</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5"/>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30</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（星期一）生产系统保持一致。</w:t>
      </w:r>
    </w:p>
    <w:p>
      <w:pPr>
        <w:pStyle w:val="72"/>
        <w:numPr>
          <w:ilvl w:val="0"/>
          <w:numId w:val="5"/>
        </w:numPr>
        <w:ind w:left="-240" w:firstLine="560" w:firstLineChars="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hint="eastAsia"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27</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5"/>
        </w:numPr>
        <w:spacing w:line="240" w:lineRule="auto"/>
        <w:ind w:left="-240" w:firstLine="560" w:firstLineChars="0"/>
        <w:jc w:val="left"/>
        <w:outlineLvl w:val="1"/>
        <w:rPr>
          <w:rFonts w:hint="eastAsia" w:ascii="楷体_GB2312" w:eastAsia="楷体_GB2312"/>
          <w:color w:val="000000"/>
          <w:sz w:val="28"/>
          <w:szCs w:val="28"/>
        </w:rPr>
      </w:pPr>
      <w:r>
        <w:rPr>
          <w:rFonts w:hint="eastAsia" w:ascii="楷体_GB2312" w:eastAsia="楷体_GB2312"/>
          <w:color w:val="000000"/>
          <w:sz w:val="28"/>
          <w:szCs w:val="28"/>
        </w:rPr>
        <w:t>新增测试专用证券账户</w:t>
      </w:r>
    </w:p>
    <w:p>
      <w:pPr>
        <w:ind w:firstLine="560" w:firstLineChars="200"/>
        <w:rPr>
          <w:rFonts w:hint="eastAsia" w:ascii="楷体_GB2312" w:eastAsia="楷体_GB2312"/>
          <w:color w:val="000000"/>
          <w:sz w:val="28"/>
          <w:szCs w:val="28"/>
        </w:rPr>
      </w:pPr>
      <w:r>
        <w:rPr>
          <w:rFonts w:hint="eastAsia"/>
          <w:color w:val="000000"/>
          <w:sz w:val="28"/>
          <w:szCs w:val="28"/>
        </w:rPr>
        <w:t>新增测试专用A股证券账户0199900000—0199900001（A股个人）、0809900000—0809900001（A股法人）。</w:t>
      </w:r>
    </w:p>
    <w:p>
      <w:pPr>
        <w:pStyle w:val="72"/>
        <w:numPr>
          <w:ilvl w:val="0"/>
          <w:numId w:val="5"/>
        </w:numPr>
        <w:ind w:left="-240" w:firstLine="560" w:firstLineChars="0"/>
        <w:jc w:val="left"/>
        <w:rPr>
          <w:rFonts w:hint="eastAsia" w:ascii="楷体_GB2312" w:eastAsia="楷体_GB2312"/>
          <w:color w:val="000000"/>
          <w:sz w:val="28"/>
          <w:szCs w:val="28"/>
          <w:lang w:val="en-US" w:eastAsia="zh-CN"/>
        </w:rPr>
      </w:pPr>
      <w:r>
        <w:rPr>
          <w:rFonts w:hint="eastAsia" w:ascii="楷体_GB2312" w:eastAsia="楷体_GB2312"/>
          <w:color w:val="000000"/>
          <w:sz w:val="28"/>
          <w:szCs w:val="28"/>
          <w:lang w:val="en-US" w:eastAsia="zh-CN"/>
        </w:rPr>
        <w:t>百通能源T日</w:t>
      </w:r>
      <w:r>
        <w:rPr>
          <w:rFonts w:hint="eastAsia" w:ascii="楷体_GB2312" w:hAnsi="Times New Roman" w:eastAsia="楷体_GB2312"/>
          <w:color w:val="000000"/>
          <w:kern w:val="2"/>
          <w:sz w:val="28"/>
          <w:szCs w:val="28"/>
        </w:rPr>
        <w:t>上市交易业务测试安排</w:t>
      </w:r>
    </w:p>
    <w:tbl>
      <w:tblPr>
        <w:tblStyle w:val="36"/>
        <w:tblW w:w="879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23"/>
        <w:gridCol w:w="796"/>
        <w:gridCol w:w="1177"/>
        <w:gridCol w:w="1097"/>
        <w:gridCol w:w="738"/>
        <w:gridCol w:w="750"/>
        <w:gridCol w:w="877"/>
        <w:gridCol w:w="992"/>
        <w:gridCol w:w="681"/>
        <w:gridCol w:w="65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91" w:hRule="atLeast"/>
          <w:tblHeader/>
          <w:jc w:val="center"/>
        </w:trPr>
        <w:tc>
          <w:tcPr>
            <w:tcW w:w="1023"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证券代码</w:t>
            </w:r>
          </w:p>
        </w:tc>
        <w:tc>
          <w:tcPr>
            <w:tcW w:w="796"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上市首日</w:t>
            </w:r>
          </w:p>
        </w:tc>
        <w:tc>
          <w:tcPr>
            <w:tcW w:w="1177"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ascii="楷体" w:hAnsi="楷体" w:eastAsia="楷体" w:cs="宋体"/>
                <w:b/>
                <w:bCs/>
                <w:color w:val="2E2E2E"/>
                <w:kern w:val="0"/>
                <w:sz w:val="20"/>
                <w:szCs w:val="20"/>
              </w:rPr>
              <w:t>首日简称</w:t>
            </w:r>
          </w:p>
        </w:tc>
        <w:tc>
          <w:tcPr>
            <w:tcW w:w="1097" w:type="dxa"/>
            <w:shd w:val="clear" w:color="auto" w:fill="BEBEBE" w:themeFill="background1" w:themeFillShade="BF"/>
            <w:noWrap/>
            <w:vAlign w:val="center"/>
          </w:tcPr>
          <w:p>
            <w:pPr>
              <w:widowControl/>
              <w:jc w:val="center"/>
              <w:rPr>
                <w:rFonts w:hint="eastAsia" w:hAnsi="楷体" w:eastAsia="楷体_GB2312" w:cs="宋体"/>
                <w:b/>
                <w:bCs/>
                <w:color w:val="2E2E2E"/>
                <w:kern w:val="0"/>
                <w:sz w:val="20"/>
                <w:lang w:eastAsia="zh-CN"/>
              </w:rPr>
            </w:pPr>
            <w:r>
              <w:rPr>
                <w:rFonts w:hint="eastAsia" w:hAnsi="楷体" w:cs="宋体"/>
                <w:b/>
                <w:bCs/>
                <w:color w:val="2E2E2E"/>
                <w:kern w:val="0"/>
                <w:sz w:val="20"/>
                <w:lang w:eastAsia="zh-CN"/>
              </w:rPr>
              <w:t>首日简称（短）</w:t>
            </w:r>
          </w:p>
        </w:tc>
        <w:tc>
          <w:tcPr>
            <w:tcW w:w="738"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开盘参考价</w:t>
            </w:r>
          </w:p>
        </w:tc>
        <w:tc>
          <w:tcPr>
            <w:tcW w:w="750"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是否尚未盈利</w:t>
            </w:r>
          </w:p>
        </w:tc>
        <w:tc>
          <w:tcPr>
            <w:tcW w:w="877"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是否存在表决权差异</w:t>
            </w:r>
          </w:p>
        </w:tc>
        <w:tc>
          <w:tcPr>
            <w:tcW w:w="992"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是否具有协议控制架构</w:t>
            </w:r>
          </w:p>
        </w:tc>
        <w:tc>
          <w:tcPr>
            <w:tcW w:w="681" w:type="dxa"/>
            <w:shd w:val="clear" w:color="auto" w:fill="BEBEBE" w:themeFill="background1" w:themeFillShade="BF"/>
            <w:noWrap/>
            <w:vAlign w:val="center"/>
          </w:tcPr>
          <w:p>
            <w:pPr>
              <w:widowControl/>
              <w:jc w:val="center"/>
              <w:rPr>
                <w:rFonts w:hAnsi="等线" w:cs="宋体"/>
                <w:color w:val="000000"/>
                <w:kern w:val="0"/>
                <w:sz w:val="22"/>
                <w:szCs w:val="22"/>
              </w:rPr>
            </w:pPr>
            <w:r>
              <w:rPr>
                <w:rFonts w:hint="eastAsia" w:hAnsi="楷体" w:cs="宋体"/>
                <w:b/>
                <w:bCs/>
                <w:color w:val="2E2E2E"/>
                <w:kern w:val="0"/>
                <w:sz w:val="20"/>
              </w:rPr>
              <w:t>是否注册制</w:t>
            </w:r>
          </w:p>
        </w:tc>
        <w:tc>
          <w:tcPr>
            <w:tcW w:w="659" w:type="dxa"/>
            <w:shd w:val="clear" w:color="auto" w:fill="BEBEBE" w:themeFill="background1" w:themeFillShade="BF"/>
            <w:noWrap/>
            <w:vAlign w:val="center"/>
          </w:tcPr>
          <w:p>
            <w:pPr>
              <w:widowControl/>
              <w:jc w:val="center"/>
              <w:rPr>
                <w:rFonts w:hAnsi="楷体" w:cs="宋体"/>
                <w:b/>
                <w:bCs/>
                <w:color w:val="2E2E2E"/>
                <w:kern w:val="0"/>
                <w:sz w:val="20"/>
              </w:rPr>
            </w:pPr>
            <w:r>
              <w:rPr>
                <w:rFonts w:hint="eastAsia" w:hAnsi="楷体" w:cs="宋体"/>
                <w:b/>
                <w:bCs/>
                <w:color w:val="2E2E2E"/>
                <w:kern w:val="0"/>
                <w:sz w:val="20"/>
              </w:rPr>
              <w:t>上市方式</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40" w:hRule="atLeast"/>
          <w:jc w:val="center"/>
        </w:trPr>
        <w:tc>
          <w:tcPr>
            <w:tcW w:w="1023"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Ansi="楷体" w:cs="宋体"/>
                <w:color w:val="000000"/>
                <w:kern w:val="0"/>
                <w:sz w:val="20"/>
              </w:rPr>
              <w:t>001</w:t>
            </w:r>
            <w:r>
              <w:rPr>
                <w:rFonts w:hint="eastAsia" w:hAnsi="楷体" w:cs="宋体"/>
                <w:color w:val="000000"/>
                <w:kern w:val="0"/>
                <w:sz w:val="20"/>
                <w:lang w:val="en-US" w:eastAsia="zh-CN"/>
              </w:rPr>
              <w:t>376</w:t>
            </w:r>
          </w:p>
        </w:tc>
        <w:tc>
          <w:tcPr>
            <w:tcW w:w="796" w:type="dxa"/>
            <w:shd w:val="clear" w:color="auto" w:fill="auto"/>
            <w:noWrap/>
            <w:vAlign w:val="center"/>
          </w:tcPr>
          <w:p>
            <w:pPr>
              <w:widowControl/>
              <w:jc w:val="center"/>
              <w:rPr>
                <w:rFonts w:hint="default" w:hAnsi="楷体" w:eastAsia="楷体_GB2312" w:cs="宋体"/>
                <w:color w:val="000000"/>
                <w:kern w:val="0"/>
                <w:sz w:val="20"/>
                <w:lang w:val="en-US" w:eastAsia="zh-CN"/>
              </w:rPr>
            </w:pPr>
            <w:r>
              <w:rPr>
                <w:rFonts w:hint="eastAsia" w:hAnsi="楷体" w:cs="宋体"/>
                <w:color w:val="000000"/>
                <w:kern w:val="0"/>
                <w:sz w:val="20"/>
              </w:rPr>
              <w:t>2023/10/</w:t>
            </w:r>
            <w:r>
              <w:rPr>
                <w:rFonts w:hint="eastAsia" w:hAnsi="楷体" w:cs="宋体"/>
                <w:color w:val="000000"/>
                <w:kern w:val="0"/>
                <w:sz w:val="20"/>
                <w:lang w:val="en-US" w:eastAsia="zh-CN"/>
              </w:rPr>
              <w:t>28</w:t>
            </w:r>
          </w:p>
        </w:tc>
        <w:tc>
          <w:tcPr>
            <w:tcW w:w="1177" w:type="dxa"/>
            <w:shd w:val="clear" w:color="auto" w:fill="auto"/>
            <w:noWrap/>
            <w:vAlign w:val="center"/>
          </w:tcPr>
          <w:p>
            <w:pPr>
              <w:widowControl/>
              <w:jc w:val="center"/>
              <w:rPr>
                <w:rFonts w:hint="eastAsia" w:hAnsi="楷体" w:eastAsia="楷体_GB2312" w:cs="宋体"/>
                <w:color w:val="000000"/>
                <w:kern w:val="0"/>
                <w:sz w:val="20"/>
                <w:highlight w:val="none"/>
                <w:lang w:eastAsia="zh-CN"/>
              </w:rPr>
            </w:pPr>
            <w:r>
              <w:rPr>
                <w:rFonts w:hint="eastAsia" w:hAnsi="楷体" w:cs="宋体"/>
                <w:color w:val="000000"/>
                <w:kern w:val="0"/>
                <w:sz w:val="20"/>
                <w:highlight w:val="none"/>
              </w:rPr>
              <w:t>N</w:t>
            </w:r>
            <w:r>
              <w:rPr>
                <w:rFonts w:hint="eastAsia" w:hAnsi="楷体" w:cs="宋体"/>
                <w:color w:val="000000"/>
                <w:kern w:val="0"/>
                <w:sz w:val="20"/>
                <w:highlight w:val="none"/>
                <w:lang w:eastAsia="zh-CN"/>
              </w:rPr>
              <w:t>百通能源</w:t>
            </w:r>
          </w:p>
        </w:tc>
        <w:tc>
          <w:tcPr>
            <w:tcW w:w="1097" w:type="dxa"/>
            <w:shd w:val="clear" w:color="auto" w:fill="auto"/>
            <w:noWrap/>
            <w:vAlign w:val="center"/>
          </w:tcPr>
          <w:p>
            <w:pPr>
              <w:widowControl/>
              <w:jc w:val="center"/>
              <w:rPr>
                <w:rFonts w:hint="default" w:hAnsi="楷体" w:cs="宋体"/>
                <w:color w:val="000000"/>
                <w:kern w:val="0"/>
                <w:sz w:val="20"/>
                <w:highlight w:val="none"/>
                <w:lang w:val="en-US" w:eastAsia="zh-CN"/>
              </w:rPr>
            </w:pPr>
            <w:r>
              <w:rPr>
                <w:rFonts w:hint="eastAsia" w:hAnsi="楷体" w:cs="宋体"/>
                <w:color w:val="000000"/>
                <w:kern w:val="0"/>
                <w:sz w:val="20"/>
                <w:highlight w:val="none"/>
                <w:lang w:val="en-US" w:eastAsia="zh-CN"/>
              </w:rPr>
              <w:t>N百通</w:t>
            </w:r>
          </w:p>
        </w:tc>
        <w:tc>
          <w:tcPr>
            <w:tcW w:w="738" w:type="dxa"/>
            <w:shd w:val="clear" w:color="auto" w:fill="auto"/>
            <w:noWrap/>
            <w:vAlign w:val="center"/>
          </w:tcPr>
          <w:p>
            <w:pPr>
              <w:widowControl/>
              <w:jc w:val="center"/>
              <w:rPr>
                <w:rFonts w:hAnsi="楷体" w:cs="宋体"/>
                <w:color w:val="000000"/>
                <w:kern w:val="0"/>
                <w:sz w:val="20"/>
                <w:highlight w:val="none"/>
              </w:rPr>
            </w:pPr>
            <w:r>
              <w:rPr>
                <w:rFonts w:hint="eastAsia" w:hAnsi="楷体" w:cs="宋体"/>
                <w:color w:val="000000"/>
                <w:kern w:val="0"/>
                <w:sz w:val="20"/>
                <w:highlight w:val="none"/>
                <w:lang w:val="en-US" w:eastAsia="zh-CN"/>
              </w:rPr>
              <w:t>4.56</w:t>
            </w:r>
          </w:p>
        </w:tc>
        <w:tc>
          <w:tcPr>
            <w:tcW w:w="750"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877"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992" w:type="dxa"/>
            <w:shd w:val="clear" w:color="auto" w:fill="auto"/>
            <w:noWrap/>
            <w:vAlign w:val="center"/>
          </w:tcPr>
          <w:p>
            <w:pPr>
              <w:widowControl/>
              <w:jc w:val="center"/>
              <w:rPr>
                <w:rFonts w:hAnsi="楷体" w:cs="宋体"/>
                <w:color w:val="000000"/>
                <w:kern w:val="0"/>
                <w:sz w:val="20"/>
              </w:rPr>
            </w:pPr>
            <w:r>
              <w:rPr>
                <w:rFonts w:hint="eastAsia" w:hAnsi="楷体" w:cs="宋体"/>
                <w:color w:val="000000"/>
                <w:kern w:val="0"/>
                <w:sz w:val="20"/>
              </w:rPr>
              <w:t>N</w:t>
            </w:r>
          </w:p>
        </w:tc>
        <w:tc>
          <w:tcPr>
            <w:tcW w:w="681" w:type="dxa"/>
            <w:shd w:val="clear" w:color="auto" w:fill="auto"/>
            <w:vAlign w:val="center"/>
          </w:tcPr>
          <w:p>
            <w:pPr>
              <w:widowControl/>
              <w:jc w:val="center"/>
              <w:rPr>
                <w:rFonts w:hAnsi="楷体" w:cs="宋体"/>
                <w:color w:val="000000"/>
                <w:kern w:val="0"/>
                <w:sz w:val="20"/>
              </w:rPr>
            </w:pPr>
            <w:r>
              <w:rPr>
                <w:rFonts w:hint="eastAsia" w:hAnsi="楷体" w:cs="宋体"/>
                <w:color w:val="FF0000"/>
                <w:kern w:val="0"/>
                <w:sz w:val="20"/>
              </w:rPr>
              <w:t>N</w:t>
            </w:r>
          </w:p>
        </w:tc>
        <w:tc>
          <w:tcPr>
            <w:tcW w:w="659" w:type="dxa"/>
            <w:shd w:val="clear" w:color="auto" w:fill="auto"/>
            <w:vAlign w:val="center"/>
          </w:tcPr>
          <w:p>
            <w:pPr>
              <w:widowControl/>
              <w:jc w:val="center"/>
              <w:rPr>
                <w:rFonts w:hAnsi="楷体" w:cs="宋体"/>
                <w:color w:val="000000"/>
                <w:kern w:val="0"/>
                <w:sz w:val="20"/>
              </w:rPr>
            </w:pPr>
            <w:r>
              <w:rPr>
                <w:rFonts w:hint="eastAsia" w:hAnsi="楷体" w:cs="宋体"/>
                <w:color w:val="000000"/>
                <w:kern w:val="0"/>
                <w:sz w:val="20"/>
              </w:rPr>
              <w:t>新股上市</w:t>
            </w:r>
          </w:p>
        </w:tc>
      </w:tr>
    </w:tbl>
    <w:p>
      <w:pPr>
        <w:ind w:firstLine="560" w:firstLineChars="200"/>
        <w:rPr>
          <w:rFonts w:hint="eastAsia" w:ascii="楷体_GB2312" w:eastAsia="楷体_GB2312"/>
          <w:color w:val="000000"/>
          <w:sz w:val="28"/>
          <w:szCs w:val="28"/>
          <w:lang w:val="en-US" w:eastAsia="zh-CN"/>
        </w:rPr>
      </w:pPr>
      <w:r>
        <w:rPr>
          <w:rFonts w:hint="eastAsia" w:ascii="楷体_GB2312" w:eastAsia="楷体_GB2312"/>
          <w:color w:val="000000"/>
          <w:kern w:val="2"/>
          <w:sz w:val="28"/>
          <w:szCs w:val="28"/>
        </w:rPr>
        <w:t>中国结算深圳分公司为0199900000、0199900001、0809900000、0809900001测试证券账户在每个有效的A股托管单元新增登记</w:t>
      </w:r>
      <w:r>
        <w:rPr>
          <w:rFonts w:hint="eastAsia" w:ascii="楷体_GB2312" w:eastAsia="楷体_GB2312"/>
          <w:color w:val="000000"/>
          <w:sz w:val="28"/>
          <w:szCs w:val="28"/>
          <w:lang w:val="en-US" w:eastAsia="zh-CN"/>
        </w:rPr>
        <w:t>百通能源（股票代码：001376）各</w:t>
      </w:r>
      <w:r>
        <w:rPr>
          <w:rFonts w:hint="eastAsia"/>
          <w:color w:val="000000"/>
          <w:kern w:val="2"/>
          <w:sz w:val="28"/>
          <w:szCs w:val="28"/>
        </w:rPr>
        <w:t>1</w:t>
      </w:r>
      <w:r>
        <w:rPr>
          <w:rFonts w:hint="eastAsia"/>
          <w:color w:val="000000"/>
          <w:kern w:val="2"/>
          <w:sz w:val="28"/>
          <w:szCs w:val="28"/>
          <w:lang w:val="en-US" w:eastAsia="zh-CN"/>
        </w:rPr>
        <w:t>,0</w:t>
      </w:r>
      <w:r>
        <w:rPr>
          <w:rFonts w:hint="eastAsia"/>
          <w:color w:val="000000"/>
          <w:kern w:val="2"/>
          <w:sz w:val="28"/>
          <w:szCs w:val="28"/>
        </w:rPr>
        <w:t>00,000</w:t>
      </w:r>
      <w:r>
        <w:rPr>
          <w:rFonts w:hint="eastAsia" w:ascii="楷体_GB2312" w:eastAsia="楷体_GB2312"/>
          <w:color w:val="000000"/>
          <w:sz w:val="28"/>
          <w:szCs w:val="28"/>
          <w:lang w:val="en-US" w:eastAsia="zh-CN"/>
        </w:rPr>
        <w:t>股“00”股份。</w:t>
      </w:r>
    </w:p>
    <w:p>
      <w:pPr>
        <w:pStyle w:val="72"/>
        <w:numPr>
          <w:ilvl w:val="0"/>
          <w:numId w:val="5"/>
        </w:numPr>
        <w:ind w:left="-80" w:firstLine="560" w:firstLineChars="0"/>
        <w:jc w:val="left"/>
        <w:outlineLvl w:val="1"/>
        <w:rPr>
          <w:rFonts w:ascii="楷体_GB2312" w:hAnsi="楷体" w:eastAsia="楷体_GB2312"/>
          <w:sz w:val="28"/>
          <w:szCs w:val="28"/>
        </w:rPr>
      </w:pPr>
      <w:r>
        <w:rPr>
          <w:rFonts w:hint="eastAsia" w:ascii="楷体_GB2312" w:eastAsia="楷体_GB2312"/>
          <w:color w:val="000000"/>
          <w:sz w:val="28"/>
          <w:szCs w:val="28"/>
          <w:lang w:val="en-US" w:eastAsia="zh-CN"/>
        </w:rPr>
        <w:t xml:space="preserve"> </w:t>
      </w:r>
      <w:r>
        <w:rPr>
          <w:rFonts w:hint="eastAsia" w:ascii="楷体_GB2312" w:eastAsia="楷体_GB2312"/>
          <w:color w:val="000000"/>
          <w:sz w:val="28"/>
          <w:szCs w:val="28"/>
        </w:rPr>
        <w:t>资金</w:t>
      </w:r>
      <w:r>
        <w:rPr>
          <w:rFonts w:hint="eastAsia" w:ascii="楷体_GB2312" w:eastAsia="楷体_GB2312"/>
          <w:color w:val="000000"/>
          <w:sz w:val="28"/>
          <w:szCs w:val="28"/>
          <w:lang w:val="en-US" w:eastAsia="zh-CN"/>
        </w:rPr>
        <w:t>账户</w:t>
      </w:r>
      <w:r>
        <w:rPr>
          <w:rFonts w:hint="eastAsia" w:ascii="楷体_GB2312" w:hAnsi="楷体" w:eastAsia="楷体_GB2312"/>
          <w:sz w:val="28"/>
          <w:szCs w:val="28"/>
        </w:rPr>
        <w:t>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val="en-US" w:eastAsia="zh-CN"/>
        </w:rPr>
        <w:t>10</w:t>
      </w:r>
      <w:r>
        <w:rPr>
          <w:rFonts w:hint="eastAsia" w:ascii="楷体_GB2312" w:eastAsia="楷体_GB2312"/>
          <w:color w:val="000000"/>
          <w:sz w:val="28"/>
          <w:szCs w:val="28"/>
          <w:lang w:eastAsia="zh-CN"/>
        </w:rPr>
        <w:t>月</w:t>
      </w:r>
      <w:r>
        <w:rPr>
          <w:rFonts w:hint="eastAsia" w:ascii="楷体_GB2312" w:eastAsia="楷体_GB2312"/>
          <w:color w:val="000000"/>
          <w:sz w:val="28"/>
          <w:szCs w:val="28"/>
          <w:lang w:val="en-US" w:eastAsia="zh-CN"/>
        </w:rPr>
        <w:t>28</w:t>
      </w:r>
      <w:r>
        <w:rPr>
          <w:rFonts w:hint="eastAsia" w:ascii="楷体_GB2312" w:eastAsia="楷体_GB2312"/>
          <w:color w:val="000000"/>
          <w:sz w:val="28"/>
          <w:szCs w:val="28"/>
          <w:lang w:eastAsia="zh-CN"/>
        </w:rPr>
        <w:t>日</w:t>
      </w:r>
      <w:r>
        <w:rPr>
          <w:rFonts w:hint="eastAsia" w:ascii="楷体_GB2312" w:eastAsia="楷体_GB2312"/>
          <w:color w:val="000000"/>
          <w:sz w:val="28"/>
          <w:szCs w:val="28"/>
        </w:rPr>
        <w:t>的现货结算备付金账户余额修改为100亿元，</w:t>
      </w:r>
      <w:r>
        <w:rPr>
          <w:rFonts w:hint="eastAsia" w:ascii="楷体_GB2312" w:eastAsia="楷体_GB2312"/>
          <w:color w:val="000000"/>
          <w:sz w:val="28"/>
          <w:szCs w:val="28"/>
          <w:highlight w:val="none"/>
        </w:rPr>
        <w:t>港股通结</w:t>
      </w:r>
      <w:r>
        <w:rPr>
          <w:rFonts w:hint="eastAsia" w:ascii="楷体_GB2312" w:eastAsia="楷体_GB2312"/>
          <w:color w:val="000000"/>
          <w:sz w:val="28"/>
          <w:szCs w:val="28"/>
        </w:rPr>
        <w:t>算备付金账户余额不做调整。如果需要调整，可致电中国结算深圳分公司进行账户余额的调整，联系电话：0755-88666429。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6"/>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28</w:t>
      </w:r>
      <w:r>
        <w:rPr>
          <w:rFonts w:hint="eastAsia"/>
          <w:sz w:val="28"/>
          <w:szCs w:val="28"/>
          <w:lang w:eastAsia="zh-CN"/>
        </w:rPr>
        <w:t>日</w:t>
      </w:r>
      <w:r>
        <w:rPr>
          <w:rFonts w:hint="eastAsia"/>
          <w:sz w:val="28"/>
          <w:szCs w:val="28"/>
        </w:rPr>
        <w:t>期间属于测试环境，2023年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28</w:t>
      </w:r>
      <w:r>
        <w:rPr>
          <w:rFonts w:hint="eastAsia"/>
          <w:sz w:val="28"/>
          <w:szCs w:val="28"/>
          <w:lang w:eastAsia="zh-CN"/>
        </w:rPr>
        <w:t>日</w:t>
      </w:r>
      <w:r>
        <w:rPr>
          <w:rFonts w:hint="eastAsia"/>
          <w:sz w:val="28"/>
          <w:szCs w:val="28"/>
        </w:rPr>
        <w:t>23:45以后将恢复回生产环境。</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28</w:t>
      </w:r>
      <w:r>
        <w:rPr>
          <w:rFonts w:hint="eastAsia"/>
          <w:sz w:val="28"/>
          <w:szCs w:val="28"/>
          <w:lang w:eastAsia="zh-CN"/>
        </w:rPr>
        <w:t>日</w:t>
      </w:r>
      <w:r>
        <w:rPr>
          <w:rFonts w:hint="eastAsia"/>
          <w:sz w:val="28"/>
          <w:szCs w:val="28"/>
        </w:rPr>
        <w:t>测试。</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val="en-US" w:eastAsia="zh-CN"/>
        </w:rPr>
        <w:t>10</w:t>
      </w:r>
      <w:r>
        <w:rPr>
          <w:rFonts w:hint="eastAsia"/>
          <w:sz w:val="28"/>
          <w:szCs w:val="28"/>
          <w:lang w:eastAsia="zh-CN"/>
        </w:rPr>
        <w:t>月</w:t>
      </w:r>
      <w:r>
        <w:rPr>
          <w:rFonts w:hint="eastAsia"/>
          <w:sz w:val="28"/>
          <w:szCs w:val="28"/>
          <w:lang w:val="en-US" w:eastAsia="zh-CN"/>
        </w:rPr>
        <w:t>28</w:t>
      </w:r>
      <w:r>
        <w:rPr>
          <w:rFonts w:hint="eastAsia"/>
          <w:sz w:val="28"/>
          <w:szCs w:val="28"/>
          <w:lang w:eastAsia="zh-CN"/>
        </w:rPr>
        <w:t>日</w:t>
      </w:r>
      <w:r>
        <w:rPr>
          <w:rFonts w:hint="eastAsia"/>
          <w:sz w:val="28"/>
          <w:szCs w:val="28"/>
        </w:rPr>
        <w:t>测试相关数据。</w:t>
      </w:r>
      <w:r>
        <w:rPr>
          <w:rFonts w:hint="eastAsia" w:hAnsi="楷体"/>
          <w:color w:val="000000"/>
          <w:sz w:val="28"/>
          <w:szCs w:val="28"/>
        </w:rPr>
        <w:t>测试完成后做好线上系统和数据环境的恢复工作，确保下一交易日（2023年</w:t>
      </w:r>
      <w:r>
        <w:rPr>
          <w:rFonts w:hint="eastAsia" w:hAnsi="楷体"/>
          <w:color w:val="000000"/>
          <w:sz w:val="28"/>
          <w:szCs w:val="28"/>
          <w:lang w:val="en-US" w:eastAsia="zh-CN"/>
        </w:rPr>
        <w:t>10</w:t>
      </w:r>
      <w:r>
        <w:rPr>
          <w:rFonts w:hint="eastAsia" w:hAnsi="楷体"/>
          <w:color w:val="000000"/>
          <w:sz w:val="28"/>
          <w:szCs w:val="28"/>
          <w:lang w:eastAsia="zh-CN"/>
        </w:rPr>
        <w:t>月</w:t>
      </w:r>
      <w:r>
        <w:rPr>
          <w:rFonts w:hint="eastAsia" w:hAnsi="楷体"/>
          <w:color w:val="000000"/>
          <w:sz w:val="28"/>
          <w:szCs w:val="28"/>
          <w:lang w:val="en-US" w:eastAsia="zh-CN"/>
        </w:rPr>
        <w:t>30</w:t>
      </w:r>
      <w:r>
        <w:rPr>
          <w:rFonts w:hint="eastAsia" w:hAnsi="楷体"/>
          <w:color w:val="000000"/>
          <w:sz w:val="28"/>
          <w:szCs w:val="28"/>
          <w:lang w:eastAsia="zh-CN"/>
        </w:rPr>
        <w:t>日</w:t>
      </w:r>
      <w:r>
        <w:rPr>
          <w:rFonts w:hint="eastAsia" w:hAnsi="楷体"/>
          <w:color w:val="000000"/>
          <w:sz w:val="28"/>
          <w:szCs w:val="28"/>
        </w:rPr>
        <w:t>）生产系统的正确运行。</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w:t>
      </w:r>
      <w:r>
        <w:rPr>
          <w:rFonts w:hint="eastAsia" w:hAnsi="楷体"/>
          <w:color w:val="000000"/>
          <w:sz w:val="28"/>
          <w:szCs w:val="28"/>
          <w:lang w:eastAsia="zh-CN"/>
        </w:rPr>
        <w:t>及相关单位</w:t>
      </w:r>
      <w:r>
        <w:rPr>
          <w:rFonts w:hint="eastAsia" w:hAnsi="楷体"/>
          <w:color w:val="000000"/>
          <w:sz w:val="28"/>
          <w:szCs w:val="28"/>
        </w:rPr>
        <w:t>务必参加测试，因故不能参加测试者，务必填写反馈表（参见附件）说明原因，并通知深交所。</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val="en-US" w:eastAsia="zh-CN"/>
        </w:rPr>
        <w:t>10</w:t>
      </w:r>
      <w:r>
        <w:rPr>
          <w:rFonts w:hint="eastAsia" w:hAnsi="楷体"/>
          <w:color w:val="000000"/>
          <w:sz w:val="28"/>
          <w:szCs w:val="28"/>
          <w:lang w:eastAsia="zh-CN"/>
        </w:rPr>
        <w:t>月</w:t>
      </w:r>
      <w:r>
        <w:rPr>
          <w:rFonts w:hint="eastAsia" w:hAnsi="楷体"/>
          <w:color w:val="000000"/>
          <w:sz w:val="28"/>
          <w:szCs w:val="28"/>
          <w:lang w:val="en-US" w:eastAsia="zh-CN"/>
        </w:rPr>
        <w:t>28</w:t>
      </w:r>
      <w:r>
        <w:rPr>
          <w:rFonts w:hint="eastAsia" w:hAnsi="楷体"/>
          <w:color w:val="000000"/>
          <w:sz w:val="28"/>
          <w:szCs w:val="28"/>
          <w:lang w:eastAsia="zh-CN"/>
        </w:rPr>
        <w:t>日</w:t>
      </w:r>
      <w:r>
        <w:rPr>
          <w:rFonts w:hint="eastAsia" w:hAnsi="楷体"/>
          <w:color w:val="000000"/>
          <w:sz w:val="28"/>
          <w:szCs w:val="28"/>
          <w:highlight w:val="none"/>
          <w:lang w:val="en-US" w:eastAsia="zh-CN"/>
        </w:rPr>
        <w:t>16</w:t>
      </w:r>
      <w:r>
        <w:rPr>
          <w:rFonts w:hint="eastAsia" w:hAnsi="楷体"/>
          <w:color w:val="000000"/>
          <w:sz w:val="28"/>
          <w:szCs w:val="28"/>
          <w:highlight w:val="none"/>
        </w:rPr>
        <w:t>:</w:t>
      </w:r>
      <w:r>
        <w:rPr>
          <w:rFonts w:hint="eastAsia" w:hAnsi="楷体"/>
          <w:color w:val="000000"/>
          <w:sz w:val="28"/>
          <w:szCs w:val="28"/>
          <w:highlight w:val="none"/>
          <w:lang w:val="en-US" w:eastAsia="zh-CN"/>
        </w:rPr>
        <w:t>0</w:t>
      </w:r>
      <w:r>
        <w:rPr>
          <w:rFonts w:hint="eastAsia" w:hAnsi="楷体"/>
          <w:color w:val="000000"/>
          <w:sz w:val="28"/>
          <w:szCs w:val="28"/>
          <w:highlight w:val="none"/>
        </w:rPr>
        <w:t>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rFonts w:hint="eastAsia"/>
          <w:color w:val="2E2E2E"/>
          <w:kern w:val="0"/>
          <w:sz w:val="28"/>
          <w:szCs w:val="28"/>
          <w:highlight w:val="none"/>
        </w:rPr>
      </w:pPr>
      <w:r>
        <w:rPr>
          <w:rFonts w:hint="eastAsia"/>
          <w:color w:val="2E2E2E"/>
          <w:kern w:val="0"/>
          <w:sz w:val="28"/>
          <w:szCs w:val="28"/>
          <w:highlight w:val="none"/>
        </w:rPr>
        <w:t>深交所：</w:t>
      </w:r>
      <w:r>
        <w:rPr>
          <w:rFonts w:hint="eastAsia"/>
          <w:color w:val="000000" w:themeColor="text1"/>
          <w:kern w:val="2"/>
          <w:sz w:val="28"/>
          <w:szCs w:val="28"/>
          <w:highlight w:val="none"/>
          <w14:textFill>
            <w14:solidFill>
              <w14:schemeClr w14:val="tx1"/>
            </w14:solidFill>
          </w14:textFill>
        </w:rPr>
        <w:t>0755-</w:t>
      </w:r>
      <w:r>
        <w:rPr>
          <w:rFonts w:hint="eastAsia"/>
          <w:color w:val="000000" w:themeColor="text1"/>
          <w:sz w:val="28"/>
          <w:szCs w:val="28"/>
          <w:highlight w:val="none"/>
          <w:lang w:val="en-US" w:eastAsia="zh-CN"/>
          <w14:textFill>
            <w14:solidFill>
              <w14:schemeClr w14:val="tx1"/>
            </w14:solidFill>
          </w14:textFill>
        </w:rPr>
        <w:t>88666284（融券保证金比例调整）</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10</w:t>
      </w:r>
      <w:r>
        <w:rPr>
          <w:rFonts w:hint="eastAsia"/>
          <w:color w:val="000000"/>
          <w:sz w:val="28"/>
          <w:szCs w:val="28"/>
        </w:rPr>
        <w:t>月</w:t>
      </w:r>
      <w:r>
        <w:rPr>
          <w:rFonts w:hint="eastAsia"/>
          <w:color w:val="000000"/>
          <w:sz w:val="28"/>
          <w:szCs w:val="28"/>
          <w:lang w:val="en-US" w:eastAsia="zh-CN"/>
        </w:rPr>
        <w:t>24</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hint="eastAsia" w:ascii="楷体" w:hAnsi="楷体" w:eastAsia="楷体" w:cs="楷体"/>
          <w:b/>
          <w:color w:val="000000"/>
          <w:sz w:val="32"/>
          <w:szCs w:val="28"/>
          <w:highlight w:val="none"/>
        </w:rPr>
      </w:pPr>
      <w:r>
        <w:rPr>
          <w:rFonts w:hint="eastAsia" w:ascii="楷体" w:hAnsi="楷体" w:eastAsia="楷体" w:cs="楷体"/>
          <w:b/>
          <w:color w:val="000000"/>
          <w:sz w:val="32"/>
          <w:szCs w:val="28"/>
          <w:highlight w:val="none"/>
        </w:rPr>
        <w:t>2023年</w:t>
      </w:r>
      <w:r>
        <w:rPr>
          <w:rFonts w:hint="eastAsia" w:ascii="楷体" w:hAnsi="楷体" w:eastAsia="楷体" w:cs="楷体"/>
          <w:b/>
          <w:color w:val="000000"/>
          <w:sz w:val="32"/>
          <w:szCs w:val="28"/>
          <w:highlight w:val="none"/>
          <w:lang w:val="en-US" w:eastAsia="zh-CN"/>
        </w:rPr>
        <w:t>10</w:t>
      </w:r>
      <w:r>
        <w:rPr>
          <w:rFonts w:hint="eastAsia" w:ascii="楷体" w:hAnsi="楷体" w:eastAsia="楷体" w:cs="楷体"/>
          <w:b/>
          <w:color w:val="000000"/>
          <w:sz w:val="32"/>
          <w:szCs w:val="28"/>
          <w:highlight w:val="none"/>
        </w:rPr>
        <w:t>月</w:t>
      </w:r>
      <w:r>
        <w:rPr>
          <w:rFonts w:hint="eastAsia" w:ascii="楷体" w:hAnsi="楷体" w:eastAsia="楷体" w:cs="楷体"/>
          <w:b/>
          <w:color w:val="000000"/>
          <w:sz w:val="32"/>
          <w:szCs w:val="28"/>
          <w:highlight w:val="none"/>
          <w:lang w:val="en-US" w:eastAsia="zh-CN"/>
        </w:rPr>
        <w:t>28</w:t>
      </w:r>
      <w:r>
        <w:rPr>
          <w:rFonts w:hint="eastAsia" w:ascii="楷体" w:hAnsi="楷体" w:eastAsia="楷体" w:cs="楷体"/>
          <w:b/>
          <w:color w:val="000000"/>
          <w:sz w:val="32"/>
          <w:szCs w:val="28"/>
          <w:highlight w:val="none"/>
        </w:rPr>
        <w:t>日</w:t>
      </w:r>
      <w:r>
        <w:rPr>
          <w:rFonts w:hint="eastAsia" w:ascii="楷体" w:hAnsi="楷体" w:eastAsia="楷体" w:cs="楷体"/>
          <w:b/>
          <w:bCs w:val="0"/>
          <w:color w:val="000000"/>
          <w:kern w:val="2"/>
          <w:sz w:val="32"/>
          <w:szCs w:val="28"/>
          <w:highlight w:val="none"/>
          <w:lang w:val="en-US" w:eastAsia="zh-CN"/>
        </w:rPr>
        <w:t>融券保证金比例调整</w:t>
      </w:r>
      <w:r>
        <w:rPr>
          <w:rFonts w:hint="eastAsia" w:ascii="楷体" w:hAnsi="楷体" w:eastAsia="楷体" w:cs="楷体"/>
          <w:b/>
          <w:color w:val="000000"/>
          <w:kern w:val="2"/>
          <w:sz w:val="32"/>
          <w:szCs w:val="28"/>
          <w:highlight w:val="none"/>
          <w:lang w:val="en-US" w:eastAsia="zh-CN"/>
        </w:rPr>
        <w:t>等业务</w:t>
      </w:r>
    </w:p>
    <w:p>
      <w:pPr>
        <w:pStyle w:val="15"/>
        <w:jc w:val="center"/>
        <w:rPr>
          <w:rFonts w:ascii="楷体" w:hAnsi="楷体" w:eastAsia="楷体" w:cs="楷体"/>
          <w:b/>
          <w:color w:val="000000"/>
          <w:szCs w:val="28"/>
          <w:highlight w:val="none"/>
        </w:rPr>
      </w:pPr>
      <w:r>
        <w:rPr>
          <w:rFonts w:hint="eastAsia" w:ascii="楷体" w:hAnsi="楷体" w:eastAsia="楷体" w:cs="楷体"/>
          <w:b/>
          <w:color w:val="000000"/>
          <w:sz w:val="32"/>
          <w:szCs w:val="28"/>
          <w:highlight w:val="none"/>
        </w:rPr>
        <w:t>全网测试方案反馈表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pStyle w:val="15"/>
              <w:jc w:val="center"/>
              <w:rPr>
                <w:rFonts w:hint="eastAsia" w:ascii="楷体_GB2312" w:hAnsi="楷体" w:eastAsia="楷体_GB2312"/>
                <w:sz w:val="20"/>
                <w:lang w:val="en-US" w:eastAsia="zh-CN"/>
              </w:rPr>
            </w:pPr>
            <w:r>
              <w:rPr>
                <w:rFonts w:hint="eastAsia" w:ascii="楷体_GB2312" w:hAnsi="楷体" w:eastAsia="楷体_GB2312"/>
                <w:sz w:val="20"/>
                <w:lang w:val="en-US" w:eastAsia="zh-CN"/>
              </w:rPr>
              <w:t>是否参加测试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Ansi="楷体"/>
                <w:sz w:val="20"/>
              </w:rPr>
            </w:pPr>
            <w:r>
              <w:rPr>
                <w:rFonts w:hint="eastAsia" w:hAnsi="楷体" w:cs="Times New Roman"/>
                <w:b w:val="0"/>
                <w:kern w:val="2"/>
                <w:sz w:val="20"/>
              </w:rPr>
              <w:t>融</w:t>
            </w:r>
            <w:r>
              <w:rPr>
                <w:rFonts w:hint="eastAsia" w:hAnsi="楷体" w:cs="Times New Roman"/>
                <w:b w:val="0"/>
                <w:kern w:val="2"/>
                <w:sz w:val="20"/>
                <w:lang w:eastAsia="zh-CN"/>
              </w:rPr>
              <w:t>券</w:t>
            </w:r>
            <w:r>
              <w:rPr>
                <w:rFonts w:hint="eastAsia" w:hAnsi="楷体" w:cs="Times New Roman"/>
                <w:b w:val="0"/>
                <w:kern w:val="2"/>
                <w:sz w:val="20"/>
              </w:rPr>
              <w:t>保证金比例调整</w:t>
            </w:r>
            <w:r>
              <w:rPr>
                <w:rFonts w:hint="eastAsia" w:hAnsi="楷体" w:cs="Times New Roman"/>
                <w:sz w:val="20"/>
              </w:rPr>
              <w:t>相关</w:t>
            </w:r>
            <w:r>
              <w:rPr>
                <w:rFonts w:hint="eastAsia" w:hAnsi="楷体" w:cs="Times New Roman"/>
                <w:sz w:val="20"/>
                <w:lang w:val="en-US" w:eastAsia="zh-CN"/>
              </w:rPr>
              <w:t>技术系统</w:t>
            </w:r>
            <w:r>
              <w:rPr>
                <w:rFonts w:hint="eastAsia" w:hAnsi="楷体" w:cs="Times New Roman"/>
                <w:sz w:val="20"/>
              </w:rPr>
              <w:t>是否已</w:t>
            </w:r>
            <w:r>
              <w:rPr>
                <w:rFonts w:hint="eastAsia" w:hAnsi="楷体" w:cs="Times New Roman"/>
                <w:sz w:val="20"/>
                <w:lang w:eastAsia="zh-CN"/>
              </w:rPr>
              <w:t>上线</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w:t>
            </w:r>
            <w:r>
              <w:rPr>
                <w:rFonts w:hint="eastAsia" w:hAnsi="楷体_GB2312" w:cs="楷体_GB2312"/>
                <w:sz w:val="20"/>
                <w:lang w:eastAsia="zh-CN"/>
              </w:rPr>
              <w:t>上线</w:t>
            </w:r>
            <w:r>
              <w:rPr>
                <w:rFonts w:hint="eastAsia" w:hAnsi="楷体_GB2312" w:cs="楷体_GB2312"/>
                <w:sz w:val="20"/>
              </w:rPr>
              <w:t>后，已评估现有业务均可正常开展。</w:t>
            </w:r>
          </w:p>
          <w:p>
            <w:pPr>
              <w:rPr>
                <w:rFonts w:hAnsi="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_GB2312" w:cs="楷体_GB2312"/>
                <w:sz w:val="20"/>
                <w:lang w:val="en-US" w:eastAsia="zh-CN"/>
              </w:rPr>
            </w:pPr>
            <w:r>
              <w:rPr>
                <w:rFonts w:hint="eastAsia" w:hAnsi="楷体_GB2312" w:cs="楷体_GB2312"/>
                <w:sz w:val="20"/>
                <w:lang w:val="en-US" w:eastAsia="zh-CN"/>
              </w:rPr>
              <w:t>百通能源（股票代码：001376）</w:t>
            </w:r>
            <w:r>
              <w:rPr>
                <w:rFonts w:hint="eastAsia" w:hAnsi="楷体" w:cs="Times New Roman"/>
                <w:sz w:val="20"/>
              </w:rPr>
              <w:t>相关</w:t>
            </w:r>
            <w:r>
              <w:rPr>
                <w:rFonts w:hint="eastAsia" w:hAnsi="楷体" w:cs="Times New Roman"/>
                <w:sz w:val="20"/>
                <w:lang w:val="en-US" w:eastAsia="zh-CN"/>
              </w:rPr>
              <w:t>技术系统</w:t>
            </w:r>
            <w:r>
              <w:rPr>
                <w:rFonts w:hint="eastAsia" w:hAnsi="楷体" w:cs="Times New Roman"/>
                <w:sz w:val="20"/>
              </w:rPr>
              <w:t>是否已</w:t>
            </w:r>
            <w:r>
              <w:rPr>
                <w:rFonts w:hint="eastAsia" w:hAnsi="楷体" w:cs="Times New Roman"/>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w:t>
            </w:r>
            <w:r>
              <w:rPr>
                <w:rFonts w:hint="eastAsia" w:hAnsi="楷体_GB2312" w:cs="楷体_GB2312"/>
                <w:sz w:val="20"/>
                <w:lang w:eastAsia="zh-CN"/>
              </w:rPr>
              <w:t>上线</w:t>
            </w:r>
            <w:r>
              <w:rPr>
                <w:rFonts w:hint="eastAsia" w:hAnsi="楷体_GB2312" w:cs="楷体_GB2312"/>
                <w:sz w:val="20"/>
              </w:rPr>
              <w:t>后，已评估现有业务均可正常开展。</w:t>
            </w:r>
          </w:p>
          <w:p>
            <w:pPr>
              <w:rPr>
                <w:rFonts w:hint="eastAsia" w:hAnsi="楷体_GB2312" w:cs="楷体_GB2312"/>
                <w:sz w:val="20"/>
                <w:lang w:val="en-US" w:eastAsia="zh-CN"/>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43" w:type="dxa"/>
            <w:gridSpan w:val="6"/>
            <w:shd w:val="clear" w:color="auto" w:fill="BEBEBE" w:themeFill="background1" w:themeFillShade="BF"/>
            <w:vAlign w:val="center"/>
          </w:tcPr>
          <w:p>
            <w:pPr>
              <w:widowControl/>
              <w:jc w:val="center"/>
              <w:rPr>
                <w:rFonts w:hint="eastAsia" w:hAnsi="楷体_GB2312" w:cs="楷体_GB2312"/>
                <w:kern w:val="0"/>
                <w:sz w:val="20"/>
              </w:rPr>
            </w:pPr>
            <w:r>
              <w:rPr>
                <w:rFonts w:hint="eastAsia" w:hAnsi="楷体" w:cs="宋体"/>
                <w:b/>
                <w:kern w:val="0"/>
                <w:sz w:val="20"/>
              </w:rPr>
              <w:t>融</w:t>
            </w:r>
            <w:r>
              <w:rPr>
                <w:rFonts w:hint="eastAsia" w:hAnsi="楷体" w:cs="宋体"/>
                <w:b/>
                <w:kern w:val="0"/>
                <w:sz w:val="20"/>
                <w:lang w:eastAsia="zh-CN"/>
              </w:rPr>
              <w:t>券</w:t>
            </w:r>
            <w:r>
              <w:rPr>
                <w:rFonts w:hint="eastAsia" w:hAnsi="楷体" w:cs="宋体"/>
                <w:b/>
                <w:kern w:val="0"/>
                <w:sz w:val="20"/>
              </w:rPr>
              <w:t>保证金比例调整相关测试反馈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eastAsia="楷体"/>
                <w:b/>
                <w:bCs/>
                <w:color w:val="FF0000"/>
                <w:sz w:val="20"/>
                <w:lang w:eastAsia="zh-CN"/>
              </w:rPr>
            </w:pPr>
            <w:r>
              <w:rPr>
                <w:rFonts w:hint="eastAsia"/>
                <w:b/>
                <w:bCs/>
                <w:color w:val="FF0000"/>
                <w:sz w:val="20"/>
              </w:rPr>
              <w:t>*</w:t>
            </w:r>
            <w:r>
              <w:rPr>
                <w:rFonts w:hint="eastAsia" w:ascii="楷体" w:hAnsi="楷体" w:eastAsia="楷体" w:cs="宋体"/>
                <w:color w:val="000000"/>
                <w:kern w:val="0"/>
                <w:sz w:val="20"/>
              </w:rPr>
              <w:t>融券卖出</w:t>
            </w:r>
            <w:r>
              <w:rPr>
                <w:rFonts w:hint="eastAsia" w:cs="宋体"/>
                <w:color w:val="000000"/>
                <w:kern w:val="0"/>
                <w:sz w:val="20"/>
              </w:rPr>
              <w:t>的委托申报、成交回报</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_GB2312" w:hAnsi="Times New Roman" w:eastAsia="楷体_GB2312" w:cs="Times New Roman"/>
                <w:b/>
                <w:bCs/>
                <w:color w:val="FF0000"/>
                <w:kern w:val="2"/>
                <w:sz w:val="20"/>
                <w:lang w:val="en-US" w:eastAsia="zh-CN" w:bidi="ar-SA"/>
              </w:rPr>
            </w:pPr>
            <w:r>
              <w:rPr>
                <w:rFonts w:hint="eastAsia"/>
                <w:b/>
                <w:bCs/>
                <w:color w:val="FF0000"/>
                <w:sz w:val="20"/>
              </w:rPr>
              <w:t>*</w:t>
            </w:r>
            <w:r>
              <w:rPr>
                <w:rFonts w:hint="eastAsia" w:ascii="楷体" w:hAnsi="楷体" w:eastAsia="楷体" w:cs="宋体"/>
                <w:b w:val="0"/>
                <w:bCs w:val="0"/>
                <w:color w:val="000000"/>
                <w:kern w:val="0"/>
                <w:sz w:val="20"/>
              </w:rPr>
              <w:t>存量合约保证金可用余额调整</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b/>
                <w:bCs/>
                <w:color w:val="FF0000"/>
                <w:sz w:val="20"/>
              </w:rPr>
              <w:t>*</w:t>
            </w:r>
            <w:r>
              <w:rPr>
                <w:rFonts w:hint="eastAsia" w:ascii="楷体" w:hAnsi="楷体" w:eastAsia="楷体" w:cs="宋体"/>
                <w:b w:val="0"/>
                <w:bCs w:val="0"/>
                <w:color w:val="000000"/>
                <w:kern w:val="0"/>
                <w:sz w:val="20"/>
              </w:rPr>
              <w:t>新增合约保证金可用余额计算</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ascii="楷体" w:hAnsi="楷体" w:eastAsia="楷体" w:cs="宋体"/>
                <w:color w:val="000000"/>
                <w:kern w:val="0"/>
                <w:sz w:val="20"/>
                <w:lang w:val="en-US" w:eastAsia="zh-CN" w:bidi="ar-SA"/>
              </w:rPr>
              <w:t>融资买入</w:t>
            </w:r>
            <w:r>
              <w:rPr>
                <w:rFonts w:hint="eastAsia" w:cs="宋体"/>
                <w:color w:val="000000"/>
                <w:kern w:val="0"/>
                <w:sz w:val="20"/>
              </w:rPr>
              <w:t>的委托申报、成交回报</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ascii="楷体" w:hAnsi="楷体" w:eastAsia="楷体" w:cs="宋体"/>
                <w:color w:val="000000"/>
                <w:kern w:val="0"/>
                <w:sz w:val="20"/>
              </w:rPr>
              <w:t>卖券还款、买券</w:t>
            </w:r>
            <w:r>
              <w:rPr>
                <w:rFonts w:hint="eastAsia" w:ascii="楷体" w:hAnsi="楷体" w:eastAsia="楷体" w:cs="宋体"/>
                <w:color w:val="000000"/>
                <w:kern w:val="0"/>
                <w:sz w:val="20"/>
                <w:lang w:val="en-US" w:eastAsia="zh-CN"/>
              </w:rPr>
              <w:t>还</w:t>
            </w:r>
            <w:r>
              <w:rPr>
                <w:rFonts w:hint="eastAsia" w:ascii="楷体" w:hAnsi="楷体" w:eastAsia="楷体" w:cs="宋体"/>
                <w:color w:val="000000"/>
                <w:kern w:val="0"/>
                <w:sz w:val="20"/>
              </w:rPr>
              <w:t>券、担保品买卖</w:t>
            </w:r>
            <w:r>
              <w:rPr>
                <w:rFonts w:hint="eastAsia" w:ascii="楷体" w:hAnsi="楷体" w:eastAsia="楷体" w:cs="宋体"/>
                <w:color w:val="000000"/>
                <w:kern w:val="0"/>
                <w:sz w:val="20"/>
                <w:lang w:val="en-US" w:eastAsia="zh-CN"/>
              </w:rPr>
              <w:t>等</w:t>
            </w:r>
            <w:r>
              <w:rPr>
                <w:rFonts w:hint="eastAsia" w:ascii="楷体" w:hAnsi="楷体" w:eastAsia="楷体" w:cs="宋体"/>
                <w:color w:val="000000"/>
                <w:kern w:val="0"/>
                <w:sz w:val="20"/>
              </w:rPr>
              <w:t>的</w:t>
            </w:r>
            <w:r>
              <w:rPr>
                <w:rFonts w:hint="eastAsia" w:cs="宋体"/>
                <w:color w:val="000000"/>
                <w:kern w:val="0"/>
                <w:sz w:val="20"/>
              </w:rPr>
              <w:t>委托申报、成交回报</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b w:val="0"/>
                <w:bCs w:val="0"/>
                <w:color w:val="000000"/>
                <w:kern w:val="0"/>
                <w:sz w:val="20"/>
              </w:rPr>
            </w:pPr>
            <w:r>
              <w:rPr>
                <w:rFonts w:hint="eastAsia" w:ascii="楷体" w:hAnsi="楷体" w:eastAsia="楷体" w:cs="宋体"/>
                <w:color w:val="000000"/>
                <w:kern w:val="0"/>
                <w:sz w:val="20"/>
              </w:rPr>
              <w:t>融资融券</w:t>
            </w:r>
            <w:r>
              <w:rPr>
                <w:rFonts w:hint="eastAsia" w:ascii="楷体" w:hAnsi="楷体" w:eastAsia="楷体" w:cs="宋体"/>
                <w:color w:val="000000"/>
                <w:kern w:val="0"/>
                <w:sz w:val="20"/>
                <w:lang w:val="en-US" w:eastAsia="zh-CN"/>
              </w:rPr>
              <w:t>相关业务的清算交收</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43" w:type="dxa"/>
            <w:gridSpan w:val="6"/>
            <w:shd w:val="clear" w:color="auto" w:fill="BEBEBE" w:themeFill="background1" w:themeFillShade="BF"/>
            <w:vAlign w:val="center"/>
          </w:tcPr>
          <w:p>
            <w:pPr>
              <w:widowControl/>
              <w:jc w:val="center"/>
              <w:rPr>
                <w:rFonts w:hint="eastAsia" w:ascii="楷体" w:hAnsi="楷体" w:eastAsia="楷体" w:cs="宋体"/>
                <w:color w:val="000000"/>
                <w:kern w:val="0"/>
                <w:sz w:val="20"/>
              </w:rPr>
            </w:pPr>
            <w:r>
              <w:rPr>
                <w:rFonts w:hint="eastAsia" w:ascii="宋体" w:hAnsi="宋体" w:cs="宋体"/>
                <w:b/>
                <w:kern w:val="0"/>
                <w:sz w:val="20"/>
              </w:rPr>
              <w:t>电子接口交易相关测试反馈（行情服务商无需填写）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ascii="宋体" w:hAnsi="宋体" w:cs="宋体"/>
                <w:color w:val="FF0000"/>
                <w:kern w:val="0"/>
                <w:sz w:val="20"/>
              </w:rPr>
              <w:t xml:space="preserve">*  </w:t>
            </w:r>
            <w:r>
              <w:rPr>
                <w:rFonts w:hint="eastAsia" w:ascii="宋体" w:hAnsi="宋体" w:eastAsia="楷体_GB2312" w:cs="宋体"/>
                <w:color w:val="000000"/>
                <w:kern w:val="0"/>
                <w:sz w:val="20"/>
                <w:szCs w:val="20"/>
                <w:lang w:val="en-US" w:eastAsia="zh-CN"/>
              </w:rPr>
              <w:t>百通能源（股票代码：001376）</w:t>
            </w:r>
            <w:r>
              <w:rPr>
                <w:rFonts w:hint="eastAsia" w:ascii="宋体" w:hAnsi="宋体" w:cs="宋体"/>
                <w:color w:val="000000"/>
                <w:kern w:val="0"/>
                <w:sz w:val="20"/>
              </w:rPr>
              <w:t>上市</w:t>
            </w:r>
            <w:r>
              <w:rPr>
                <w:rFonts w:hint="eastAsia" w:ascii="宋体" w:hAnsi="宋体" w:cs="宋体"/>
                <w:color w:val="000000"/>
                <w:kern w:val="0"/>
                <w:sz w:val="20"/>
                <w:lang w:val="en-US" w:eastAsia="zh-CN"/>
              </w:rPr>
              <w:t>首日</w:t>
            </w:r>
            <w:r>
              <w:rPr>
                <w:rFonts w:hint="eastAsia" w:ascii="宋体" w:hAnsi="宋体" w:cs="宋体"/>
                <w:color w:val="000000"/>
                <w:kern w:val="0"/>
                <w:sz w:val="20"/>
              </w:rPr>
              <w:t>现货竞价交易业务的委托申报与成交回报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宋体" w:hAnsi="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ascii="宋体" w:hAnsi="宋体" w:cs="宋体"/>
                <w:color w:val="FF0000"/>
                <w:kern w:val="0"/>
                <w:sz w:val="20"/>
              </w:rPr>
              <w:t xml:space="preserve">*  </w:t>
            </w:r>
            <w:r>
              <w:rPr>
                <w:rFonts w:hint="eastAsia" w:ascii="宋体" w:hAnsi="宋体" w:eastAsia="楷体_GB2312" w:cs="宋体"/>
                <w:color w:val="000000"/>
                <w:kern w:val="0"/>
                <w:sz w:val="20"/>
                <w:szCs w:val="20"/>
                <w:lang w:val="en-US" w:eastAsia="zh-CN"/>
              </w:rPr>
              <w:t>百通能源（股票代码：001376）</w:t>
            </w:r>
            <w:r>
              <w:rPr>
                <w:rFonts w:hint="eastAsia" w:ascii="宋体" w:hAnsi="宋体" w:cs="宋体"/>
                <w:color w:val="000000"/>
                <w:kern w:val="0"/>
                <w:sz w:val="20"/>
                <w:szCs w:val="20"/>
              </w:rPr>
              <w:t>协议大宗交易、盘后定价大宗交易</w:t>
            </w:r>
            <w:r>
              <w:rPr>
                <w:rFonts w:hint="eastAsia" w:ascii="宋体" w:hAnsi="宋体" w:cs="宋体"/>
                <w:color w:val="000000"/>
                <w:kern w:val="0"/>
                <w:sz w:val="20"/>
              </w:rPr>
              <w:t>业务的委托申报与成交回报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宋体" w:hAnsi="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ascii="宋体" w:hAnsi="宋体" w:cs="宋体"/>
                <w:color w:val="000000"/>
                <w:kern w:val="0"/>
                <w:sz w:val="20"/>
              </w:rPr>
              <w:t>主板股票正常状态现货竞价交易业务的委托申报与成交回报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宋体" w:hAnsi="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宋体" w:hAnsi="宋体" w:cs="宋体"/>
                <w:color w:val="000000"/>
                <w:kern w:val="0"/>
                <w:sz w:val="20"/>
              </w:rPr>
            </w:pPr>
            <w:r>
              <w:rPr>
                <w:rFonts w:hint="eastAsia" w:ascii="宋体" w:hAnsi="宋体" w:cs="宋体"/>
                <w:color w:val="000000"/>
                <w:kern w:val="0"/>
                <w:sz w:val="20"/>
                <w:lang w:eastAsia="zh-CN"/>
              </w:rPr>
              <w:t>期权</w:t>
            </w:r>
            <w:r>
              <w:rPr>
                <w:rFonts w:hint="eastAsia" w:ascii="宋体" w:hAnsi="宋体" w:cs="宋体"/>
                <w:color w:val="000000"/>
                <w:kern w:val="0"/>
                <w:sz w:val="20"/>
              </w:rPr>
              <w:t>竞价交易业务的委托申报与成交回报</w:t>
            </w:r>
          </w:p>
        </w:tc>
        <w:tc>
          <w:tcPr>
            <w:tcW w:w="3402" w:type="dxa"/>
            <w:gridSpan w:val="2"/>
            <w:vAlign w:val="center"/>
          </w:tcPr>
          <w:p>
            <w:pPr>
              <w:widowControl/>
              <w:jc w:val="center"/>
              <w:rPr>
                <w:rFonts w:hint="eastAsia" w:ascii="宋体" w:hAnsi="宋体" w:cs="宋体"/>
                <w:color w:val="000000"/>
                <w:kern w:val="0"/>
                <w:sz w:val="20"/>
              </w:rPr>
            </w:pPr>
            <w:r>
              <w:rPr>
                <w:rFonts w:hint="eastAsia" w:ascii="宋体" w:hAnsi="宋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LEVEL</w:t>
            </w:r>
            <w:r>
              <w:rPr>
                <w:rFonts w:hint="eastAsia" w:ascii="楷体" w:hAnsi="楷体" w:eastAsia="楷体" w:cs="宋体"/>
                <w:color w:val="000000"/>
                <w:kern w:val="0"/>
                <w:sz w:val="20"/>
                <w:lang w:val="en-US" w:eastAsia="zh-CN"/>
              </w:rPr>
              <w:t>1</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highlight w:val="none"/>
                <w:lang w:eastAsia="zh-CN"/>
              </w:rPr>
              <w:t>现货</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楷体" w:hAnsi="楷体" w:eastAsia="楷体" w:cs="宋体"/>
                <w:color w:val="000000"/>
                <w:kern w:val="0"/>
                <w:sz w:val="20"/>
                <w:highlight w:val="none"/>
                <w:lang w:eastAsia="zh-CN"/>
              </w:rPr>
              <w:t>期权</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宋体" w:hAnsi="宋体" w:cs="宋体"/>
                <w:color w:val="FF0000"/>
                <w:kern w:val="0"/>
                <w:sz w:val="20"/>
                <w:szCs w:val="20"/>
              </w:rPr>
              <w:t xml:space="preserve">*  </w:t>
            </w:r>
            <w:r>
              <w:rPr>
                <w:rFonts w:hint="eastAsia" w:ascii="宋体" w:hAnsi="宋体" w:cs="宋体"/>
                <w:color w:val="000000"/>
                <w:kern w:val="0"/>
                <w:sz w:val="20"/>
                <w:szCs w:val="20"/>
              </w:rPr>
              <w:t>行情系统揭示</w:t>
            </w:r>
            <w:r>
              <w:rPr>
                <w:rFonts w:hint="eastAsia" w:ascii="宋体" w:hAnsi="宋体" w:eastAsia="楷体_GB2312" w:cs="宋体"/>
                <w:color w:val="000000"/>
                <w:kern w:val="0"/>
                <w:sz w:val="20"/>
                <w:szCs w:val="20"/>
                <w:lang w:val="en-US" w:eastAsia="zh-CN"/>
              </w:rPr>
              <w:t>百通能源（股票代码：001376）</w:t>
            </w:r>
            <w:r>
              <w:rPr>
                <w:rFonts w:hint="eastAsia" w:ascii="宋体" w:hAnsi="宋体" w:cs="宋体"/>
                <w:color w:val="000000"/>
                <w:kern w:val="0"/>
                <w:sz w:val="20"/>
                <w:szCs w:val="20"/>
              </w:rPr>
              <w:t>上市首日状态状态</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宋体" w:hAnsi="宋体" w:cs="宋体"/>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_GB2312" w:cs="宋体"/>
                <w:color w:val="000000"/>
                <w:kern w:val="0"/>
                <w:sz w:val="20"/>
                <w:highlight w:val="none"/>
                <w:lang w:val="en-US" w:eastAsia="zh-CN"/>
              </w:rPr>
            </w:pPr>
            <w:r>
              <w:rPr>
                <w:rFonts w:hint="eastAsia" w:ascii="宋体" w:hAnsi="宋体" w:cs="宋体"/>
                <w:color w:val="FF0000"/>
                <w:kern w:val="0"/>
                <w:sz w:val="20"/>
                <w:szCs w:val="20"/>
              </w:rPr>
              <w:t xml:space="preserve">*  </w:t>
            </w:r>
            <w:r>
              <w:rPr>
                <w:rFonts w:hint="eastAsia" w:ascii="宋体" w:hAnsi="宋体" w:cs="宋体"/>
                <w:color w:val="000000"/>
                <w:kern w:val="0"/>
                <w:sz w:val="20"/>
                <w:szCs w:val="20"/>
              </w:rPr>
              <w:t>行情系统揭示</w:t>
            </w:r>
            <w:r>
              <w:rPr>
                <w:rFonts w:hint="eastAsia" w:ascii="宋体" w:hAnsi="宋体" w:eastAsia="楷体_GB2312" w:cs="宋体"/>
                <w:color w:val="000000"/>
                <w:kern w:val="0"/>
                <w:sz w:val="20"/>
                <w:szCs w:val="20"/>
                <w:lang w:val="en-US" w:eastAsia="zh-CN"/>
              </w:rPr>
              <w:t>百通能源（股票代码：001376）</w:t>
            </w:r>
            <w:r>
              <w:rPr>
                <w:rFonts w:hint="eastAsia" w:ascii="宋体" w:hAnsi="宋体" w:cs="宋体"/>
                <w:color w:val="000000"/>
                <w:kern w:val="0"/>
                <w:sz w:val="20"/>
                <w:szCs w:val="20"/>
              </w:rPr>
              <w:t>“是否尚未盈利”、“是否存在表决权差异”、“是否注册制”、“是否具有协议控制架构”等信息</w:t>
            </w:r>
            <w:r>
              <w:rPr>
                <w:rFonts w:hint="eastAsia" w:ascii="宋体" w:hAnsi="宋体" w:cs="宋体"/>
                <w:color w:val="000000"/>
                <w:kern w:val="0"/>
                <w:sz w:val="20"/>
                <w:szCs w:val="20"/>
                <w:lang w:val="en-US" w:eastAsia="zh-CN"/>
              </w:rPr>
              <w:t>符合预期。（如揭示相关信息，则“是否注册制”信息应为“否”）</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宋体" w:hAnsi="宋体" w:cs="宋体"/>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highlight w:val="none"/>
              </w:rPr>
            </w:pPr>
            <w:r>
              <w:rPr>
                <w:rFonts w:hint="eastAsia" w:ascii="宋体" w:hAnsi="宋体" w:cs="宋体"/>
                <w:color w:val="000000"/>
                <w:kern w:val="0"/>
                <w:sz w:val="20"/>
                <w:szCs w:val="20"/>
              </w:rPr>
              <w:t>现货证券收盘行情cashsecurityclosemd的接收与处理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宋体" w:hAnsi="宋体" w:cs="宋体"/>
                <w:color w:val="000000"/>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val="en-US" w:eastAsia="zh-CN"/>
              </w:rPr>
              <w:t>国际市场互联</w:t>
            </w:r>
            <w:r>
              <w:rPr>
                <w:rFonts w:hint="eastAsia" w:ascii="楷体" w:hAnsi="楷体" w:eastAsia="楷体" w:cs="宋体"/>
                <w:color w:val="000000"/>
                <w:kern w:val="0"/>
                <w:sz w:val="20"/>
              </w:rPr>
              <w:t>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pgBorders>
        <w:top w:val="none" w:sz="0" w:space="0"/>
        <w:left w:val="none" w:sz="0" w:space="0"/>
        <w:bottom w:val="none" w:sz="0" w:space="0"/>
        <w:right w:val="none" w:sz="0" w:space="0"/>
      </w:pgBorders>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CG Times">
    <w:altName w:val="Segoe Print"/>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等线">
    <w:altName w:val="华文中宋"/>
    <w:panose1 w:val="02010600030101010101"/>
    <w:charset w:val="86"/>
    <w:family w:val="auto"/>
    <w:pitch w:val="default"/>
    <w:sig w:usb0="00000000" w:usb1="00000000"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98879B0"/>
    <w:multiLevelType w:val="multilevel"/>
    <w:tmpl w:val="298879B0"/>
    <w:lvl w:ilvl="0" w:tentative="0">
      <w:start w:val="1"/>
      <w:numFmt w:val="decimal"/>
      <w:suff w:val="nothing"/>
      <w:lvlText w:val="%1、"/>
      <w:lvlJc w:val="left"/>
      <w:pPr>
        <w:ind w:left="0" w:firstLine="420"/>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5">
    <w:nsid w:val="3B3473B7"/>
    <w:multiLevelType w:val="multilevel"/>
    <w:tmpl w:val="3B3473B7"/>
    <w:lvl w:ilvl="0" w:tentative="0">
      <w:start w:val="1"/>
      <w:numFmt w:val="decimal"/>
      <w:suff w:val="space"/>
      <w:lvlText w:val="%1."/>
      <w:lvlJc w:val="left"/>
      <w:pPr>
        <w:ind w:left="-8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6">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7">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7"/>
  </w:num>
  <w:num w:numId="3">
    <w:abstractNumId w:val="0"/>
  </w:num>
  <w:num w:numId="4">
    <w:abstractNumId w:val="4"/>
  </w:num>
  <w:num w:numId="5">
    <w:abstractNumId w:val="5"/>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72A27"/>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1CC0"/>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1C5687"/>
    <w:rsid w:val="012848E8"/>
    <w:rsid w:val="015C1B8C"/>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3F02A2"/>
    <w:rsid w:val="03413055"/>
    <w:rsid w:val="034C6AF4"/>
    <w:rsid w:val="03652CA2"/>
    <w:rsid w:val="036D6942"/>
    <w:rsid w:val="03740DE1"/>
    <w:rsid w:val="038F118E"/>
    <w:rsid w:val="03994471"/>
    <w:rsid w:val="03BE24C7"/>
    <w:rsid w:val="03CA4D95"/>
    <w:rsid w:val="03D40D58"/>
    <w:rsid w:val="03DE10F9"/>
    <w:rsid w:val="03EB50FA"/>
    <w:rsid w:val="03EF2EEF"/>
    <w:rsid w:val="04063FE1"/>
    <w:rsid w:val="041C7221"/>
    <w:rsid w:val="04245229"/>
    <w:rsid w:val="042B0470"/>
    <w:rsid w:val="042D2398"/>
    <w:rsid w:val="04402907"/>
    <w:rsid w:val="04780EF9"/>
    <w:rsid w:val="04914B02"/>
    <w:rsid w:val="04A775D4"/>
    <w:rsid w:val="04A92701"/>
    <w:rsid w:val="04AD56A5"/>
    <w:rsid w:val="04B37BA5"/>
    <w:rsid w:val="04C60576"/>
    <w:rsid w:val="04F5755C"/>
    <w:rsid w:val="052B1309"/>
    <w:rsid w:val="052D2E12"/>
    <w:rsid w:val="052F619C"/>
    <w:rsid w:val="053C70C4"/>
    <w:rsid w:val="0547235F"/>
    <w:rsid w:val="054B4C33"/>
    <w:rsid w:val="0550176B"/>
    <w:rsid w:val="05542D26"/>
    <w:rsid w:val="055A0936"/>
    <w:rsid w:val="05821D18"/>
    <w:rsid w:val="05833E73"/>
    <w:rsid w:val="0590322C"/>
    <w:rsid w:val="059E6F5E"/>
    <w:rsid w:val="05C9468B"/>
    <w:rsid w:val="05CC7F10"/>
    <w:rsid w:val="05D92ECD"/>
    <w:rsid w:val="05DF20B2"/>
    <w:rsid w:val="060C32BF"/>
    <w:rsid w:val="0619570F"/>
    <w:rsid w:val="062338B2"/>
    <w:rsid w:val="06265C73"/>
    <w:rsid w:val="0627105D"/>
    <w:rsid w:val="06387666"/>
    <w:rsid w:val="065345EF"/>
    <w:rsid w:val="065A2E3C"/>
    <w:rsid w:val="06676354"/>
    <w:rsid w:val="068712B4"/>
    <w:rsid w:val="06A2743B"/>
    <w:rsid w:val="06A5297F"/>
    <w:rsid w:val="06A55B12"/>
    <w:rsid w:val="06AB6009"/>
    <w:rsid w:val="06C078D8"/>
    <w:rsid w:val="06FB60AA"/>
    <w:rsid w:val="07107761"/>
    <w:rsid w:val="07120344"/>
    <w:rsid w:val="072C1E39"/>
    <w:rsid w:val="07762FAE"/>
    <w:rsid w:val="07A677CA"/>
    <w:rsid w:val="07B64C34"/>
    <w:rsid w:val="07C862A9"/>
    <w:rsid w:val="07D307CE"/>
    <w:rsid w:val="07DD2969"/>
    <w:rsid w:val="080E3239"/>
    <w:rsid w:val="081C29ED"/>
    <w:rsid w:val="081F25E1"/>
    <w:rsid w:val="083A3518"/>
    <w:rsid w:val="08483A71"/>
    <w:rsid w:val="08494C63"/>
    <w:rsid w:val="084A228F"/>
    <w:rsid w:val="085C470B"/>
    <w:rsid w:val="086B7589"/>
    <w:rsid w:val="086F4045"/>
    <w:rsid w:val="089D0478"/>
    <w:rsid w:val="089D5EE4"/>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605A2"/>
    <w:rsid w:val="0A5A7C08"/>
    <w:rsid w:val="0A5C34B2"/>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20AAE"/>
    <w:rsid w:val="0B1708F9"/>
    <w:rsid w:val="0B1957C1"/>
    <w:rsid w:val="0B1E1C49"/>
    <w:rsid w:val="0B392103"/>
    <w:rsid w:val="0B3C464E"/>
    <w:rsid w:val="0B4D5D14"/>
    <w:rsid w:val="0B633330"/>
    <w:rsid w:val="0B65633F"/>
    <w:rsid w:val="0B666C50"/>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73E09"/>
    <w:rsid w:val="0D2B247C"/>
    <w:rsid w:val="0D4C5B63"/>
    <w:rsid w:val="0D4D5C1F"/>
    <w:rsid w:val="0D6033C0"/>
    <w:rsid w:val="0D7B164F"/>
    <w:rsid w:val="0D7E67A8"/>
    <w:rsid w:val="0DA17261"/>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27086A"/>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3D0269"/>
    <w:rsid w:val="11401CA1"/>
    <w:rsid w:val="11440308"/>
    <w:rsid w:val="114D7A95"/>
    <w:rsid w:val="115C5293"/>
    <w:rsid w:val="11730667"/>
    <w:rsid w:val="11796160"/>
    <w:rsid w:val="117E3E17"/>
    <w:rsid w:val="11805D10"/>
    <w:rsid w:val="118E2A81"/>
    <w:rsid w:val="11916B0B"/>
    <w:rsid w:val="119E790B"/>
    <w:rsid w:val="11A021C9"/>
    <w:rsid w:val="11D56DE8"/>
    <w:rsid w:val="11DD7ADE"/>
    <w:rsid w:val="1236016D"/>
    <w:rsid w:val="12574E45"/>
    <w:rsid w:val="126E0E9B"/>
    <w:rsid w:val="12773A64"/>
    <w:rsid w:val="128A40EC"/>
    <w:rsid w:val="12972F1F"/>
    <w:rsid w:val="129E076F"/>
    <w:rsid w:val="12C754DE"/>
    <w:rsid w:val="12C83B6B"/>
    <w:rsid w:val="12CD5F7F"/>
    <w:rsid w:val="12DF1B96"/>
    <w:rsid w:val="12E42BD4"/>
    <w:rsid w:val="12F240ED"/>
    <w:rsid w:val="12F77121"/>
    <w:rsid w:val="12FD1D5A"/>
    <w:rsid w:val="130D3B0A"/>
    <w:rsid w:val="13162160"/>
    <w:rsid w:val="131C7703"/>
    <w:rsid w:val="132C272D"/>
    <w:rsid w:val="13367949"/>
    <w:rsid w:val="133E099F"/>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A09C2"/>
    <w:rsid w:val="148D1678"/>
    <w:rsid w:val="14A84FD4"/>
    <w:rsid w:val="14BA79FC"/>
    <w:rsid w:val="14BF227E"/>
    <w:rsid w:val="14E02FB8"/>
    <w:rsid w:val="14F77668"/>
    <w:rsid w:val="15023451"/>
    <w:rsid w:val="150819F2"/>
    <w:rsid w:val="15143747"/>
    <w:rsid w:val="151A457F"/>
    <w:rsid w:val="151D27FC"/>
    <w:rsid w:val="152B7105"/>
    <w:rsid w:val="15512989"/>
    <w:rsid w:val="15594455"/>
    <w:rsid w:val="156D4BAB"/>
    <w:rsid w:val="15767F10"/>
    <w:rsid w:val="15822045"/>
    <w:rsid w:val="15896B57"/>
    <w:rsid w:val="15A87015"/>
    <w:rsid w:val="15D769CA"/>
    <w:rsid w:val="15E73CAB"/>
    <w:rsid w:val="15F41F95"/>
    <w:rsid w:val="15FD0FFE"/>
    <w:rsid w:val="15FF679C"/>
    <w:rsid w:val="1610088E"/>
    <w:rsid w:val="161330D0"/>
    <w:rsid w:val="161359E4"/>
    <w:rsid w:val="162723E1"/>
    <w:rsid w:val="16317A78"/>
    <w:rsid w:val="163B0040"/>
    <w:rsid w:val="163B6B2A"/>
    <w:rsid w:val="163D31CD"/>
    <w:rsid w:val="16530AC0"/>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D4823"/>
    <w:rsid w:val="173E162A"/>
    <w:rsid w:val="174C0270"/>
    <w:rsid w:val="174F0CF1"/>
    <w:rsid w:val="17667170"/>
    <w:rsid w:val="176A0AF3"/>
    <w:rsid w:val="177C6745"/>
    <w:rsid w:val="177D4640"/>
    <w:rsid w:val="177E0356"/>
    <w:rsid w:val="1799781F"/>
    <w:rsid w:val="179A6E4A"/>
    <w:rsid w:val="17A35DD9"/>
    <w:rsid w:val="17AA5293"/>
    <w:rsid w:val="17B95D08"/>
    <w:rsid w:val="17C21FF9"/>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76ACD"/>
    <w:rsid w:val="1A8D6167"/>
    <w:rsid w:val="1AAF43A8"/>
    <w:rsid w:val="1ACD4AF8"/>
    <w:rsid w:val="1ACE2B6A"/>
    <w:rsid w:val="1AD93AA5"/>
    <w:rsid w:val="1AE24529"/>
    <w:rsid w:val="1B013EC6"/>
    <w:rsid w:val="1B056FC9"/>
    <w:rsid w:val="1B06430C"/>
    <w:rsid w:val="1B2244FB"/>
    <w:rsid w:val="1B296458"/>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32BDF"/>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E76663"/>
    <w:rsid w:val="1CF27B0C"/>
    <w:rsid w:val="1CF670B8"/>
    <w:rsid w:val="1CFB6769"/>
    <w:rsid w:val="1D0A42CA"/>
    <w:rsid w:val="1D261670"/>
    <w:rsid w:val="1D293562"/>
    <w:rsid w:val="1D2B6712"/>
    <w:rsid w:val="1D41206F"/>
    <w:rsid w:val="1D430342"/>
    <w:rsid w:val="1D447CC0"/>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3D2670"/>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2FC7DF0"/>
    <w:rsid w:val="23127854"/>
    <w:rsid w:val="231E09F7"/>
    <w:rsid w:val="2333194B"/>
    <w:rsid w:val="23383C8A"/>
    <w:rsid w:val="233C78C8"/>
    <w:rsid w:val="23604671"/>
    <w:rsid w:val="23746F1D"/>
    <w:rsid w:val="23750F35"/>
    <w:rsid w:val="237C3DA7"/>
    <w:rsid w:val="23A5494B"/>
    <w:rsid w:val="23A7217C"/>
    <w:rsid w:val="23AD1BD5"/>
    <w:rsid w:val="23AF5512"/>
    <w:rsid w:val="23B651FD"/>
    <w:rsid w:val="23C60123"/>
    <w:rsid w:val="23CE56A6"/>
    <w:rsid w:val="23F93CD0"/>
    <w:rsid w:val="24024816"/>
    <w:rsid w:val="24046497"/>
    <w:rsid w:val="24100DC1"/>
    <w:rsid w:val="241502BF"/>
    <w:rsid w:val="24292E92"/>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895E7B"/>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6D6CE5"/>
    <w:rsid w:val="27702CB8"/>
    <w:rsid w:val="27705ECD"/>
    <w:rsid w:val="277B186B"/>
    <w:rsid w:val="27805F0E"/>
    <w:rsid w:val="278A3B13"/>
    <w:rsid w:val="279C6A8F"/>
    <w:rsid w:val="27A8547D"/>
    <w:rsid w:val="27B11472"/>
    <w:rsid w:val="27B413E3"/>
    <w:rsid w:val="27BA37B3"/>
    <w:rsid w:val="27DB0A15"/>
    <w:rsid w:val="27E870D0"/>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57138"/>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320F6B"/>
    <w:rsid w:val="2B352742"/>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300A31"/>
    <w:rsid w:val="2D49332C"/>
    <w:rsid w:val="2D4B4194"/>
    <w:rsid w:val="2D6C64CF"/>
    <w:rsid w:val="2D6F1828"/>
    <w:rsid w:val="2D805224"/>
    <w:rsid w:val="2D836CA7"/>
    <w:rsid w:val="2D9A5493"/>
    <w:rsid w:val="2DA828DA"/>
    <w:rsid w:val="2DB70FC3"/>
    <w:rsid w:val="2DD37B96"/>
    <w:rsid w:val="2DDB0EC9"/>
    <w:rsid w:val="2DDB79C4"/>
    <w:rsid w:val="2DE06954"/>
    <w:rsid w:val="2DF11F7F"/>
    <w:rsid w:val="2E03680A"/>
    <w:rsid w:val="2E074793"/>
    <w:rsid w:val="2E273E0F"/>
    <w:rsid w:val="2E4375F4"/>
    <w:rsid w:val="2E4C7699"/>
    <w:rsid w:val="2E4E5CF5"/>
    <w:rsid w:val="2E517647"/>
    <w:rsid w:val="2E77446F"/>
    <w:rsid w:val="2E7D38E8"/>
    <w:rsid w:val="2EA9484A"/>
    <w:rsid w:val="2EAB4DB9"/>
    <w:rsid w:val="2EC47C2B"/>
    <w:rsid w:val="2EC6434A"/>
    <w:rsid w:val="2ED45EBC"/>
    <w:rsid w:val="2EEE1C8B"/>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2FFD7B1E"/>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02C85"/>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1F44502"/>
    <w:rsid w:val="32101599"/>
    <w:rsid w:val="32130D2B"/>
    <w:rsid w:val="322A2AC0"/>
    <w:rsid w:val="326D42CE"/>
    <w:rsid w:val="3286142E"/>
    <w:rsid w:val="329D6F19"/>
    <w:rsid w:val="32AF4AEC"/>
    <w:rsid w:val="32B37FBF"/>
    <w:rsid w:val="32C70E6A"/>
    <w:rsid w:val="32CB6B54"/>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1239"/>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141B5"/>
    <w:rsid w:val="35A23E5D"/>
    <w:rsid w:val="35C464CA"/>
    <w:rsid w:val="35E8113F"/>
    <w:rsid w:val="35FD5922"/>
    <w:rsid w:val="360C034F"/>
    <w:rsid w:val="36151F71"/>
    <w:rsid w:val="36761E29"/>
    <w:rsid w:val="36794245"/>
    <w:rsid w:val="36814EFF"/>
    <w:rsid w:val="368A62E3"/>
    <w:rsid w:val="369210DE"/>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CB0D94"/>
    <w:rsid w:val="37DE74B9"/>
    <w:rsid w:val="37F4192F"/>
    <w:rsid w:val="37FC638E"/>
    <w:rsid w:val="37FF4EF6"/>
    <w:rsid w:val="380021F8"/>
    <w:rsid w:val="38042588"/>
    <w:rsid w:val="381037EF"/>
    <w:rsid w:val="38634327"/>
    <w:rsid w:val="38766CAF"/>
    <w:rsid w:val="38A5150F"/>
    <w:rsid w:val="38B94144"/>
    <w:rsid w:val="38C661FC"/>
    <w:rsid w:val="38D26DAE"/>
    <w:rsid w:val="38D67C17"/>
    <w:rsid w:val="38DF7FBF"/>
    <w:rsid w:val="3914549F"/>
    <w:rsid w:val="39156B7A"/>
    <w:rsid w:val="3917518E"/>
    <w:rsid w:val="39464A7A"/>
    <w:rsid w:val="394A0816"/>
    <w:rsid w:val="39542006"/>
    <w:rsid w:val="395A27A5"/>
    <w:rsid w:val="396B2F42"/>
    <w:rsid w:val="396C3D44"/>
    <w:rsid w:val="397A30CF"/>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A51645"/>
    <w:rsid w:val="3AAC0A05"/>
    <w:rsid w:val="3AB62744"/>
    <w:rsid w:val="3AB77F3B"/>
    <w:rsid w:val="3AB84DB4"/>
    <w:rsid w:val="3AC15D50"/>
    <w:rsid w:val="3ACE14FD"/>
    <w:rsid w:val="3AD6551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BD62D51"/>
    <w:rsid w:val="3BDFC94B"/>
    <w:rsid w:val="3C015AFD"/>
    <w:rsid w:val="3C1614B3"/>
    <w:rsid w:val="3C2C3A0D"/>
    <w:rsid w:val="3C5E13D6"/>
    <w:rsid w:val="3C64489B"/>
    <w:rsid w:val="3C6F006C"/>
    <w:rsid w:val="3C827BF1"/>
    <w:rsid w:val="3C891EA8"/>
    <w:rsid w:val="3C943EB3"/>
    <w:rsid w:val="3CA149F0"/>
    <w:rsid w:val="3CB62ACB"/>
    <w:rsid w:val="3CC173D0"/>
    <w:rsid w:val="3CCD3451"/>
    <w:rsid w:val="3CD23884"/>
    <w:rsid w:val="3CDCE73F"/>
    <w:rsid w:val="3D114C10"/>
    <w:rsid w:val="3D1A116E"/>
    <w:rsid w:val="3D372564"/>
    <w:rsid w:val="3D3C0BE1"/>
    <w:rsid w:val="3D4B2BD9"/>
    <w:rsid w:val="3D4C065F"/>
    <w:rsid w:val="3D4E18F7"/>
    <w:rsid w:val="3D6435C4"/>
    <w:rsid w:val="3D6C632D"/>
    <w:rsid w:val="3D87287F"/>
    <w:rsid w:val="3D887D56"/>
    <w:rsid w:val="3D8F4E2B"/>
    <w:rsid w:val="3D9413EE"/>
    <w:rsid w:val="3D9668EA"/>
    <w:rsid w:val="3DAA3D38"/>
    <w:rsid w:val="3DAB27CD"/>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F181D11"/>
    <w:rsid w:val="3F3003F8"/>
    <w:rsid w:val="3F507497"/>
    <w:rsid w:val="3F5D3C95"/>
    <w:rsid w:val="3F633F65"/>
    <w:rsid w:val="3F8C3107"/>
    <w:rsid w:val="3F8F17E1"/>
    <w:rsid w:val="3F943D3B"/>
    <w:rsid w:val="3F952928"/>
    <w:rsid w:val="3F97A0E8"/>
    <w:rsid w:val="3F9B3F3C"/>
    <w:rsid w:val="3F9C48D3"/>
    <w:rsid w:val="3FB0729D"/>
    <w:rsid w:val="3FB5054F"/>
    <w:rsid w:val="3FC06CA7"/>
    <w:rsid w:val="3FC47462"/>
    <w:rsid w:val="3FC5684D"/>
    <w:rsid w:val="3FC92FD9"/>
    <w:rsid w:val="3FD95C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42E88"/>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B1084"/>
    <w:rsid w:val="421C5F77"/>
    <w:rsid w:val="42451AD3"/>
    <w:rsid w:val="424875DA"/>
    <w:rsid w:val="425C120A"/>
    <w:rsid w:val="426D38DB"/>
    <w:rsid w:val="426F0B0E"/>
    <w:rsid w:val="427B760C"/>
    <w:rsid w:val="42872932"/>
    <w:rsid w:val="42883C37"/>
    <w:rsid w:val="42936744"/>
    <w:rsid w:val="42B11C59"/>
    <w:rsid w:val="42B5497B"/>
    <w:rsid w:val="42BB7828"/>
    <w:rsid w:val="42BC06BC"/>
    <w:rsid w:val="42C2502C"/>
    <w:rsid w:val="42DD6738"/>
    <w:rsid w:val="42ED4EC4"/>
    <w:rsid w:val="42ED5B59"/>
    <w:rsid w:val="42F23148"/>
    <w:rsid w:val="430979ED"/>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96602D"/>
    <w:rsid w:val="45AE0F60"/>
    <w:rsid w:val="45AE743F"/>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05D22"/>
    <w:rsid w:val="47072195"/>
    <w:rsid w:val="470C691E"/>
    <w:rsid w:val="4719792B"/>
    <w:rsid w:val="47376772"/>
    <w:rsid w:val="473C2A7F"/>
    <w:rsid w:val="474471F4"/>
    <w:rsid w:val="474F0760"/>
    <w:rsid w:val="47575373"/>
    <w:rsid w:val="475C77E5"/>
    <w:rsid w:val="47724D24"/>
    <w:rsid w:val="47820007"/>
    <w:rsid w:val="478C26EF"/>
    <w:rsid w:val="478D7730"/>
    <w:rsid w:val="478E5BF3"/>
    <w:rsid w:val="47954216"/>
    <w:rsid w:val="47956F85"/>
    <w:rsid w:val="47983EBA"/>
    <w:rsid w:val="47A71ADE"/>
    <w:rsid w:val="47AB7002"/>
    <w:rsid w:val="47B248A7"/>
    <w:rsid w:val="47BA55BB"/>
    <w:rsid w:val="47BA62E1"/>
    <w:rsid w:val="47BE7D85"/>
    <w:rsid w:val="47C90A71"/>
    <w:rsid w:val="47CA62D8"/>
    <w:rsid w:val="47CD35ED"/>
    <w:rsid w:val="47CE6CE7"/>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3049F7"/>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B6C02"/>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C4617F"/>
    <w:rsid w:val="4CE0222C"/>
    <w:rsid w:val="4CE13531"/>
    <w:rsid w:val="4CE6089F"/>
    <w:rsid w:val="4CF6116C"/>
    <w:rsid w:val="4D0732C0"/>
    <w:rsid w:val="4D0974E9"/>
    <w:rsid w:val="4D0A53E4"/>
    <w:rsid w:val="4D0F1B50"/>
    <w:rsid w:val="4D1328FC"/>
    <w:rsid w:val="4D2141E9"/>
    <w:rsid w:val="4D3604FB"/>
    <w:rsid w:val="4D387B17"/>
    <w:rsid w:val="4D4D4D19"/>
    <w:rsid w:val="4D4E76AB"/>
    <w:rsid w:val="4D832030"/>
    <w:rsid w:val="4D9150CC"/>
    <w:rsid w:val="4DCC56D3"/>
    <w:rsid w:val="4DCD7164"/>
    <w:rsid w:val="4DD362F4"/>
    <w:rsid w:val="4DE97EFD"/>
    <w:rsid w:val="4DFD1FFC"/>
    <w:rsid w:val="4E13750E"/>
    <w:rsid w:val="4E2F04E0"/>
    <w:rsid w:val="4E407D02"/>
    <w:rsid w:val="4E6E3FBD"/>
    <w:rsid w:val="4E7D54D1"/>
    <w:rsid w:val="4E811839"/>
    <w:rsid w:val="4E886CF6"/>
    <w:rsid w:val="4E966219"/>
    <w:rsid w:val="4EAC60B4"/>
    <w:rsid w:val="4EB9262C"/>
    <w:rsid w:val="4EBE3845"/>
    <w:rsid w:val="4EC1071B"/>
    <w:rsid w:val="4EC933D2"/>
    <w:rsid w:val="4EDB28AC"/>
    <w:rsid w:val="4EEC3808"/>
    <w:rsid w:val="4EF460F6"/>
    <w:rsid w:val="4EF64306"/>
    <w:rsid w:val="4F006F0A"/>
    <w:rsid w:val="4F026F7F"/>
    <w:rsid w:val="4F1F027E"/>
    <w:rsid w:val="4F3B5999"/>
    <w:rsid w:val="4F4B738B"/>
    <w:rsid w:val="4F660CD1"/>
    <w:rsid w:val="4F8C68D4"/>
    <w:rsid w:val="4F8F3DC3"/>
    <w:rsid w:val="4FAB3EA7"/>
    <w:rsid w:val="4FB26B28"/>
    <w:rsid w:val="4FBB1559"/>
    <w:rsid w:val="4FC13DA1"/>
    <w:rsid w:val="4FC92C84"/>
    <w:rsid w:val="4FD75865"/>
    <w:rsid w:val="4FD82961"/>
    <w:rsid w:val="4FDE27A0"/>
    <w:rsid w:val="4FFA731A"/>
    <w:rsid w:val="5027550C"/>
    <w:rsid w:val="502D453C"/>
    <w:rsid w:val="5037605F"/>
    <w:rsid w:val="50465844"/>
    <w:rsid w:val="50672A43"/>
    <w:rsid w:val="507B28EC"/>
    <w:rsid w:val="50954E16"/>
    <w:rsid w:val="50AB0AA0"/>
    <w:rsid w:val="50B04721"/>
    <w:rsid w:val="50B119C1"/>
    <w:rsid w:val="50C75FB2"/>
    <w:rsid w:val="50EF2D57"/>
    <w:rsid w:val="50F62307"/>
    <w:rsid w:val="50FC6E7E"/>
    <w:rsid w:val="51171EC6"/>
    <w:rsid w:val="511E5A4C"/>
    <w:rsid w:val="51207E27"/>
    <w:rsid w:val="51400981"/>
    <w:rsid w:val="514109A6"/>
    <w:rsid w:val="51472B45"/>
    <w:rsid w:val="51564440"/>
    <w:rsid w:val="51635294"/>
    <w:rsid w:val="51744E62"/>
    <w:rsid w:val="5174646D"/>
    <w:rsid w:val="51785B9E"/>
    <w:rsid w:val="517B3D9A"/>
    <w:rsid w:val="51880281"/>
    <w:rsid w:val="51905F12"/>
    <w:rsid w:val="51944665"/>
    <w:rsid w:val="519D6372"/>
    <w:rsid w:val="51A9549E"/>
    <w:rsid w:val="51AA1F93"/>
    <w:rsid w:val="51B40AD7"/>
    <w:rsid w:val="51CF7E46"/>
    <w:rsid w:val="51D15047"/>
    <w:rsid w:val="51E342F0"/>
    <w:rsid w:val="51F837D1"/>
    <w:rsid w:val="520603DE"/>
    <w:rsid w:val="522A4FCA"/>
    <w:rsid w:val="522D47DA"/>
    <w:rsid w:val="52423420"/>
    <w:rsid w:val="52583F3C"/>
    <w:rsid w:val="52690D98"/>
    <w:rsid w:val="52792D28"/>
    <w:rsid w:val="52804300"/>
    <w:rsid w:val="5296324A"/>
    <w:rsid w:val="52C00A8E"/>
    <w:rsid w:val="52C861B5"/>
    <w:rsid w:val="52C93041"/>
    <w:rsid w:val="52CB11FB"/>
    <w:rsid w:val="52D67D81"/>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DD1EEC"/>
    <w:rsid w:val="54E2491B"/>
    <w:rsid w:val="54E838DC"/>
    <w:rsid w:val="55062EB3"/>
    <w:rsid w:val="551B736A"/>
    <w:rsid w:val="551E3DB6"/>
    <w:rsid w:val="55355E0E"/>
    <w:rsid w:val="55365B23"/>
    <w:rsid w:val="55477582"/>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6DC178D"/>
    <w:rsid w:val="56E12996"/>
    <w:rsid w:val="570C440C"/>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06211"/>
    <w:rsid w:val="5AC85246"/>
    <w:rsid w:val="5ACB7804"/>
    <w:rsid w:val="5AD0745D"/>
    <w:rsid w:val="5AD3367F"/>
    <w:rsid w:val="5AD84F59"/>
    <w:rsid w:val="5AEC0966"/>
    <w:rsid w:val="5AED3B83"/>
    <w:rsid w:val="5B0D5CEF"/>
    <w:rsid w:val="5B291F55"/>
    <w:rsid w:val="5B551DD7"/>
    <w:rsid w:val="5B581382"/>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5F5479"/>
    <w:rsid w:val="5C6D24D1"/>
    <w:rsid w:val="5C901728"/>
    <w:rsid w:val="5CA71E5C"/>
    <w:rsid w:val="5CF24C0B"/>
    <w:rsid w:val="5D247600"/>
    <w:rsid w:val="5D350F25"/>
    <w:rsid w:val="5D461DE8"/>
    <w:rsid w:val="5D4B2146"/>
    <w:rsid w:val="5D51609D"/>
    <w:rsid w:val="5D615EEA"/>
    <w:rsid w:val="5D67589A"/>
    <w:rsid w:val="5D7B3DBD"/>
    <w:rsid w:val="5D8364F3"/>
    <w:rsid w:val="5D866E62"/>
    <w:rsid w:val="5DA04695"/>
    <w:rsid w:val="5DA060EA"/>
    <w:rsid w:val="5DA32190"/>
    <w:rsid w:val="5DA615A8"/>
    <w:rsid w:val="5DAA459C"/>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B52671"/>
    <w:rsid w:val="5EB757F1"/>
    <w:rsid w:val="5EC04B4D"/>
    <w:rsid w:val="5ECC6ED2"/>
    <w:rsid w:val="5ED15932"/>
    <w:rsid w:val="5EE17738"/>
    <w:rsid w:val="5EE20336"/>
    <w:rsid w:val="5EF05338"/>
    <w:rsid w:val="5EFF3430"/>
    <w:rsid w:val="5EFF40C9"/>
    <w:rsid w:val="5F2B481E"/>
    <w:rsid w:val="5F306DA7"/>
    <w:rsid w:val="5F33240F"/>
    <w:rsid w:val="5F4E536E"/>
    <w:rsid w:val="5F550DA3"/>
    <w:rsid w:val="5F5D414E"/>
    <w:rsid w:val="5F610503"/>
    <w:rsid w:val="5F7078E4"/>
    <w:rsid w:val="5F8261BE"/>
    <w:rsid w:val="5FB31174"/>
    <w:rsid w:val="5FB478FF"/>
    <w:rsid w:val="5FC63477"/>
    <w:rsid w:val="5FD23794"/>
    <w:rsid w:val="60031CA7"/>
    <w:rsid w:val="602473D5"/>
    <w:rsid w:val="60484173"/>
    <w:rsid w:val="605C0F36"/>
    <w:rsid w:val="605F50BB"/>
    <w:rsid w:val="60786F09"/>
    <w:rsid w:val="609008D7"/>
    <w:rsid w:val="60953E19"/>
    <w:rsid w:val="60B430E0"/>
    <w:rsid w:val="60B61C2B"/>
    <w:rsid w:val="60B96019"/>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B266FA"/>
    <w:rsid w:val="61DB7677"/>
    <w:rsid w:val="61E97DB0"/>
    <w:rsid w:val="61EA78B2"/>
    <w:rsid w:val="61F54B0E"/>
    <w:rsid w:val="620B7B6C"/>
    <w:rsid w:val="620C27CC"/>
    <w:rsid w:val="621B46DF"/>
    <w:rsid w:val="621E0D0C"/>
    <w:rsid w:val="62207DBC"/>
    <w:rsid w:val="623951B5"/>
    <w:rsid w:val="628F325B"/>
    <w:rsid w:val="62A34AE2"/>
    <w:rsid w:val="62AE0C62"/>
    <w:rsid w:val="62D548A1"/>
    <w:rsid w:val="62F37D50"/>
    <w:rsid w:val="62FB7EA1"/>
    <w:rsid w:val="62FE2766"/>
    <w:rsid w:val="630E11BA"/>
    <w:rsid w:val="63194A7D"/>
    <w:rsid w:val="631D6ACB"/>
    <w:rsid w:val="632F46C6"/>
    <w:rsid w:val="63392A57"/>
    <w:rsid w:val="635E5A92"/>
    <w:rsid w:val="636635AE"/>
    <w:rsid w:val="637242A9"/>
    <w:rsid w:val="63872FC3"/>
    <w:rsid w:val="63BE1C9B"/>
    <w:rsid w:val="63C90E34"/>
    <w:rsid w:val="63CA1879"/>
    <w:rsid w:val="63CA29B6"/>
    <w:rsid w:val="63E73A40"/>
    <w:rsid w:val="640A61B2"/>
    <w:rsid w:val="64264962"/>
    <w:rsid w:val="6430556D"/>
    <w:rsid w:val="64457CF8"/>
    <w:rsid w:val="6451257B"/>
    <w:rsid w:val="645E5DB3"/>
    <w:rsid w:val="649A2E1A"/>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10233A"/>
    <w:rsid w:val="653760C8"/>
    <w:rsid w:val="653C7D75"/>
    <w:rsid w:val="65531C5D"/>
    <w:rsid w:val="65651885"/>
    <w:rsid w:val="656817BC"/>
    <w:rsid w:val="656868EF"/>
    <w:rsid w:val="656A498D"/>
    <w:rsid w:val="656D65EE"/>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192A62"/>
    <w:rsid w:val="682E24D1"/>
    <w:rsid w:val="68363C6D"/>
    <w:rsid w:val="683F3588"/>
    <w:rsid w:val="68431C17"/>
    <w:rsid w:val="6845686E"/>
    <w:rsid w:val="684A3153"/>
    <w:rsid w:val="684D4420"/>
    <w:rsid w:val="68500530"/>
    <w:rsid w:val="68641E84"/>
    <w:rsid w:val="686F590D"/>
    <w:rsid w:val="686F5A3D"/>
    <w:rsid w:val="68767163"/>
    <w:rsid w:val="688137B3"/>
    <w:rsid w:val="6886630B"/>
    <w:rsid w:val="68870636"/>
    <w:rsid w:val="68AF607A"/>
    <w:rsid w:val="68B93C08"/>
    <w:rsid w:val="68BA0BA8"/>
    <w:rsid w:val="68C26609"/>
    <w:rsid w:val="68E62F92"/>
    <w:rsid w:val="68FD458D"/>
    <w:rsid w:val="691B4CD4"/>
    <w:rsid w:val="69232287"/>
    <w:rsid w:val="69465A22"/>
    <w:rsid w:val="69527625"/>
    <w:rsid w:val="695D784E"/>
    <w:rsid w:val="696302C1"/>
    <w:rsid w:val="69705FF1"/>
    <w:rsid w:val="698337BC"/>
    <w:rsid w:val="698718B2"/>
    <w:rsid w:val="69C53915"/>
    <w:rsid w:val="69C6564D"/>
    <w:rsid w:val="69E1177C"/>
    <w:rsid w:val="69E31E2C"/>
    <w:rsid w:val="69EE2E38"/>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2830FF"/>
    <w:rsid w:val="6C3B3262"/>
    <w:rsid w:val="6C4F1ECB"/>
    <w:rsid w:val="6C652343"/>
    <w:rsid w:val="6C943213"/>
    <w:rsid w:val="6C9B617D"/>
    <w:rsid w:val="6CC71984"/>
    <w:rsid w:val="6CF15A94"/>
    <w:rsid w:val="6D1535AA"/>
    <w:rsid w:val="6D235010"/>
    <w:rsid w:val="6D292007"/>
    <w:rsid w:val="6D2D0CCA"/>
    <w:rsid w:val="6D406186"/>
    <w:rsid w:val="6D476ABD"/>
    <w:rsid w:val="6D495E7B"/>
    <w:rsid w:val="6D5118E8"/>
    <w:rsid w:val="6D55513E"/>
    <w:rsid w:val="6D5C484E"/>
    <w:rsid w:val="6D642B67"/>
    <w:rsid w:val="6D6E1B1E"/>
    <w:rsid w:val="6D8141AA"/>
    <w:rsid w:val="6D817A53"/>
    <w:rsid w:val="6D936C28"/>
    <w:rsid w:val="6D9F2E92"/>
    <w:rsid w:val="6DB00C2B"/>
    <w:rsid w:val="6DD94583"/>
    <w:rsid w:val="6DDE1782"/>
    <w:rsid w:val="6DF04CF1"/>
    <w:rsid w:val="6DFC64FD"/>
    <w:rsid w:val="6E1164A3"/>
    <w:rsid w:val="6E8468DA"/>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6FF94DE3"/>
    <w:rsid w:val="70125157"/>
    <w:rsid w:val="70193D56"/>
    <w:rsid w:val="70206203"/>
    <w:rsid w:val="70213C84"/>
    <w:rsid w:val="70287EE3"/>
    <w:rsid w:val="70406CA5"/>
    <w:rsid w:val="7051390C"/>
    <w:rsid w:val="706B1940"/>
    <w:rsid w:val="70945899"/>
    <w:rsid w:val="70B1431D"/>
    <w:rsid w:val="70CE5C96"/>
    <w:rsid w:val="70D051C6"/>
    <w:rsid w:val="70E02C07"/>
    <w:rsid w:val="70FA54A1"/>
    <w:rsid w:val="7108009F"/>
    <w:rsid w:val="71161961"/>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400E5"/>
    <w:rsid w:val="72667D19"/>
    <w:rsid w:val="728674C2"/>
    <w:rsid w:val="728E18CD"/>
    <w:rsid w:val="72972D83"/>
    <w:rsid w:val="729F6449"/>
    <w:rsid w:val="72A30558"/>
    <w:rsid w:val="72AF4F50"/>
    <w:rsid w:val="72B13451"/>
    <w:rsid w:val="72BA4191"/>
    <w:rsid w:val="72C030F0"/>
    <w:rsid w:val="72CE4E7F"/>
    <w:rsid w:val="72DB2D25"/>
    <w:rsid w:val="72DB562A"/>
    <w:rsid w:val="72E415CF"/>
    <w:rsid w:val="72F03263"/>
    <w:rsid w:val="730B4065"/>
    <w:rsid w:val="730C4DB0"/>
    <w:rsid w:val="730F3D31"/>
    <w:rsid w:val="731B7BDD"/>
    <w:rsid w:val="732145F1"/>
    <w:rsid w:val="73265B53"/>
    <w:rsid w:val="73347106"/>
    <w:rsid w:val="735D765F"/>
    <w:rsid w:val="736835A5"/>
    <w:rsid w:val="736E566D"/>
    <w:rsid w:val="736F1BCD"/>
    <w:rsid w:val="7384753B"/>
    <w:rsid w:val="73E74BE1"/>
    <w:rsid w:val="73EB06FE"/>
    <w:rsid w:val="73ED030A"/>
    <w:rsid w:val="73ED0EC7"/>
    <w:rsid w:val="73F379AF"/>
    <w:rsid w:val="74001E7B"/>
    <w:rsid w:val="740760EE"/>
    <w:rsid w:val="740C0C71"/>
    <w:rsid w:val="74136CD5"/>
    <w:rsid w:val="74280096"/>
    <w:rsid w:val="74372947"/>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88782A"/>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22B5C"/>
    <w:rsid w:val="77FF77F0"/>
    <w:rsid w:val="7808157C"/>
    <w:rsid w:val="781432FA"/>
    <w:rsid w:val="78404F59"/>
    <w:rsid w:val="784B54E8"/>
    <w:rsid w:val="784E646D"/>
    <w:rsid w:val="78573CA1"/>
    <w:rsid w:val="78616BB1"/>
    <w:rsid w:val="7863131A"/>
    <w:rsid w:val="786B074B"/>
    <w:rsid w:val="78811E89"/>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51A52"/>
    <w:rsid w:val="798B467F"/>
    <w:rsid w:val="79911621"/>
    <w:rsid w:val="79AE7E06"/>
    <w:rsid w:val="79AF24C2"/>
    <w:rsid w:val="79AF4236"/>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446C0D"/>
    <w:rsid w:val="7B4E0D74"/>
    <w:rsid w:val="7B510660"/>
    <w:rsid w:val="7B5F54E9"/>
    <w:rsid w:val="7B6C318F"/>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32B6A"/>
    <w:rsid w:val="7C4B0FD1"/>
    <w:rsid w:val="7C6164E8"/>
    <w:rsid w:val="7C6B16C4"/>
    <w:rsid w:val="7C993579"/>
    <w:rsid w:val="7CA063DE"/>
    <w:rsid w:val="7CA7288F"/>
    <w:rsid w:val="7CAB6E35"/>
    <w:rsid w:val="7CB07E29"/>
    <w:rsid w:val="7D016819"/>
    <w:rsid w:val="7D032FA8"/>
    <w:rsid w:val="7D1B6F19"/>
    <w:rsid w:val="7D3E5C13"/>
    <w:rsid w:val="7D477E2C"/>
    <w:rsid w:val="7D48785E"/>
    <w:rsid w:val="7D4F4018"/>
    <w:rsid w:val="7D5845B0"/>
    <w:rsid w:val="7D741FE3"/>
    <w:rsid w:val="7D9510B1"/>
    <w:rsid w:val="7D994E68"/>
    <w:rsid w:val="7D9F1F62"/>
    <w:rsid w:val="7DBB034A"/>
    <w:rsid w:val="7DBE23F7"/>
    <w:rsid w:val="7DC308AC"/>
    <w:rsid w:val="7DCA7882"/>
    <w:rsid w:val="7DF42531"/>
    <w:rsid w:val="7E0C591E"/>
    <w:rsid w:val="7E121A42"/>
    <w:rsid w:val="7E150F4A"/>
    <w:rsid w:val="7E161214"/>
    <w:rsid w:val="7E347A81"/>
    <w:rsid w:val="7E3D1BC5"/>
    <w:rsid w:val="7E3D7D35"/>
    <w:rsid w:val="7E701D64"/>
    <w:rsid w:val="7E8C03CE"/>
    <w:rsid w:val="7E9A1DC5"/>
    <w:rsid w:val="7EA138B2"/>
    <w:rsid w:val="7EA91618"/>
    <w:rsid w:val="7EA92848"/>
    <w:rsid w:val="7EC06164"/>
    <w:rsid w:val="7ED2429C"/>
    <w:rsid w:val="7EFE2191"/>
    <w:rsid w:val="7F021946"/>
    <w:rsid w:val="7F1B57AC"/>
    <w:rsid w:val="7F1C5567"/>
    <w:rsid w:val="7F2705DE"/>
    <w:rsid w:val="7F2B4920"/>
    <w:rsid w:val="7F2C7FA5"/>
    <w:rsid w:val="7F3A01D5"/>
    <w:rsid w:val="7F40233C"/>
    <w:rsid w:val="7F4D5312"/>
    <w:rsid w:val="7F547A55"/>
    <w:rsid w:val="7F560F49"/>
    <w:rsid w:val="7F5E7974"/>
    <w:rsid w:val="7F6A4989"/>
    <w:rsid w:val="7F6E32DD"/>
    <w:rsid w:val="7F957981"/>
    <w:rsid w:val="7FA3227B"/>
    <w:rsid w:val="7FA96067"/>
    <w:rsid w:val="7FAA2416"/>
    <w:rsid w:val="7FAC6A77"/>
    <w:rsid w:val="7FB77818"/>
    <w:rsid w:val="7FC4066F"/>
    <w:rsid w:val="7FE53196"/>
    <w:rsid w:val="7FF894E4"/>
    <w:rsid w:val="7FFC3C9E"/>
    <w:rsid w:val="BE3FF76D"/>
    <w:rsid w:val="BFFEA128"/>
    <w:rsid w:val="D7BF0A18"/>
    <w:rsid w:val="DDBEFD66"/>
    <w:rsid w:val="EFBB45D3"/>
    <w:rsid w:val="F3B49A9E"/>
    <w:rsid w:val="F67F0662"/>
    <w:rsid w:val="F7E777DD"/>
    <w:rsid w:val="FD9F8A80"/>
    <w:rsid w:val="FEFBC350"/>
    <w:rsid w:val="FEFF3B89"/>
    <w:rsid w:val="FF35D157"/>
    <w:rsid w:val="FFEED8C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character" w:customStyle="1" w:styleId="76">
    <w:name w:val="Highlighted Variable"/>
    <w:qFormat/>
    <w:uiPriority w:val="0"/>
    <w:rPr>
      <w:color w:val="0000FF"/>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sse</Company>
  <Pages>11</Pages>
  <Words>5475</Words>
  <Characters>6530</Characters>
  <Lines>70</Lines>
  <Paragraphs>19</Paragraphs>
  <TotalTime>3</TotalTime>
  <ScaleCrop>false</ScaleCrop>
  <LinksUpToDate>false</LinksUpToDate>
  <CharactersWithSpaces>6641</CharactersWithSpaces>
  <Application>WPS Office_11.8.2.12080_F1E327BC-269C-435d-A152-05C5408002CA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2020-07-10T07:52:00Z</dcterms:created>
  <dc:creator>user</dc:creator>
  <cp:lastModifiedBy>Administrator</cp:lastModifiedBy>
  <cp:lastPrinted>2020-06-23T01:00:00Z</cp:lastPrinted>
  <dcterms:modified xsi:type="dcterms:W3CDTF">2023-10-24T06:44:33Z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2052-11.8.2.12080</vt:lpwstr>
  </property>
  <property fmtid="{D5CDD505-2E9C-101B-9397-08002B2CF9AE}" pid="5" name="ICV">
    <vt:lpwstr>22F43DB8715349A4B6B782D17B1DEF71</vt:lpwstr>
  </property>
</Properties>
</file>