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color w:val="2E2E2E"/>
          <w:kern w:val="0"/>
          <w:sz w:val="32"/>
          <w:szCs w:val="32"/>
        </w:rPr>
      </w:pPr>
      <w:r>
        <w:rPr>
          <w:rFonts w:hint="eastAsia"/>
          <w:b/>
          <w:color w:val="2E2E2E"/>
          <w:kern w:val="0"/>
          <w:sz w:val="32"/>
          <w:szCs w:val="32"/>
        </w:rPr>
        <w:t>关于合格境外投资者开展深市业务仿真测试的通知</w:t>
      </w:r>
    </w:p>
    <w:p>
      <w:pPr>
        <w:jc w:val="center"/>
        <w:rPr>
          <w:b/>
          <w:color w:val="2E2E2E"/>
          <w:kern w:val="0"/>
          <w:sz w:val="32"/>
          <w:szCs w:val="32"/>
        </w:rPr>
      </w:pPr>
    </w:p>
    <w:p>
      <w:pPr>
        <w:widowControl/>
        <w:spacing w:line="360" w:lineRule="atLeast"/>
        <w:jc w:val="left"/>
        <w:rPr>
          <w:color w:val="2E2E2E"/>
          <w:kern w:val="0"/>
          <w:sz w:val="28"/>
          <w:szCs w:val="28"/>
        </w:rPr>
      </w:pPr>
      <w:r>
        <w:rPr>
          <w:rFonts w:hint="eastAsia"/>
          <w:color w:val="2E2E2E"/>
          <w:kern w:val="0"/>
          <w:sz w:val="28"/>
          <w:szCs w:val="28"/>
        </w:rPr>
        <w:t>各会员、期权经营机构、结算参与人及相关单位：</w:t>
      </w:r>
    </w:p>
    <w:p>
      <w:pPr>
        <w:widowControl/>
        <w:spacing w:line="360" w:lineRule="atLeast"/>
        <w:ind w:firstLine="537" w:firstLineChars="192"/>
        <w:jc w:val="left"/>
        <w:rPr>
          <w:color w:val="2E2E2E"/>
          <w:kern w:val="0"/>
          <w:sz w:val="28"/>
          <w:szCs w:val="28"/>
        </w:rPr>
      </w:pPr>
      <w:r>
        <w:rPr>
          <w:rFonts w:hint="eastAsia"/>
          <w:color w:val="2E2E2E"/>
          <w:kern w:val="0"/>
          <w:sz w:val="28"/>
          <w:szCs w:val="28"/>
        </w:rPr>
        <w:t>为进一步规范合格境外机构投资者和人民币合格境外机构投资者（以下统称合格境外投资者）的证券及衍生品品种交易行为，</w:t>
      </w:r>
      <w:r>
        <w:rPr>
          <w:rFonts w:hint="eastAsia"/>
          <w:sz w:val="28"/>
          <w:szCs w:val="28"/>
        </w:rPr>
        <w:t>深圳证券交易所（以下简称“深交所”）已于2020年10月30日发布《深圳证券交易所合格境外</w:t>
      </w:r>
      <w:r>
        <w:rPr>
          <w:rFonts w:hint="eastAsia"/>
          <w:color w:val="2E2E2E"/>
          <w:kern w:val="0"/>
          <w:sz w:val="28"/>
          <w:szCs w:val="28"/>
        </w:rPr>
        <w:t>机构投资者和人民币合格境外机构投资者证券交易实施细则</w:t>
      </w:r>
      <w:r>
        <w:rPr>
          <w:rFonts w:hint="eastAsia"/>
          <w:sz w:val="28"/>
          <w:szCs w:val="28"/>
        </w:rPr>
        <w:t>》。为确保</w:t>
      </w:r>
      <w:r>
        <w:rPr>
          <w:rFonts w:hint="eastAsia"/>
          <w:color w:val="2E2E2E"/>
          <w:kern w:val="0"/>
          <w:sz w:val="28"/>
          <w:szCs w:val="28"/>
        </w:rPr>
        <w:t>合格境外投资者顺利开展深市业务，深交所</w:t>
      </w:r>
      <w:r>
        <w:rPr>
          <w:rFonts w:hint="eastAsia"/>
          <w:sz w:val="28"/>
          <w:szCs w:val="28"/>
        </w:rPr>
        <w:t>联合中国证券登记结算有限责任公司（以下简称“中国结算总部”）及中国证券登记结算有限责任公司深圳分公司（以下简称“中</w:t>
      </w:r>
      <w:r>
        <w:rPr>
          <w:rFonts w:hint="eastAsia"/>
          <w:color w:val="2E2E2E"/>
          <w:kern w:val="0"/>
          <w:sz w:val="28"/>
          <w:szCs w:val="28"/>
        </w:rPr>
        <w:t>国结算深圳分公司”）定于</w:t>
      </w:r>
      <w:r>
        <w:rPr>
          <w:color w:val="2E2E2E"/>
          <w:kern w:val="0"/>
          <w:sz w:val="28"/>
          <w:szCs w:val="28"/>
        </w:rPr>
        <w:t>20</w:t>
      </w:r>
      <w:r>
        <w:rPr>
          <w:rFonts w:hint="eastAsia"/>
          <w:color w:val="2E2E2E"/>
          <w:kern w:val="0"/>
          <w:sz w:val="28"/>
          <w:szCs w:val="28"/>
        </w:rPr>
        <w:t>20年</w:t>
      </w:r>
      <w:r>
        <w:rPr>
          <w:color w:val="2E2E2E"/>
          <w:kern w:val="0"/>
          <w:sz w:val="28"/>
          <w:szCs w:val="28"/>
        </w:rPr>
        <w:t>11月</w:t>
      </w:r>
      <w:r>
        <w:rPr>
          <w:rFonts w:hint="eastAsia"/>
          <w:color w:val="2E2E2E"/>
          <w:kern w:val="0"/>
          <w:sz w:val="28"/>
          <w:szCs w:val="28"/>
        </w:rPr>
        <w:t>30</w:t>
      </w:r>
      <w:r>
        <w:rPr>
          <w:color w:val="2E2E2E"/>
          <w:kern w:val="0"/>
          <w:sz w:val="28"/>
          <w:szCs w:val="28"/>
        </w:rPr>
        <w:t>日</w:t>
      </w:r>
      <w:r>
        <w:rPr>
          <w:rFonts w:hint="eastAsia"/>
          <w:color w:val="2E2E2E"/>
          <w:kern w:val="0"/>
          <w:sz w:val="28"/>
          <w:szCs w:val="28"/>
        </w:rPr>
        <w:t>至</w:t>
      </w:r>
      <w:r>
        <w:rPr>
          <w:color w:val="2E2E2E"/>
          <w:kern w:val="0"/>
          <w:sz w:val="28"/>
          <w:szCs w:val="28"/>
        </w:rPr>
        <w:t>20</w:t>
      </w:r>
      <w:r>
        <w:rPr>
          <w:rFonts w:hint="eastAsia"/>
          <w:color w:val="2E2E2E"/>
          <w:kern w:val="0"/>
          <w:sz w:val="28"/>
          <w:szCs w:val="28"/>
        </w:rPr>
        <w:t>20年</w:t>
      </w:r>
      <w:r>
        <w:rPr>
          <w:color w:val="2E2E2E"/>
          <w:kern w:val="0"/>
          <w:sz w:val="28"/>
          <w:szCs w:val="28"/>
        </w:rPr>
        <w:t>12月</w:t>
      </w:r>
      <w:r>
        <w:rPr>
          <w:rFonts w:hint="eastAsia"/>
          <w:color w:val="2E2E2E"/>
          <w:kern w:val="0"/>
          <w:sz w:val="28"/>
          <w:szCs w:val="28"/>
        </w:rPr>
        <w:t>15</w:t>
      </w:r>
      <w:r>
        <w:rPr>
          <w:color w:val="2E2E2E"/>
          <w:kern w:val="0"/>
          <w:sz w:val="28"/>
          <w:szCs w:val="28"/>
        </w:rPr>
        <w:t>日</w:t>
      </w:r>
      <w:r>
        <w:rPr>
          <w:rFonts w:hint="eastAsia"/>
          <w:color w:val="2E2E2E"/>
          <w:kern w:val="0"/>
          <w:sz w:val="28"/>
          <w:szCs w:val="28"/>
        </w:rPr>
        <w:t>在深市交易结算独立测试环境和统一账户平台全天候测试环境组织仿真测试，通过模拟现货（含存托凭证、政府支持债券等</w:t>
      </w:r>
      <w:r>
        <w:rPr>
          <w:color w:val="2E2E2E"/>
          <w:kern w:val="0"/>
          <w:sz w:val="28"/>
          <w:szCs w:val="28"/>
        </w:rPr>
        <w:t>）</w:t>
      </w:r>
      <w:r>
        <w:rPr>
          <w:rFonts w:hint="eastAsia"/>
          <w:color w:val="2E2E2E"/>
          <w:kern w:val="0"/>
          <w:sz w:val="28"/>
          <w:szCs w:val="28"/>
        </w:rPr>
        <w:t>和股票期权品种的交易、非交易、转融通、融资融券、债券回购、发行认购、QFII/RQFII证券划转等业务的委托申报、成交回报、行情接收、清算交收和衍生品合约账户开立注销等业务处理过程，检验市场参与各方技术系统的正确性。</w:t>
      </w:r>
    </w:p>
    <w:p>
      <w:pPr>
        <w:widowControl/>
        <w:spacing w:line="360" w:lineRule="atLeast"/>
        <w:ind w:firstLine="537" w:firstLineChars="192"/>
        <w:jc w:val="left"/>
        <w:rPr>
          <w:color w:val="2E2E2E"/>
          <w:kern w:val="0"/>
          <w:sz w:val="28"/>
          <w:szCs w:val="28"/>
        </w:rPr>
      </w:pPr>
      <w:r>
        <w:rPr>
          <w:rFonts w:hint="eastAsia"/>
          <w:color w:val="2E2E2E"/>
          <w:kern w:val="0"/>
          <w:sz w:val="28"/>
          <w:szCs w:val="28"/>
        </w:rPr>
        <w:t>现将测试相关事项通知如下：</w:t>
      </w:r>
    </w:p>
    <w:p>
      <w:pPr>
        <w:pStyle w:val="24"/>
        <w:widowControl/>
        <w:numPr>
          <w:ilvl w:val="0"/>
          <w:numId w:val="1"/>
        </w:numPr>
        <w:spacing w:line="360" w:lineRule="atLeast"/>
        <w:ind w:firstLineChars="0"/>
        <w:jc w:val="left"/>
        <w:rPr>
          <w:color w:val="2E2E2E"/>
          <w:kern w:val="0"/>
          <w:sz w:val="28"/>
          <w:szCs w:val="28"/>
        </w:rPr>
      </w:pPr>
      <w:r>
        <w:rPr>
          <w:rFonts w:hint="eastAsia"/>
          <w:color w:val="2E2E2E"/>
          <w:kern w:val="0"/>
          <w:sz w:val="28"/>
          <w:szCs w:val="28"/>
        </w:rPr>
        <w:t>本次测试内容包括：</w:t>
      </w:r>
      <w:r>
        <w:rPr>
          <w:color w:val="2E2E2E"/>
          <w:kern w:val="0"/>
          <w:sz w:val="28"/>
          <w:szCs w:val="28"/>
        </w:rPr>
        <w:t xml:space="preserve"> </w:t>
      </w:r>
    </w:p>
    <w:p>
      <w:pPr>
        <w:widowControl/>
        <w:spacing w:line="360" w:lineRule="atLeast"/>
        <w:ind w:firstLine="537" w:firstLineChars="192"/>
        <w:jc w:val="left"/>
        <w:rPr>
          <w:color w:val="2E2E2E"/>
          <w:kern w:val="0"/>
          <w:sz w:val="28"/>
          <w:szCs w:val="28"/>
        </w:rPr>
      </w:pPr>
      <w:r>
        <w:rPr>
          <w:color w:val="2E2E2E"/>
          <w:kern w:val="0"/>
          <w:sz w:val="28"/>
          <w:szCs w:val="28"/>
        </w:rPr>
        <w:t>1，</w:t>
      </w:r>
      <w:r>
        <w:rPr>
          <w:rFonts w:hint="eastAsia"/>
          <w:color w:val="2E2E2E"/>
          <w:kern w:val="0"/>
          <w:sz w:val="28"/>
          <w:szCs w:val="28"/>
        </w:rPr>
        <w:t>现货（含存托凭证、政府支持债券等）和股票期权品种的交易、非交易，ETF申赎等业务的委托申报与成交回报，行情接收与展示，股份与资金的清算交收等业务处理；</w:t>
      </w:r>
    </w:p>
    <w:p>
      <w:pPr>
        <w:widowControl/>
        <w:spacing w:line="360" w:lineRule="atLeast"/>
        <w:ind w:firstLine="537" w:firstLineChars="192"/>
        <w:jc w:val="left"/>
        <w:rPr>
          <w:color w:val="2E2E2E"/>
          <w:kern w:val="0"/>
          <w:sz w:val="28"/>
          <w:szCs w:val="28"/>
        </w:rPr>
      </w:pPr>
      <w:r>
        <w:rPr>
          <w:color w:val="2E2E2E"/>
          <w:kern w:val="0"/>
          <w:sz w:val="28"/>
          <w:szCs w:val="28"/>
        </w:rPr>
        <w:t>2，</w:t>
      </w:r>
      <w:r>
        <w:rPr>
          <w:rFonts w:hint="eastAsia"/>
          <w:color w:val="2E2E2E"/>
          <w:kern w:val="0"/>
          <w:sz w:val="28"/>
          <w:szCs w:val="28"/>
        </w:rPr>
        <w:t>转融通证券出借与归还业务的委托申报与成交回报，股份与资金的清算交收等业务处理；</w:t>
      </w:r>
    </w:p>
    <w:p>
      <w:pPr>
        <w:widowControl/>
        <w:spacing w:line="360" w:lineRule="atLeast"/>
        <w:ind w:firstLine="537" w:firstLineChars="192"/>
        <w:jc w:val="left"/>
        <w:rPr>
          <w:color w:val="2E2E2E"/>
          <w:kern w:val="0"/>
          <w:sz w:val="28"/>
          <w:szCs w:val="28"/>
        </w:rPr>
      </w:pPr>
      <w:r>
        <w:rPr>
          <w:rFonts w:hint="eastAsia"/>
          <w:color w:val="2E2E2E"/>
          <w:kern w:val="0"/>
          <w:sz w:val="28"/>
          <w:szCs w:val="28"/>
        </w:rPr>
        <w:t>3，融资融券业务的委托申报与成交回报，股份与资金的清算交收等业务处理，担保证券提交与返还的申报及清算交收等业务处理；</w:t>
      </w:r>
    </w:p>
    <w:p>
      <w:pPr>
        <w:widowControl/>
        <w:spacing w:line="360" w:lineRule="atLeast"/>
        <w:ind w:firstLine="537" w:firstLineChars="192"/>
        <w:jc w:val="left"/>
        <w:rPr>
          <w:color w:val="2E2E2E"/>
          <w:kern w:val="0"/>
          <w:sz w:val="28"/>
          <w:szCs w:val="28"/>
        </w:rPr>
      </w:pPr>
      <w:r>
        <w:rPr>
          <w:rFonts w:hint="eastAsia"/>
          <w:color w:val="2E2E2E"/>
          <w:kern w:val="0"/>
          <w:sz w:val="28"/>
          <w:szCs w:val="28"/>
        </w:rPr>
        <w:t>4，债券质押式回购、协议回购、三方回购业务的委托申报与成交回报，股份与资金的清算交收等业务处理；</w:t>
      </w:r>
    </w:p>
    <w:p>
      <w:pPr>
        <w:widowControl/>
        <w:spacing w:line="360" w:lineRule="atLeast"/>
        <w:ind w:firstLine="537" w:firstLineChars="192"/>
        <w:jc w:val="left"/>
        <w:rPr>
          <w:color w:val="2E2E2E"/>
          <w:kern w:val="0"/>
          <w:sz w:val="28"/>
          <w:szCs w:val="28"/>
        </w:rPr>
      </w:pPr>
      <w:r>
        <w:rPr>
          <w:rFonts w:hint="eastAsia"/>
          <w:color w:val="2E2E2E"/>
          <w:kern w:val="0"/>
          <w:sz w:val="28"/>
          <w:szCs w:val="28"/>
        </w:rPr>
        <w:t>5，QFII/RQFII证券划转业务的委托申报与回报，股份与资金的清算交收等业务处理（</w:t>
      </w:r>
      <w:r>
        <w:rPr>
          <w:rFonts w:hint="eastAsia" w:asciiTheme="minorEastAsia" w:hAnsiTheme="minorEastAsia" w:eastAsiaTheme="minorEastAsia"/>
          <w:color w:val="2E2E2E"/>
          <w:kern w:val="0"/>
          <w:sz w:val="28"/>
          <w:szCs w:val="28"/>
        </w:rPr>
        <w:t>包括申报委托指令及撤单指令)；</w:t>
      </w:r>
    </w:p>
    <w:p>
      <w:pPr>
        <w:widowControl/>
        <w:spacing w:line="360" w:lineRule="atLeast"/>
        <w:ind w:firstLine="537" w:firstLineChars="192"/>
        <w:jc w:val="left"/>
        <w:rPr>
          <w:color w:val="2E2E2E"/>
          <w:kern w:val="0"/>
          <w:sz w:val="28"/>
          <w:szCs w:val="28"/>
        </w:rPr>
      </w:pPr>
      <w:r>
        <w:rPr>
          <w:rFonts w:hint="eastAsia"/>
          <w:color w:val="2E2E2E"/>
          <w:kern w:val="0"/>
          <w:sz w:val="28"/>
          <w:szCs w:val="28"/>
        </w:rPr>
        <w:t>6，转托管业务：QFII/RQFII账户的报盘转托管委托申报与处理，跨系统转托管委托申报与处理，限售股转托管委托申报与处理（</w:t>
      </w:r>
      <w:r>
        <w:rPr>
          <w:rFonts w:hint="eastAsia" w:asciiTheme="minorEastAsia" w:hAnsiTheme="minorEastAsia" w:eastAsiaTheme="minorEastAsia"/>
          <w:color w:val="2E2E2E"/>
          <w:kern w:val="0"/>
          <w:sz w:val="28"/>
          <w:szCs w:val="28"/>
        </w:rPr>
        <w:t>包括申报委托指令及撤单指令)</w:t>
      </w:r>
      <w:r>
        <w:rPr>
          <w:rFonts w:hint="eastAsia"/>
          <w:color w:val="2E2E2E"/>
          <w:kern w:val="0"/>
          <w:sz w:val="28"/>
          <w:szCs w:val="28"/>
        </w:rPr>
        <w:t>；</w:t>
      </w:r>
    </w:p>
    <w:p>
      <w:pPr>
        <w:widowControl/>
        <w:spacing w:line="360" w:lineRule="atLeast"/>
        <w:ind w:firstLine="537" w:firstLineChars="192"/>
        <w:jc w:val="left"/>
        <w:rPr>
          <w:color w:val="2E2E2E"/>
          <w:kern w:val="0"/>
          <w:sz w:val="28"/>
          <w:szCs w:val="28"/>
        </w:rPr>
      </w:pPr>
      <w:r>
        <w:rPr>
          <w:rFonts w:hint="eastAsia"/>
          <w:color w:val="2E2E2E"/>
          <w:kern w:val="0"/>
          <w:sz w:val="28"/>
          <w:szCs w:val="28"/>
        </w:rPr>
        <w:t>7，QFII/RQFII账户采用托管行结算模式的，托管行最低结算备付金数据接收及处理业务；</w:t>
      </w:r>
    </w:p>
    <w:p>
      <w:pPr>
        <w:widowControl/>
        <w:spacing w:line="360" w:lineRule="atLeast"/>
        <w:ind w:firstLine="537" w:firstLineChars="192"/>
        <w:jc w:val="left"/>
        <w:rPr>
          <w:color w:val="2E2E2E"/>
          <w:kern w:val="0"/>
          <w:sz w:val="28"/>
          <w:szCs w:val="28"/>
        </w:rPr>
      </w:pPr>
      <w:r>
        <w:rPr>
          <w:rFonts w:hint="eastAsia"/>
          <w:color w:val="2E2E2E"/>
          <w:kern w:val="0"/>
          <w:sz w:val="28"/>
          <w:szCs w:val="28"/>
        </w:rPr>
        <w:t>8，发行认购业务；</w:t>
      </w:r>
    </w:p>
    <w:p>
      <w:pPr>
        <w:widowControl/>
        <w:spacing w:line="360" w:lineRule="atLeast"/>
        <w:ind w:firstLine="537" w:firstLineChars="192"/>
        <w:jc w:val="left"/>
        <w:rPr>
          <w:color w:val="2E2E2E"/>
          <w:kern w:val="0"/>
          <w:sz w:val="28"/>
          <w:szCs w:val="28"/>
        </w:rPr>
      </w:pPr>
      <w:r>
        <w:rPr>
          <w:rFonts w:hint="eastAsia"/>
          <w:color w:val="2E2E2E"/>
          <w:kern w:val="0"/>
          <w:sz w:val="28"/>
          <w:szCs w:val="28"/>
        </w:rPr>
        <w:t>9，账户业务：QFII/RQFII采用券商结算模式的A股账户开立、采用托管行结算模式的A股账户开立、信用账户开立及衍生品合约账户开立。</w:t>
      </w:r>
    </w:p>
    <w:p>
      <w:pPr>
        <w:widowControl/>
        <w:spacing w:line="360" w:lineRule="atLeast"/>
        <w:ind w:firstLine="537" w:firstLineChars="192"/>
        <w:jc w:val="left"/>
        <w:rPr>
          <w:color w:val="2E2E2E"/>
          <w:kern w:val="0"/>
          <w:sz w:val="28"/>
          <w:szCs w:val="28"/>
        </w:rPr>
      </w:pPr>
      <w:r>
        <w:rPr>
          <w:rFonts w:hint="eastAsia"/>
          <w:color w:val="2E2E2E"/>
          <w:kern w:val="0"/>
          <w:sz w:val="28"/>
          <w:szCs w:val="28"/>
        </w:rPr>
        <w:t>二、测试日期为</w:t>
      </w:r>
      <w:r>
        <w:rPr>
          <w:color w:val="2E2E2E"/>
          <w:kern w:val="0"/>
          <w:sz w:val="28"/>
          <w:szCs w:val="28"/>
        </w:rPr>
        <w:t>20</w:t>
      </w:r>
      <w:r>
        <w:rPr>
          <w:rFonts w:hint="eastAsia"/>
          <w:color w:val="2E2E2E"/>
          <w:kern w:val="0"/>
          <w:sz w:val="28"/>
          <w:szCs w:val="28"/>
        </w:rPr>
        <w:t>20年</w:t>
      </w:r>
      <w:r>
        <w:rPr>
          <w:color w:val="2E2E2E"/>
          <w:kern w:val="0"/>
          <w:sz w:val="28"/>
          <w:szCs w:val="28"/>
        </w:rPr>
        <w:t>11月</w:t>
      </w:r>
      <w:r>
        <w:rPr>
          <w:rFonts w:hint="eastAsia"/>
          <w:color w:val="2E2E2E"/>
          <w:kern w:val="0"/>
          <w:sz w:val="28"/>
          <w:szCs w:val="28"/>
        </w:rPr>
        <w:t>30</w:t>
      </w:r>
      <w:r>
        <w:rPr>
          <w:color w:val="2E2E2E"/>
          <w:kern w:val="0"/>
          <w:sz w:val="28"/>
          <w:szCs w:val="28"/>
        </w:rPr>
        <w:t>日</w:t>
      </w:r>
      <w:r>
        <w:rPr>
          <w:rFonts w:hint="eastAsia"/>
          <w:color w:val="2E2E2E"/>
          <w:kern w:val="0"/>
          <w:sz w:val="28"/>
          <w:szCs w:val="28"/>
        </w:rPr>
        <w:t>至</w:t>
      </w:r>
      <w:r>
        <w:rPr>
          <w:color w:val="2E2E2E"/>
          <w:kern w:val="0"/>
          <w:sz w:val="28"/>
          <w:szCs w:val="28"/>
        </w:rPr>
        <w:t>20</w:t>
      </w:r>
      <w:r>
        <w:rPr>
          <w:rFonts w:hint="eastAsia"/>
          <w:color w:val="2E2E2E"/>
          <w:kern w:val="0"/>
          <w:sz w:val="28"/>
          <w:szCs w:val="28"/>
        </w:rPr>
        <w:t>20年</w:t>
      </w:r>
      <w:r>
        <w:rPr>
          <w:color w:val="2E2E2E"/>
          <w:kern w:val="0"/>
          <w:sz w:val="28"/>
          <w:szCs w:val="28"/>
        </w:rPr>
        <w:t>12月</w:t>
      </w:r>
      <w:r>
        <w:rPr>
          <w:rFonts w:hint="eastAsia"/>
          <w:color w:val="2E2E2E"/>
          <w:kern w:val="0"/>
          <w:sz w:val="28"/>
          <w:szCs w:val="28"/>
        </w:rPr>
        <w:t>15</w:t>
      </w:r>
      <w:r>
        <w:rPr>
          <w:color w:val="2E2E2E"/>
          <w:kern w:val="0"/>
          <w:sz w:val="28"/>
          <w:szCs w:val="28"/>
        </w:rPr>
        <w:t>日</w:t>
      </w:r>
      <w:r>
        <w:rPr>
          <w:rFonts w:hint="eastAsia"/>
          <w:color w:val="2E2E2E"/>
          <w:kern w:val="0"/>
          <w:sz w:val="28"/>
          <w:szCs w:val="28"/>
        </w:rPr>
        <w:t>，每日测试时间为</w:t>
      </w:r>
      <w:r>
        <w:rPr>
          <w:color w:val="2E2E2E"/>
          <w:kern w:val="0"/>
          <w:sz w:val="28"/>
          <w:szCs w:val="28"/>
        </w:rPr>
        <w:t>8:30</w:t>
      </w:r>
      <w:r>
        <w:rPr>
          <w:rFonts w:hint="eastAsia"/>
          <w:color w:val="2E2E2E"/>
          <w:kern w:val="0"/>
          <w:sz w:val="28"/>
          <w:szCs w:val="28"/>
        </w:rPr>
        <w:t>至</w:t>
      </w:r>
      <w:r>
        <w:rPr>
          <w:color w:val="2E2E2E"/>
          <w:kern w:val="0"/>
          <w:sz w:val="28"/>
          <w:szCs w:val="28"/>
        </w:rPr>
        <w:t>17:30</w:t>
      </w:r>
      <w:r>
        <w:rPr>
          <w:rFonts w:hint="eastAsia"/>
          <w:color w:val="2E2E2E"/>
          <w:kern w:val="0"/>
          <w:sz w:val="28"/>
          <w:szCs w:val="28"/>
        </w:rPr>
        <w:t>（其中统一账户平台全天候测试环境每日测试时间为</w:t>
      </w:r>
      <w:r>
        <w:rPr>
          <w:color w:val="2E2E2E"/>
          <w:kern w:val="0"/>
          <w:sz w:val="28"/>
          <w:szCs w:val="28"/>
        </w:rPr>
        <w:t>9:30</w:t>
      </w:r>
      <w:r>
        <w:rPr>
          <w:rFonts w:hint="eastAsia"/>
          <w:color w:val="2E2E2E"/>
          <w:kern w:val="0"/>
          <w:sz w:val="28"/>
          <w:szCs w:val="28"/>
        </w:rPr>
        <w:t>至</w:t>
      </w:r>
      <w:r>
        <w:rPr>
          <w:color w:val="2E2E2E"/>
          <w:kern w:val="0"/>
          <w:sz w:val="28"/>
          <w:szCs w:val="28"/>
        </w:rPr>
        <w:t>13:00</w:t>
      </w:r>
      <w:r>
        <w:rPr>
          <w:rFonts w:hint="eastAsia"/>
          <w:color w:val="2E2E2E"/>
          <w:kern w:val="0"/>
          <w:sz w:val="28"/>
          <w:szCs w:val="28"/>
        </w:rPr>
        <w:t>），测试期间每日均模拟日常交易、结算处理和账户开立注销等全过程。</w:t>
      </w:r>
    </w:p>
    <w:p>
      <w:pPr>
        <w:widowControl/>
        <w:spacing w:line="360" w:lineRule="atLeast"/>
        <w:ind w:firstLine="537" w:firstLineChars="192"/>
        <w:jc w:val="left"/>
        <w:rPr>
          <w:color w:val="2E2E2E"/>
          <w:kern w:val="0"/>
          <w:sz w:val="28"/>
          <w:szCs w:val="28"/>
        </w:rPr>
      </w:pPr>
      <w:r>
        <w:rPr>
          <w:rFonts w:hint="eastAsia"/>
          <w:color w:val="2E2E2E"/>
          <w:kern w:val="0"/>
          <w:sz w:val="28"/>
          <w:szCs w:val="28"/>
        </w:rPr>
        <w:t>三、各参测单位应以独立于生产系统的测试环境开展仿真测试，做好详尽的系统测试计划，落实专人负责本次测试工作，并按照《合格境外投资者开展深市业务仿真测试方案》(见附件1)等相关技术文档做好相关准备。</w:t>
      </w:r>
    </w:p>
    <w:p>
      <w:pPr>
        <w:widowControl/>
        <w:spacing w:line="360" w:lineRule="atLeast"/>
        <w:ind w:firstLine="537" w:firstLineChars="192"/>
        <w:jc w:val="left"/>
        <w:rPr>
          <w:color w:val="2E2E2E"/>
          <w:kern w:val="0"/>
          <w:sz w:val="28"/>
          <w:szCs w:val="28"/>
        </w:rPr>
      </w:pPr>
      <w:r>
        <w:rPr>
          <w:rFonts w:hint="eastAsia"/>
          <w:color w:val="2E2E2E"/>
          <w:kern w:val="0"/>
          <w:sz w:val="28"/>
          <w:szCs w:val="28"/>
        </w:rPr>
        <w:t>四、各参测单位应于测试过程中详细记录测试现象与结果，检查其正确性。如发现异常现象，请及时报告。</w:t>
      </w:r>
    </w:p>
    <w:p>
      <w:pPr>
        <w:widowControl/>
        <w:spacing w:line="360" w:lineRule="atLeast"/>
        <w:ind w:firstLine="537" w:firstLineChars="192"/>
        <w:jc w:val="left"/>
        <w:rPr>
          <w:color w:val="2E2E2E"/>
          <w:kern w:val="0"/>
          <w:sz w:val="28"/>
          <w:szCs w:val="28"/>
        </w:rPr>
      </w:pPr>
      <w:r>
        <w:rPr>
          <w:rFonts w:hint="eastAsia"/>
          <w:color w:val="2E2E2E"/>
          <w:kern w:val="0"/>
          <w:sz w:val="28"/>
          <w:szCs w:val="28"/>
        </w:rPr>
        <w:t>五、本次测试的所有数据仅为测试使用，不能作为任何交易、非交易、账户等业务的依据，与实际业务行为无任何关系。</w:t>
      </w:r>
    </w:p>
    <w:p>
      <w:pPr>
        <w:widowControl/>
        <w:spacing w:line="360" w:lineRule="atLeast"/>
        <w:ind w:firstLine="360"/>
        <w:jc w:val="left"/>
        <w:rPr>
          <w:color w:val="2E2E2E"/>
          <w:kern w:val="0"/>
          <w:sz w:val="28"/>
          <w:szCs w:val="28"/>
        </w:rPr>
      </w:pPr>
    </w:p>
    <w:p>
      <w:pPr>
        <w:widowControl/>
        <w:spacing w:line="360" w:lineRule="atLeast"/>
        <w:ind w:firstLine="360"/>
        <w:jc w:val="right"/>
        <w:rPr>
          <w:color w:val="2E2E2E"/>
          <w:kern w:val="0"/>
          <w:sz w:val="28"/>
          <w:szCs w:val="28"/>
        </w:rPr>
      </w:pPr>
      <w:r>
        <w:rPr>
          <w:rFonts w:hint="eastAsia"/>
          <w:color w:val="2E2E2E"/>
          <w:kern w:val="0"/>
          <w:sz w:val="28"/>
          <w:szCs w:val="28"/>
        </w:rPr>
        <w:t>深圳证券交易所</w:t>
      </w:r>
    </w:p>
    <w:p>
      <w:pPr>
        <w:widowControl/>
        <w:spacing w:line="360" w:lineRule="atLeast"/>
        <w:ind w:firstLine="360"/>
        <w:jc w:val="right"/>
        <w:rPr>
          <w:color w:val="2E2E2E"/>
          <w:kern w:val="0"/>
          <w:sz w:val="28"/>
          <w:szCs w:val="28"/>
        </w:rPr>
      </w:pPr>
      <w:r>
        <w:rPr>
          <w:rFonts w:hint="eastAsia"/>
          <w:color w:val="2E2E2E"/>
          <w:kern w:val="0"/>
          <w:sz w:val="28"/>
          <w:szCs w:val="28"/>
        </w:rPr>
        <w:t>中国证券登记结算有限责任公司</w:t>
      </w:r>
    </w:p>
    <w:p>
      <w:pPr>
        <w:widowControl/>
        <w:spacing w:line="360" w:lineRule="atLeast"/>
        <w:ind w:firstLine="360"/>
        <w:jc w:val="right"/>
        <w:rPr>
          <w:color w:val="2E2E2E"/>
          <w:kern w:val="0"/>
          <w:sz w:val="28"/>
          <w:szCs w:val="28"/>
        </w:rPr>
      </w:pPr>
      <w:r>
        <w:rPr>
          <w:rFonts w:hint="eastAsia"/>
          <w:color w:val="2E2E2E"/>
          <w:kern w:val="0"/>
          <w:sz w:val="28"/>
          <w:szCs w:val="28"/>
        </w:rPr>
        <w:t>中国证券登记结算有限责任公司深圳分公司</w:t>
      </w:r>
    </w:p>
    <w:p>
      <w:pPr>
        <w:widowControl/>
        <w:spacing w:line="360" w:lineRule="atLeast"/>
        <w:ind w:firstLine="360"/>
        <w:jc w:val="right"/>
        <w:rPr>
          <w:color w:val="2E2E2E"/>
          <w:kern w:val="0"/>
          <w:sz w:val="28"/>
          <w:szCs w:val="28"/>
        </w:rPr>
      </w:pPr>
      <w:r>
        <w:rPr>
          <w:color w:val="2E2E2E"/>
          <w:kern w:val="0"/>
          <w:sz w:val="28"/>
          <w:szCs w:val="28"/>
        </w:rPr>
        <w:t>20</w:t>
      </w:r>
      <w:r>
        <w:rPr>
          <w:rFonts w:hint="eastAsia"/>
          <w:color w:val="2E2E2E"/>
          <w:kern w:val="0"/>
          <w:sz w:val="28"/>
          <w:szCs w:val="28"/>
        </w:rPr>
        <w:t>20年</w:t>
      </w:r>
      <w:r>
        <w:rPr>
          <w:color w:val="2E2E2E"/>
          <w:kern w:val="0"/>
          <w:sz w:val="28"/>
          <w:szCs w:val="28"/>
        </w:rPr>
        <w:t>11月</w:t>
      </w:r>
      <w:r>
        <w:rPr>
          <w:rFonts w:hint="eastAsia"/>
          <w:color w:val="2E2E2E"/>
          <w:kern w:val="0"/>
          <w:sz w:val="28"/>
          <w:szCs w:val="28"/>
        </w:rPr>
        <w:t>24</w:t>
      </w:r>
      <w:r>
        <w:rPr>
          <w:color w:val="2E2E2E"/>
          <w:kern w:val="0"/>
          <w:sz w:val="28"/>
          <w:szCs w:val="28"/>
        </w:rPr>
        <w:t>日</w:t>
      </w:r>
    </w:p>
    <w:p>
      <w:pPr>
        <w:widowControl/>
        <w:spacing w:line="360" w:lineRule="atLeast"/>
        <w:ind w:right="1120"/>
        <w:rPr>
          <w:color w:val="2E2E2E"/>
          <w:kern w:val="0"/>
          <w:sz w:val="28"/>
          <w:szCs w:val="28"/>
        </w:rPr>
      </w:pPr>
    </w:p>
    <w:p>
      <w:pPr>
        <w:widowControl/>
        <w:spacing w:line="360" w:lineRule="atLeast"/>
        <w:ind w:firstLine="360"/>
        <w:jc w:val="right"/>
        <w:rPr>
          <w:color w:val="2E2E2E"/>
          <w:kern w:val="0"/>
          <w:sz w:val="28"/>
          <w:szCs w:val="28"/>
        </w:rPr>
      </w:pPr>
    </w:p>
    <w:p>
      <w:pPr>
        <w:widowControl/>
        <w:spacing w:line="360" w:lineRule="atLeast"/>
        <w:ind w:firstLine="360"/>
        <w:jc w:val="right"/>
        <w:rPr>
          <w:color w:val="2E2E2E"/>
          <w:kern w:val="0"/>
          <w:sz w:val="28"/>
          <w:szCs w:val="28"/>
        </w:rPr>
      </w:pPr>
    </w:p>
    <w:p>
      <w:pPr>
        <w:widowControl/>
        <w:spacing w:line="360" w:lineRule="atLeast"/>
        <w:ind w:firstLine="360"/>
        <w:jc w:val="right"/>
        <w:rPr>
          <w:color w:val="2E2E2E"/>
          <w:kern w:val="0"/>
          <w:sz w:val="28"/>
          <w:szCs w:val="28"/>
        </w:rPr>
      </w:pPr>
    </w:p>
    <w:p>
      <w:pPr>
        <w:widowControl/>
        <w:spacing w:line="360" w:lineRule="atLeast"/>
        <w:ind w:firstLine="360"/>
        <w:jc w:val="right"/>
        <w:rPr>
          <w:color w:val="2E2E2E"/>
          <w:kern w:val="0"/>
          <w:sz w:val="28"/>
          <w:szCs w:val="28"/>
        </w:rPr>
      </w:pPr>
    </w:p>
    <w:p>
      <w:pPr>
        <w:widowControl/>
        <w:spacing w:line="360" w:lineRule="atLeast"/>
        <w:ind w:firstLine="360"/>
        <w:jc w:val="right"/>
        <w:rPr>
          <w:color w:val="2E2E2E"/>
          <w:kern w:val="0"/>
          <w:sz w:val="28"/>
          <w:szCs w:val="28"/>
        </w:rPr>
      </w:pPr>
    </w:p>
    <w:p>
      <w:pPr>
        <w:widowControl/>
        <w:spacing w:line="360" w:lineRule="atLeast"/>
        <w:ind w:firstLine="360"/>
        <w:jc w:val="right"/>
        <w:rPr>
          <w:color w:val="2E2E2E"/>
          <w:kern w:val="0"/>
          <w:sz w:val="28"/>
          <w:szCs w:val="28"/>
        </w:rPr>
      </w:pPr>
    </w:p>
    <w:p>
      <w:pPr>
        <w:widowControl/>
        <w:spacing w:line="360" w:lineRule="atLeast"/>
        <w:ind w:firstLine="360"/>
        <w:jc w:val="right"/>
        <w:rPr>
          <w:color w:val="2E2E2E"/>
          <w:kern w:val="0"/>
          <w:sz w:val="28"/>
          <w:szCs w:val="28"/>
        </w:rPr>
      </w:pPr>
    </w:p>
    <w:p>
      <w:pPr>
        <w:widowControl/>
        <w:spacing w:line="360" w:lineRule="atLeast"/>
        <w:ind w:firstLine="360"/>
        <w:jc w:val="right"/>
        <w:rPr>
          <w:color w:val="2E2E2E"/>
          <w:kern w:val="0"/>
          <w:sz w:val="28"/>
          <w:szCs w:val="28"/>
        </w:rPr>
      </w:pPr>
    </w:p>
    <w:p>
      <w:pPr>
        <w:pStyle w:val="3"/>
        <w:spacing w:after="156"/>
        <w:rPr>
          <w:rFonts w:ascii="Times New Roman" w:hAnsi="Times New Roman" w:eastAsia="宋体"/>
          <w:b/>
          <w:color w:val="000000"/>
          <w:szCs w:val="28"/>
        </w:rPr>
      </w:pPr>
      <w:r>
        <w:rPr>
          <w:rFonts w:hint="eastAsia" w:ascii="Times New Roman" w:hAnsi="Times New Roman" w:eastAsia="宋体"/>
          <w:b/>
          <w:color w:val="000000"/>
          <w:szCs w:val="28"/>
        </w:rPr>
        <w:t>附件</w:t>
      </w:r>
      <w:r>
        <w:rPr>
          <w:rFonts w:ascii="Times New Roman" w:hAnsi="Times New Roman" w:eastAsia="宋体"/>
          <w:b/>
          <w:color w:val="000000"/>
          <w:szCs w:val="28"/>
        </w:rPr>
        <w:t>1</w:t>
      </w:r>
      <w:r>
        <w:rPr>
          <w:rFonts w:hint="eastAsia" w:ascii="Times New Roman" w:hAnsi="Times New Roman" w:eastAsia="宋体"/>
          <w:b/>
          <w:color w:val="000000"/>
          <w:szCs w:val="28"/>
        </w:rPr>
        <w:t>：</w:t>
      </w:r>
    </w:p>
    <w:p>
      <w:pPr>
        <w:widowControl/>
        <w:spacing w:line="360" w:lineRule="atLeast"/>
        <w:jc w:val="center"/>
        <w:rPr>
          <w:b/>
          <w:color w:val="2E2E2E"/>
          <w:kern w:val="0"/>
          <w:sz w:val="32"/>
          <w:szCs w:val="32"/>
        </w:rPr>
      </w:pPr>
      <w:r>
        <w:rPr>
          <w:rFonts w:hint="eastAsia"/>
          <w:b/>
          <w:color w:val="2E2E2E"/>
          <w:kern w:val="0"/>
          <w:sz w:val="32"/>
          <w:szCs w:val="32"/>
        </w:rPr>
        <w:t>合格境外投资者开展深市业务仿真测试方案</w:t>
      </w:r>
    </w:p>
    <w:p>
      <w:pPr>
        <w:widowControl/>
        <w:spacing w:line="360" w:lineRule="atLeast"/>
        <w:jc w:val="center"/>
        <w:rPr>
          <w:color w:val="2E2E2E"/>
          <w:kern w:val="0"/>
          <w:sz w:val="28"/>
          <w:szCs w:val="28"/>
        </w:rPr>
      </w:pPr>
    </w:p>
    <w:p>
      <w:pPr>
        <w:numPr>
          <w:ilvl w:val="0"/>
          <w:numId w:val="2"/>
        </w:numPr>
        <w:ind w:left="0" w:firstLine="0"/>
        <w:rPr>
          <w:b/>
          <w:sz w:val="28"/>
          <w:szCs w:val="28"/>
        </w:rPr>
      </w:pPr>
      <w:r>
        <w:rPr>
          <w:rFonts w:hint="eastAsia"/>
          <w:b/>
          <w:sz w:val="28"/>
          <w:szCs w:val="28"/>
        </w:rPr>
        <w:t>测试目的</w:t>
      </w:r>
    </w:p>
    <w:p>
      <w:pPr>
        <w:widowControl/>
        <w:spacing w:line="360" w:lineRule="atLeast"/>
        <w:ind w:firstLine="537" w:firstLineChars="192"/>
        <w:jc w:val="left"/>
        <w:rPr>
          <w:color w:val="2E2E2E"/>
          <w:kern w:val="0"/>
          <w:sz w:val="28"/>
          <w:szCs w:val="28"/>
        </w:rPr>
      </w:pPr>
      <w:r>
        <w:rPr>
          <w:rFonts w:hint="eastAsia"/>
          <w:color w:val="2E2E2E"/>
          <w:kern w:val="0"/>
          <w:sz w:val="28"/>
          <w:szCs w:val="28"/>
        </w:rPr>
        <w:t>为进一步规范合格境外机构投资者和人民币合格境外机构投资者（以下统称合格境外投资者）的证券及衍生品品种交易行为，</w:t>
      </w:r>
      <w:r>
        <w:rPr>
          <w:rFonts w:hint="eastAsia"/>
          <w:sz w:val="28"/>
          <w:szCs w:val="28"/>
        </w:rPr>
        <w:t>深圳证券交易所（以下简称“深交所”）已于2020年10月30日发布《深圳证券交易所合格境外</w:t>
      </w:r>
      <w:r>
        <w:rPr>
          <w:rFonts w:hint="eastAsia"/>
          <w:color w:val="2E2E2E"/>
          <w:kern w:val="0"/>
          <w:sz w:val="28"/>
          <w:szCs w:val="28"/>
        </w:rPr>
        <w:t>机构投资者和人民币合格境外机构投资者证券交易实施细则</w:t>
      </w:r>
      <w:r>
        <w:rPr>
          <w:rFonts w:hint="eastAsia"/>
          <w:sz w:val="28"/>
          <w:szCs w:val="28"/>
        </w:rPr>
        <w:t>》。为确保</w:t>
      </w:r>
      <w:r>
        <w:rPr>
          <w:rFonts w:hint="eastAsia"/>
          <w:color w:val="2E2E2E"/>
          <w:kern w:val="0"/>
          <w:sz w:val="28"/>
          <w:szCs w:val="28"/>
        </w:rPr>
        <w:t>合格境外投资者顺利开展深市业务，深交所</w:t>
      </w:r>
      <w:r>
        <w:rPr>
          <w:rFonts w:hint="eastAsia"/>
          <w:sz w:val="28"/>
          <w:szCs w:val="28"/>
        </w:rPr>
        <w:t>联合中国证券登记结算有限责任公司（以下简称“中国结算总部”）及中国证券登记结算有限责任公司深圳分公司（以下简称“中</w:t>
      </w:r>
      <w:r>
        <w:rPr>
          <w:rFonts w:hint="eastAsia"/>
          <w:color w:val="2E2E2E"/>
          <w:kern w:val="0"/>
          <w:sz w:val="28"/>
          <w:szCs w:val="28"/>
        </w:rPr>
        <w:t>国结算深圳分公司”）定于</w:t>
      </w:r>
      <w:r>
        <w:rPr>
          <w:color w:val="2E2E2E"/>
          <w:kern w:val="0"/>
          <w:sz w:val="28"/>
          <w:szCs w:val="28"/>
        </w:rPr>
        <w:t>20</w:t>
      </w:r>
      <w:r>
        <w:rPr>
          <w:rFonts w:hint="eastAsia"/>
          <w:color w:val="2E2E2E"/>
          <w:kern w:val="0"/>
          <w:sz w:val="28"/>
          <w:szCs w:val="28"/>
        </w:rPr>
        <w:t>20年</w:t>
      </w:r>
      <w:r>
        <w:rPr>
          <w:color w:val="2E2E2E"/>
          <w:kern w:val="0"/>
          <w:sz w:val="28"/>
          <w:szCs w:val="28"/>
        </w:rPr>
        <w:t>11月</w:t>
      </w:r>
      <w:r>
        <w:rPr>
          <w:rFonts w:hint="eastAsia"/>
          <w:color w:val="2E2E2E"/>
          <w:kern w:val="0"/>
          <w:sz w:val="28"/>
          <w:szCs w:val="28"/>
        </w:rPr>
        <w:t>30</w:t>
      </w:r>
      <w:r>
        <w:rPr>
          <w:color w:val="2E2E2E"/>
          <w:kern w:val="0"/>
          <w:sz w:val="28"/>
          <w:szCs w:val="28"/>
        </w:rPr>
        <w:t>日</w:t>
      </w:r>
      <w:r>
        <w:rPr>
          <w:rFonts w:hint="eastAsia"/>
          <w:color w:val="2E2E2E"/>
          <w:kern w:val="0"/>
          <w:sz w:val="28"/>
          <w:szCs w:val="28"/>
        </w:rPr>
        <w:t>至</w:t>
      </w:r>
      <w:r>
        <w:rPr>
          <w:color w:val="2E2E2E"/>
          <w:kern w:val="0"/>
          <w:sz w:val="28"/>
          <w:szCs w:val="28"/>
        </w:rPr>
        <w:t>20</w:t>
      </w:r>
      <w:r>
        <w:rPr>
          <w:rFonts w:hint="eastAsia"/>
          <w:color w:val="2E2E2E"/>
          <w:kern w:val="0"/>
          <w:sz w:val="28"/>
          <w:szCs w:val="28"/>
        </w:rPr>
        <w:t>20年</w:t>
      </w:r>
      <w:r>
        <w:rPr>
          <w:color w:val="2E2E2E"/>
          <w:kern w:val="0"/>
          <w:sz w:val="28"/>
          <w:szCs w:val="28"/>
        </w:rPr>
        <w:t>12月</w:t>
      </w:r>
      <w:r>
        <w:rPr>
          <w:rFonts w:hint="eastAsia"/>
          <w:color w:val="2E2E2E"/>
          <w:kern w:val="0"/>
          <w:sz w:val="28"/>
          <w:szCs w:val="28"/>
        </w:rPr>
        <w:t>15</w:t>
      </w:r>
      <w:r>
        <w:rPr>
          <w:color w:val="2E2E2E"/>
          <w:kern w:val="0"/>
          <w:sz w:val="28"/>
          <w:szCs w:val="28"/>
        </w:rPr>
        <w:t>日</w:t>
      </w:r>
      <w:r>
        <w:rPr>
          <w:rFonts w:hint="eastAsia"/>
          <w:color w:val="2E2E2E"/>
          <w:kern w:val="0"/>
          <w:sz w:val="28"/>
          <w:szCs w:val="28"/>
        </w:rPr>
        <w:t>在深市交易结算独立测试环境和统一账户平台全天候测试环境组织仿真测试，通过模拟现货（含存托凭证、政府支持债券等</w:t>
      </w:r>
      <w:r>
        <w:rPr>
          <w:color w:val="2E2E2E"/>
          <w:kern w:val="0"/>
          <w:sz w:val="28"/>
          <w:szCs w:val="28"/>
        </w:rPr>
        <w:t>）</w:t>
      </w:r>
      <w:r>
        <w:rPr>
          <w:rFonts w:hint="eastAsia"/>
          <w:color w:val="2E2E2E"/>
          <w:kern w:val="0"/>
          <w:sz w:val="28"/>
          <w:szCs w:val="28"/>
        </w:rPr>
        <w:t>和股票期权品种的交易、非交易、转融通、融资融券、债券回购、发行认购、QFII/RQFII证券划转等业务的委托申报、成交回报、行情接收、清算交收和衍生品合约账户开立注销等业务处理过程，检验市场参与各方技术系统的正确性。</w:t>
      </w:r>
    </w:p>
    <w:p>
      <w:pPr>
        <w:widowControl/>
        <w:spacing w:line="360" w:lineRule="atLeast"/>
        <w:ind w:firstLine="537" w:firstLineChars="192"/>
        <w:jc w:val="left"/>
        <w:rPr>
          <w:sz w:val="28"/>
          <w:szCs w:val="28"/>
        </w:rPr>
      </w:pPr>
    </w:p>
    <w:p>
      <w:pPr>
        <w:numPr>
          <w:ilvl w:val="0"/>
          <w:numId w:val="2"/>
        </w:numPr>
        <w:rPr>
          <w:b/>
          <w:sz w:val="28"/>
          <w:szCs w:val="28"/>
        </w:rPr>
      </w:pPr>
      <w:r>
        <w:rPr>
          <w:rFonts w:hint="eastAsia"/>
          <w:b/>
          <w:sz w:val="28"/>
          <w:szCs w:val="28"/>
        </w:rPr>
        <w:t>参测单位</w:t>
      </w:r>
    </w:p>
    <w:p>
      <w:pPr>
        <w:pStyle w:val="24"/>
        <w:widowControl/>
        <w:numPr>
          <w:ilvl w:val="0"/>
          <w:numId w:val="3"/>
        </w:numPr>
        <w:spacing w:line="360" w:lineRule="atLeast"/>
        <w:ind w:firstLineChars="0"/>
        <w:jc w:val="left"/>
        <w:rPr>
          <w:sz w:val="28"/>
          <w:szCs w:val="28"/>
        </w:rPr>
      </w:pPr>
      <w:r>
        <w:rPr>
          <w:rFonts w:hint="eastAsia"/>
          <w:sz w:val="28"/>
          <w:szCs w:val="28"/>
        </w:rPr>
        <w:t>深圳证券交易所</w:t>
      </w:r>
    </w:p>
    <w:p>
      <w:pPr>
        <w:widowControl/>
        <w:numPr>
          <w:ilvl w:val="0"/>
          <w:numId w:val="3"/>
        </w:numPr>
        <w:spacing w:line="360" w:lineRule="atLeast"/>
        <w:jc w:val="left"/>
        <w:rPr>
          <w:sz w:val="28"/>
          <w:szCs w:val="28"/>
        </w:rPr>
      </w:pPr>
      <w:r>
        <w:rPr>
          <w:rFonts w:hint="eastAsia"/>
          <w:sz w:val="28"/>
          <w:szCs w:val="28"/>
        </w:rPr>
        <w:t>中国结算总部</w:t>
      </w:r>
    </w:p>
    <w:p>
      <w:pPr>
        <w:widowControl/>
        <w:numPr>
          <w:ilvl w:val="0"/>
          <w:numId w:val="3"/>
        </w:numPr>
        <w:spacing w:line="360" w:lineRule="atLeast"/>
        <w:jc w:val="left"/>
        <w:rPr>
          <w:sz w:val="28"/>
          <w:szCs w:val="28"/>
        </w:rPr>
      </w:pPr>
      <w:r>
        <w:rPr>
          <w:rFonts w:hint="eastAsia"/>
          <w:sz w:val="28"/>
          <w:szCs w:val="28"/>
        </w:rPr>
        <w:t>中国结算深圳分公司</w:t>
      </w:r>
    </w:p>
    <w:p>
      <w:pPr>
        <w:widowControl/>
        <w:numPr>
          <w:ilvl w:val="0"/>
          <w:numId w:val="3"/>
        </w:numPr>
        <w:spacing w:line="360" w:lineRule="atLeast"/>
        <w:jc w:val="left"/>
        <w:rPr>
          <w:sz w:val="28"/>
          <w:szCs w:val="28"/>
        </w:rPr>
      </w:pPr>
      <w:r>
        <w:rPr>
          <w:rFonts w:hint="eastAsia"/>
          <w:sz w:val="28"/>
          <w:szCs w:val="28"/>
        </w:rPr>
        <w:t>中国证券金融股份有限公司</w:t>
      </w:r>
    </w:p>
    <w:p>
      <w:pPr>
        <w:widowControl/>
        <w:numPr>
          <w:ilvl w:val="0"/>
          <w:numId w:val="3"/>
        </w:numPr>
        <w:spacing w:line="360" w:lineRule="atLeast"/>
        <w:jc w:val="left"/>
        <w:rPr>
          <w:sz w:val="28"/>
          <w:szCs w:val="28"/>
        </w:rPr>
      </w:pPr>
      <w:r>
        <w:rPr>
          <w:rFonts w:hint="eastAsia"/>
          <w:sz w:val="28"/>
          <w:szCs w:val="28"/>
        </w:rPr>
        <w:t>深圳证券通信公司</w:t>
      </w:r>
    </w:p>
    <w:p>
      <w:pPr>
        <w:widowControl/>
        <w:numPr>
          <w:ilvl w:val="0"/>
          <w:numId w:val="3"/>
        </w:numPr>
        <w:spacing w:line="360" w:lineRule="atLeast"/>
        <w:jc w:val="left"/>
        <w:rPr>
          <w:sz w:val="28"/>
          <w:szCs w:val="28"/>
        </w:rPr>
      </w:pPr>
      <w:r>
        <w:rPr>
          <w:rFonts w:hint="eastAsia"/>
          <w:sz w:val="28"/>
          <w:szCs w:val="28"/>
        </w:rPr>
        <w:t>会员单位</w:t>
      </w:r>
    </w:p>
    <w:p>
      <w:pPr>
        <w:widowControl/>
        <w:numPr>
          <w:ilvl w:val="0"/>
          <w:numId w:val="3"/>
        </w:numPr>
        <w:spacing w:line="360" w:lineRule="atLeast"/>
        <w:jc w:val="left"/>
        <w:rPr>
          <w:sz w:val="28"/>
          <w:szCs w:val="28"/>
        </w:rPr>
      </w:pPr>
      <w:r>
        <w:rPr>
          <w:rFonts w:hint="eastAsia"/>
          <w:sz w:val="28"/>
          <w:szCs w:val="28"/>
        </w:rPr>
        <w:t>期权经营机构</w:t>
      </w:r>
    </w:p>
    <w:p>
      <w:pPr>
        <w:widowControl/>
        <w:numPr>
          <w:ilvl w:val="0"/>
          <w:numId w:val="3"/>
        </w:numPr>
        <w:spacing w:line="360" w:lineRule="atLeast"/>
        <w:jc w:val="left"/>
        <w:rPr>
          <w:sz w:val="28"/>
          <w:szCs w:val="28"/>
        </w:rPr>
      </w:pPr>
      <w:r>
        <w:rPr>
          <w:rFonts w:hint="eastAsia"/>
          <w:sz w:val="28"/>
          <w:szCs w:val="28"/>
        </w:rPr>
        <w:t>结算参与人</w:t>
      </w:r>
    </w:p>
    <w:p>
      <w:pPr>
        <w:widowControl/>
        <w:numPr>
          <w:ilvl w:val="0"/>
          <w:numId w:val="3"/>
        </w:numPr>
        <w:spacing w:line="360" w:lineRule="atLeast"/>
        <w:jc w:val="left"/>
        <w:rPr>
          <w:sz w:val="28"/>
          <w:szCs w:val="28"/>
        </w:rPr>
      </w:pPr>
      <w:r>
        <w:rPr>
          <w:rFonts w:hint="eastAsia"/>
          <w:sz w:val="28"/>
          <w:szCs w:val="28"/>
        </w:rPr>
        <w:t>其他相关单位</w:t>
      </w:r>
    </w:p>
    <w:p>
      <w:pPr>
        <w:widowControl/>
        <w:tabs>
          <w:tab w:val="left" w:pos="840"/>
        </w:tabs>
        <w:spacing w:line="360" w:lineRule="atLeast"/>
        <w:jc w:val="left"/>
        <w:rPr>
          <w:sz w:val="28"/>
          <w:szCs w:val="28"/>
        </w:rPr>
      </w:pPr>
    </w:p>
    <w:p>
      <w:pPr>
        <w:numPr>
          <w:ilvl w:val="0"/>
          <w:numId w:val="2"/>
        </w:numPr>
        <w:rPr>
          <w:b/>
          <w:sz w:val="28"/>
          <w:szCs w:val="28"/>
        </w:rPr>
      </w:pPr>
      <w:r>
        <w:rPr>
          <w:rFonts w:hint="eastAsia"/>
          <w:b/>
          <w:sz w:val="28"/>
          <w:szCs w:val="28"/>
        </w:rPr>
        <w:t>仿真测试内容</w:t>
      </w:r>
    </w:p>
    <w:p>
      <w:pPr>
        <w:widowControl/>
        <w:spacing w:line="360" w:lineRule="atLeast"/>
        <w:ind w:firstLine="420"/>
        <w:jc w:val="left"/>
        <w:rPr>
          <w:color w:val="FF0000"/>
          <w:kern w:val="0"/>
          <w:sz w:val="28"/>
          <w:szCs w:val="28"/>
        </w:rPr>
      </w:pPr>
      <w:r>
        <w:rPr>
          <w:rFonts w:hint="eastAsia" w:ascii="宋体" w:hAnsi="宋体" w:cs="宋体"/>
          <w:kern w:val="0"/>
          <w:sz w:val="28"/>
          <w:szCs w:val="28"/>
        </w:rPr>
        <w:t>本轮仿真测试</w:t>
      </w:r>
      <w:r>
        <w:rPr>
          <w:rFonts w:hint="eastAsia"/>
          <w:sz w:val="28"/>
          <w:szCs w:val="28"/>
        </w:rPr>
        <w:t>主要内容为现货（含存托凭证、政府支持债券等</w:t>
      </w:r>
      <w:r>
        <w:rPr>
          <w:sz w:val="28"/>
          <w:szCs w:val="28"/>
        </w:rPr>
        <w:t>）</w:t>
      </w:r>
      <w:r>
        <w:rPr>
          <w:rFonts w:hint="eastAsia"/>
          <w:sz w:val="28"/>
          <w:szCs w:val="28"/>
        </w:rPr>
        <w:t>和股票期权品种的交易、非交易、转融通、融资融券、债券回购、发行认购</w:t>
      </w:r>
      <w:r>
        <w:rPr>
          <w:rFonts w:hint="eastAsia"/>
          <w:color w:val="2E2E2E"/>
          <w:kern w:val="0"/>
          <w:sz w:val="28"/>
          <w:szCs w:val="28"/>
        </w:rPr>
        <w:t>、QFII/RQFII证券划转</w:t>
      </w:r>
      <w:r>
        <w:rPr>
          <w:rFonts w:hint="eastAsia"/>
          <w:sz w:val="28"/>
          <w:szCs w:val="28"/>
        </w:rPr>
        <w:t>等业务的委托申报、成交回报、行情接收、清算交收和衍生品合约账户开立注销等业务。</w:t>
      </w:r>
      <w:r>
        <w:rPr>
          <w:rFonts w:hint="eastAsia"/>
          <w:color w:val="2E2E2E"/>
          <w:kern w:val="0"/>
          <w:sz w:val="28"/>
          <w:szCs w:val="28"/>
        </w:rPr>
        <w:t>包括但不限于以下内容：</w:t>
      </w:r>
    </w:p>
    <w:p>
      <w:pPr>
        <w:widowControl/>
        <w:spacing w:line="360" w:lineRule="atLeast"/>
        <w:ind w:firstLine="537" w:firstLineChars="192"/>
        <w:jc w:val="left"/>
        <w:rPr>
          <w:color w:val="2E2E2E"/>
          <w:kern w:val="0"/>
          <w:sz w:val="28"/>
          <w:szCs w:val="28"/>
        </w:rPr>
      </w:pPr>
      <w:r>
        <w:rPr>
          <w:color w:val="2E2E2E"/>
          <w:kern w:val="0"/>
          <w:sz w:val="28"/>
          <w:szCs w:val="28"/>
        </w:rPr>
        <w:t>1，</w:t>
      </w:r>
      <w:r>
        <w:rPr>
          <w:rFonts w:hint="eastAsia"/>
          <w:color w:val="2E2E2E"/>
          <w:kern w:val="0"/>
          <w:sz w:val="28"/>
          <w:szCs w:val="28"/>
        </w:rPr>
        <w:t>现货（含存托凭证、政府支持债券等）和股票期权品种的交易、非交易，ETF申赎等业务的委托申报与成交回报，行情接收与展示，股份与资金的清算交收等业务处理；</w:t>
      </w:r>
    </w:p>
    <w:p>
      <w:pPr>
        <w:widowControl/>
        <w:spacing w:line="360" w:lineRule="atLeast"/>
        <w:ind w:firstLine="537" w:firstLineChars="192"/>
        <w:jc w:val="left"/>
        <w:rPr>
          <w:color w:val="2E2E2E"/>
          <w:kern w:val="0"/>
          <w:sz w:val="28"/>
          <w:szCs w:val="28"/>
        </w:rPr>
      </w:pPr>
      <w:r>
        <w:rPr>
          <w:color w:val="2E2E2E"/>
          <w:kern w:val="0"/>
          <w:sz w:val="28"/>
          <w:szCs w:val="28"/>
        </w:rPr>
        <w:t>2，</w:t>
      </w:r>
      <w:r>
        <w:rPr>
          <w:rFonts w:hint="eastAsia"/>
          <w:color w:val="2E2E2E"/>
          <w:kern w:val="0"/>
          <w:sz w:val="28"/>
          <w:szCs w:val="28"/>
        </w:rPr>
        <w:t>转融通证券出借与归还业务的委托申报与成交回报，股份与资金的清算交收等业务处理；</w:t>
      </w:r>
    </w:p>
    <w:p>
      <w:pPr>
        <w:widowControl/>
        <w:spacing w:line="360" w:lineRule="atLeast"/>
        <w:ind w:firstLine="537" w:firstLineChars="192"/>
        <w:jc w:val="left"/>
        <w:rPr>
          <w:color w:val="2E2E2E"/>
          <w:kern w:val="0"/>
          <w:sz w:val="28"/>
          <w:szCs w:val="28"/>
        </w:rPr>
      </w:pPr>
      <w:r>
        <w:rPr>
          <w:rFonts w:hint="eastAsia"/>
          <w:color w:val="2E2E2E"/>
          <w:kern w:val="0"/>
          <w:sz w:val="28"/>
          <w:szCs w:val="28"/>
        </w:rPr>
        <w:t>3，融资融券业务的委托申报与成交回报，股份与资金的清算交收等业务处理，担保证券提交与返还的申报及清算交收等业务处理（对于普通A股证券账户采用托管行结算模式的合格境外投资者参与融资融券业务，合格境外投资者须在指定交易证券公司处开立信用证券账户，担保证券的提交或返还指令须通过指定交易证券公司向中国结算提交）；</w:t>
      </w:r>
    </w:p>
    <w:p>
      <w:pPr>
        <w:widowControl/>
        <w:spacing w:line="360" w:lineRule="atLeast"/>
        <w:ind w:firstLine="537" w:firstLineChars="192"/>
        <w:jc w:val="left"/>
        <w:rPr>
          <w:color w:val="2E2E2E"/>
          <w:kern w:val="0"/>
          <w:sz w:val="28"/>
          <w:szCs w:val="28"/>
        </w:rPr>
      </w:pPr>
      <w:r>
        <w:rPr>
          <w:rFonts w:hint="eastAsia"/>
          <w:color w:val="2E2E2E"/>
          <w:kern w:val="0"/>
          <w:sz w:val="28"/>
          <w:szCs w:val="28"/>
        </w:rPr>
        <w:t>4，债券质押式回购、协议回购、三方回购业务的委托申报与成交回报，股份与资金的清算交收等业务处理；</w:t>
      </w:r>
    </w:p>
    <w:p>
      <w:pPr>
        <w:widowControl/>
        <w:spacing w:line="360" w:lineRule="atLeast"/>
        <w:ind w:firstLine="560" w:firstLineChars="200"/>
        <w:jc w:val="left"/>
        <w:rPr>
          <w:rFonts w:asciiTheme="minorEastAsia" w:hAnsiTheme="minorEastAsia" w:eastAsiaTheme="minorEastAsia"/>
          <w:color w:val="2E2E2E"/>
          <w:kern w:val="0"/>
          <w:sz w:val="28"/>
          <w:szCs w:val="28"/>
        </w:rPr>
      </w:pPr>
      <w:r>
        <w:rPr>
          <w:rFonts w:hint="eastAsia"/>
          <w:color w:val="2E2E2E"/>
          <w:kern w:val="0"/>
          <w:sz w:val="28"/>
          <w:szCs w:val="28"/>
        </w:rPr>
        <w:t>5，QFII/RQFII证券划转业务的委托申报与成交回报，股份与资金的清算交收等业务处理（</w:t>
      </w:r>
      <w:r>
        <w:rPr>
          <w:rFonts w:hint="eastAsia" w:asciiTheme="minorEastAsia" w:hAnsiTheme="minorEastAsia" w:eastAsiaTheme="minorEastAsia"/>
          <w:color w:val="2E2E2E"/>
          <w:kern w:val="0"/>
          <w:sz w:val="28"/>
          <w:szCs w:val="28"/>
        </w:rPr>
        <w:t>包括申报委托指令及撤单指令)；</w:t>
      </w:r>
    </w:p>
    <w:p>
      <w:pPr>
        <w:widowControl/>
        <w:spacing w:line="360" w:lineRule="atLeast"/>
        <w:ind w:firstLine="560" w:firstLineChars="200"/>
        <w:jc w:val="left"/>
        <w:rPr>
          <w:color w:val="2E2E2E"/>
          <w:kern w:val="0"/>
          <w:sz w:val="28"/>
          <w:szCs w:val="28"/>
        </w:rPr>
      </w:pPr>
      <w:r>
        <w:rPr>
          <w:rFonts w:hint="eastAsia"/>
          <w:color w:val="2E2E2E"/>
          <w:kern w:val="0"/>
          <w:sz w:val="28"/>
          <w:szCs w:val="28"/>
        </w:rPr>
        <w:t>6，转托管业务：QFII/RQFII账户的报盘转托管委托申报与处理，跨系统转托管委托申报与处理，限售股转托管委托申报与处理（</w:t>
      </w:r>
      <w:r>
        <w:rPr>
          <w:rFonts w:hint="eastAsia" w:asciiTheme="minorEastAsia" w:hAnsiTheme="minorEastAsia" w:eastAsiaTheme="minorEastAsia"/>
          <w:color w:val="2E2E2E"/>
          <w:kern w:val="0"/>
          <w:sz w:val="28"/>
          <w:szCs w:val="28"/>
        </w:rPr>
        <w:t>包括申报委托指令及撤单指令)</w:t>
      </w:r>
      <w:r>
        <w:rPr>
          <w:rFonts w:hint="eastAsia"/>
          <w:color w:val="2E2E2E"/>
          <w:kern w:val="0"/>
          <w:sz w:val="28"/>
          <w:szCs w:val="28"/>
        </w:rPr>
        <w:t>；</w:t>
      </w:r>
    </w:p>
    <w:p>
      <w:pPr>
        <w:widowControl/>
        <w:spacing w:line="360" w:lineRule="atLeast"/>
        <w:ind w:firstLine="537" w:firstLineChars="192"/>
        <w:jc w:val="left"/>
        <w:rPr>
          <w:color w:val="2E2E2E"/>
          <w:kern w:val="0"/>
          <w:sz w:val="28"/>
          <w:szCs w:val="28"/>
        </w:rPr>
      </w:pPr>
      <w:r>
        <w:rPr>
          <w:rFonts w:hint="eastAsia"/>
          <w:color w:val="2E2E2E"/>
          <w:kern w:val="0"/>
          <w:sz w:val="28"/>
          <w:szCs w:val="28"/>
        </w:rPr>
        <w:t>7，QFII/RQFII账户采用托管行结算模式的，托管行最低结算备付金数据接收及处理业务；</w:t>
      </w:r>
    </w:p>
    <w:p>
      <w:pPr>
        <w:widowControl/>
        <w:spacing w:line="360" w:lineRule="atLeast"/>
        <w:ind w:firstLine="537" w:firstLineChars="192"/>
        <w:jc w:val="left"/>
        <w:rPr>
          <w:color w:val="2E2E2E"/>
          <w:kern w:val="0"/>
          <w:sz w:val="28"/>
          <w:szCs w:val="28"/>
        </w:rPr>
      </w:pPr>
      <w:r>
        <w:rPr>
          <w:rFonts w:hint="eastAsia"/>
          <w:color w:val="2E2E2E"/>
          <w:kern w:val="0"/>
          <w:sz w:val="28"/>
          <w:szCs w:val="28"/>
        </w:rPr>
        <w:t>8，发行认购业务；</w:t>
      </w:r>
    </w:p>
    <w:p>
      <w:pPr>
        <w:widowControl/>
        <w:spacing w:line="360" w:lineRule="atLeast"/>
        <w:ind w:firstLine="537" w:firstLineChars="192"/>
        <w:jc w:val="left"/>
        <w:rPr>
          <w:color w:val="2E2E2E"/>
          <w:kern w:val="0"/>
          <w:sz w:val="28"/>
          <w:szCs w:val="28"/>
        </w:rPr>
      </w:pPr>
      <w:r>
        <w:rPr>
          <w:rFonts w:hint="eastAsia"/>
          <w:color w:val="2E2E2E"/>
          <w:kern w:val="0"/>
          <w:sz w:val="28"/>
          <w:szCs w:val="28"/>
        </w:rPr>
        <w:t>9，账户业务：QFII/RQFII采用券商结算模式的A股账户开立、采用托管行结算模式的A股账户开立、信用账户开立及衍生品合约账户开立。</w:t>
      </w:r>
    </w:p>
    <w:p>
      <w:pPr>
        <w:widowControl/>
        <w:spacing w:line="360" w:lineRule="atLeast"/>
        <w:ind w:firstLine="560" w:firstLineChars="200"/>
        <w:jc w:val="left"/>
        <w:rPr>
          <w:color w:val="FF0000"/>
          <w:kern w:val="0"/>
          <w:sz w:val="28"/>
          <w:szCs w:val="28"/>
        </w:rPr>
      </w:pPr>
      <w:r>
        <w:rPr>
          <w:rFonts w:hint="eastAsia"/>
          <w:color w:val="FF0000"/>
          <w:kern w:val="0"/>
          <w:sz w:val="28"/>
          <w:szCs w:val="28"/>
        </w:rPr>
        <w:t>（注意：上述各项业务测试，请使用生产环境已开通对应业务权限的交易单元进行测试）</w:t>
      </w:r>
    </w:p>
    <w:p>
      <w:pPr>
        <w:widowControl/>
        <w:spacing w:line="360" w:lineRule="atLeast"/>
        <w:jc w:val="left"/>
        <w:rPr>
          <w:color w:val="2E2E2E"/>
          <w:kern w:val="0"/>
          <w:sz w:val="28"/>
          <w:szCs w:val="28"/>
        </w:rPr>
      </w:pPr>
    </w:p>
    <w:p>
      <w:pPr>
        <w:numPr>
          <w:ilvl w:val="0"/>
          <w:numId w:val="2"/>
        </w:numPr>
        <w:rPr>
          <w:b/>
          <w:sz w:val="28"/>
          <w:szCs w:val="28"/>
        </w:rPr>
      </w:pPr>
      <w:r>
        <w:rPr>
          <w:rFonts w:hint="eastAsia"/>
          <w:b/>
          <w:sz w:val="28"/>
          <w:szCs w:val="28"/>
        </w:rPr>
        <w:t>仿真测试时间安排</w:t>
      </w:r>
    </w:p>
    <w:p>
      <w:pPr>
        <w:widowControl/>
        <w:spacing w:line="408" w:lineRule="auto"/>
        <w:ind w:firstLine="560" w:firstLineChars="200"/>
        <w:jc w:val="left"/>
        <w:rPr>
          <w:kern w:val="0"/>
          <w:sz w:val="28"/>
          <w:szCs w:val="28"/>
        </w:rPr>
      </w:pPr>
      <w:r>
        <w:rPr>
          <w:rFonts w:hint="eastAsia"/>
          <w:kern w:val="0"/>
          <w:sz w:val="28"/>
          <w:szCs w:val="28"/>
        </w:rPr>
        <w:t>仿真测试时间为</w:t>
      </w:r>
      <w:r>
        <w:rPr>
          <w:sz w:val="28"/>
          <w:szCs w:val="28"/>
        </w:rPr>
        <w:t>20</w:t>
      </w:r>
      <w:r>
        <w:rPr>
          <w:rFonts w:hint="eastAsia"/>
          <w:sz w:val="28"/>
          <w:szCs w:val="28"/>
        </w:rPr>
        <w:t>20年</w:t>
      </w:r>
      <w:r>
        <w:rPr>
          <w:sz w:val="28"/>
          <w:szCs w:val="28"/>
        </w:rPr>
        <w:t>11月</w:t>
      </w:r>
      <w:r>
        <w:rPr>
          <w:rFonts w:hint="eastAsia"/>
          <w:sz w:val="28"/>
          <w:szCs w:val="28"/>
        </w:rPr>
        <w:t>30</w:t>
      </w:r>
      <w:r>
        <w:rPr>
          <w:sz w:val="28"/>
          <w:szCs w:val="28"/>
        </w:rPr>
        <w:t>日</w:t>
      </w:r>
      <w:r>
        <w:rPr>
          <w:rFonts w:hint="eastAsia"/>
          <w:sz w:val="28"/>
          <w:szCs w:val="28"/>
        </w:rPr>
        <w:t>至</w:t>
      </w:r>
      <w:r>
        <w:rPr>
          <w:sz w:val="28"/>
          <w:szCs w:val="28"/>
        </w:rPr>
        <w:t>20</w:t>
      </w:r>
      <w:r>
        <w:rPr>
          <w:rFonts w:hint="eastAsia"/>
          <w:sz w:val="28"/>
          <w:szCs w:val="28"/>
        </w:rPr>
        <w:t>20年</w:t>
      </w:r>
      <w:r>
        <w:rPr>
          <w:sz w:val="28"/>
          <w:szCs w:val="28"/>
        </w:rPr>
        <w:t>12月</w:t>
      </w:r>
      <w:r>
        <w:rPr>
          <w:rFonts w:hint="eastAsia"/>
          <w:sz w:val="28"/>
          <w:szCs w:val="28"/>
        </w:rPr>
        <w:t>15</w:t>
      </w:r>
      <w:r>
        <w:rPr>
          <w:sz w:val="28"/>
          <w:szCs w:val="28"/>
        </w:rPr>
        <w:t>日</w:t>
      </w:r>
      <w:r>
        <w:rPr>
          <w:rFonts w:hint="eastAsia"/>
          <w:kern w:val="0"/>
          <w:sz w:val="28"/>
          <w:szCs w:val="28"/>
        </w:rPr>
        <w:t>，每日</w:t>
      </w:r>
      <w:r>
        <w:rPr>
          <w:kern w:val="0"/>
          <w:sz w:val="28"/>
          <w:szCs w:val="28"/>
        </w:rPr>
        <w:t>8:30</w:t>
      </w:r>
      <w:r>
        <w:rPr>
          <w:rFonts w:hint="eastAsia"/>
          <w:kern w:val="0"/>
          <w:sz w:val="28"/>
          <w:szCs w:val="28"/>
        </w:rPr>
        <w:t>至</w:t>
      </w:r>
      <w:r>
        <w:rPr>
          <w:kern w:val="0"/>
          <w:sz w:val="28"/>
          <w:szCs w:val="28"/>
        </w:rPr>
        <w:t>17:30</w:t>
      </w:r>
      <w:r>
        <w:rPr>
          <w:rFonts w:hint="eastAsia"/>
          <w:kern w:val="0"/>
          <w:sz w:val="28"/>
          <w:szCs w:val="28"/>
        </w:rPr>
        <w:t>（其中统一账户平台全天候测试环境每日测试时间为</w:t>
      </w:r>
      <w:r>
        <w:rPr>
          <w:kern w:val="0"/>
          <w:sz w:val="28"/>
          <w:szCs w:val="28"/>
        </w:rPr>
        <w:t>9:30</w:t>
      </w:r>
      <w:r>
        <w:rPr>
          <w:rFonts w:hint="eastAsia"/>
          <w:kern w:val="0"/>
          <w:sz w:val="28"/>
          <w:szCs w:val="28"/>
        </w:rPr>
        <w:t>至</w:t>
      </w:r>
      <w:r>
        <w:rPr>
          <w:kern w:val="0"/>
          <w:sz w:val="28"/>
          <w:szCs w:val="28"/>
        </w:rPr>
        <w:t>13:00</w:t>
      </w:r>
      <w:r>
        <w:rPr>
          <w:rFonts w:hint="eastAsia"/>
          <w:kern w:val="0"/>
          <w:sz w:val="28"/>
          <w:szCs w:val="28"/>
        </w:rPr>
        <w:t>）。本次测试为滚动测试，每天模拟</w:t>
      </w:r>
      <w:r>
        <w:rPr>
          <w:kern w:val="0"/>
          <w:sz w:val="28"/>
          <w:szCs w:val="28"/>
        </w:rPr>
        <w:t>1</w:t>
      </w:r>
      <w:r>
        <w:rPr>
          <w:rFonts w:hint="eastAsia"/>
          <w:kern w:val="0"/>
          <w:sz w:val="28"/>
          <w:szCs w:val="28"/>
        </w:rPr>
        <w:t>个完整交易日的交易和结算。期间</w:t>
      </w:r>
      <w:r>
        <w:rPr>
          <w:rFonts w:hint="eastAsia"/>
          <w:color w:val="2E2E2E"/>
          <w:kern w:val="0"/>
          <w:sz w:val="28"/>
          <w:szCs w:val="28"/>
        </w:rPr>
        <w:t>共安排</w:t>
      </w:r>
      <w:r>
        <w:rPr>
          <w:rFonts w:hint="eastAsia"/>
          <w:kern w:val="0"/>
          <w:sz w:val="28"/>
          <w:szCs w:val="28"/>
        </w:rPr>
        <w:t>2次行权交收，其中</w:t>
      </w:r>
      <w:r>
        <w:rPr>
          <w:kern w:val="0"/>
          <w:sz w:val="28"/>
          <w:szCs w:val="28"/>
        </w:rPr>
        <w:t>1</w:t>
      </w:r>
      <w:r>
        <w:rPr>
          <w:rFonts w:hint="eastAsia"/>
          <w:kern w:val="0"/>
          <w:sz w:val="28"/>
          <w:szCs w:val="28"/>
        </w:rPr>
        <w:t>2</w:t>
      </w:r>
      <w:r>
        <w:rPr>
          <w:kern w:val="0"/>
          <w:sz w:val="28"/>
          <w:szCs w:val="28"/>
        </w:rPr>
        <w:t>月</w:t>
      </w:r>
      <w:r>
        <w:rPr>
          <w:rFonts w:hint="eastAsia"/>
          <w:kern w:val="0"/>
          <w:sz w:val="28"/>
          <w:szCs w:val="28"/>
        </w:rPr>
        <w:t>2</w:t>
      </w:r>
      <w:r>
        <w:rPr>
          <w:kern w:val="0"/>
          <w:sz w:val="28"/>
          <w:szCs w:val="28"/>
        </w:rPr>
        <w:t>日</w:t>
      </w:r>
      <w:r>
        <w:rPr>
          <w:rFonts w:hint="eastAsia"/>
          <w:kern w:val="0"/>
          <w:sz w:val="28"/>
          <w:szCs w:val="28"/>
        </w:rPr>
        <w:t>、</w:t>
      </w:r>
      <w:r>
        <w:rPr>
          <w:kern w:val="0"/>
          <w:sz w:val="28"/>
          <w:szCs w:val="28"/>
        </w:rPr>
        <w:t>1</w:t>
      </w:r>
      <w:r>
        <w:rPr>
          <w:rFonts w:hint="eastAsia"/>
          <w:kern w:val="0"/>
          <w:sz w:val="28"/>
          <w:szCs w:val="28"/>
        </w:rPr>
        <w:t>2</w:t>
      </w:r>
      <w:r>
        <w:rPr>
          <w:kern w:val="0"/>
          <w:sz w:val="28"/>
          <w:szCs w:val="28"/>
        </w:rPr>
        <w:t>月</w:t>
      </w:r>
      <w:r>
        <w:rPr>
          <w:rFonts w:hint="eastAsia"/>
          <w:kern w:val="0"/>
          <w:sz w:val="28"/>
          <w:szCs w:val="28"/>
        </w:rPr>
        <w:t>9</w:t>
      </w:r>
      <w:r>
        <w:rPr>
          <w:kern w:val="0"/>
          <w:sz w:val="28"/>
          <w:szCs w:val="28"/>
        </w:rPr>
        <w:t>日</w:t>
      </w:r>
      <w:r>
        <w:rPr>
          <w:rFonts w:hint="eastAsia"/>
          <w:kern w:val="0"/>
          <w:sz w:val="28"/>
          <w:szCs w:val="28"/>
        </w:rPr>
        <w:t>为期权合约的行权申报日，</w:t>
      </w:r>
      <w:r>
        <w:rPr>
          <w:kern w:val="0"/>
          <w:sz w:val="28"/>
          <w:szCs w:val="28"/>
        </w:rPr>
        <w:t>1</w:t>
      </w:r>
      <w:r>
        <w:rPr>
          <w:rFonts w:hint="eastAsia"/>
          <w:kern w:val="0"/>
          <w:sz w:val="28"/>
          <w:szCs w:val="28"/>
        </w:rPr>
        <w:t>2</w:t>
      </w:r>
      <w:r>
        <w:rPr>
          <w:kern w:val="0"/>
          <w:sz w:val="28"/>
          <w:szCs w:val="28"/>
        </w:rPr>
        <w:t>月</w:t>
      </w:r>
      <w:r>
        <w:rPr>
          <w:rFonts w:hint="eastAsia"/>
          <w:kern w:val="0"/>
          <w:sz w:val="28"/>
          <w:szCs w:val="28"/>
        </w:rPr>
        <w:t>3</w:t>
      </w:r>
      <w:r>
        <w:rPr>
          <w:kern w:val="0"/>
          <w:sz w:val="28"/>
          <w:szCs w:val="28"/>
        </w:rPr>
        <w:t>日</w:t>
      </w:r>
      <w:r>
        <w:rPr>
          <w:rFonts w:hint="eastAsia"/>
          <w:kern w:val="0"/>
          <w:sz w:val="28"/>
          <w:szCs w:val="28"/>
        </w:rPr>
        <w:t>、</w:t>
      </w:r>
      <w:r>
        <w:rPr>
          <w:kern w:val="0"/>
          <w:sz w:val="28"/>
          <w:szCs w:val="28"/>
        </w:rPr>
        <w:t>1</w:t>
      </w:r>
      <w:r>
        <w:rPr>
          <w:rFonts w:hint="eastAsia"/>
          <w:kern w:val="0"/>
          <w:sz w:val="28"/>
          <w:szCs w:val="28"/>
        </w:rPr>
        <w:t>2</w:t>
      </w:r>
      <w:r>
        <w:rPr>
          <w:kern w:val="0"/>
          <w:sz w:val="28"/>
          <w:szCs w:val="28"/>
        </w:rPr>
        <w:t>月</w:t>
      </w:r>
      <w:r>
        <w:rPr>
          <w:rFonts w:hint="eastAsia"/>
          <w:kern w:val="0"/>
          <w:sz w:val="28"/>
          <w:szCs w:val="28"/>
        </w:rPr>
        <w:t>10</w:t>
      </w:r>
      <w:r>
        <w:rPr>
          <w:kern w:val="0"/>
          <w:sz w:val="28"/>
          <w:szCs w:val="28"/>
        </w:rPr>
        <w:t>日</w:t>
      </w:r>
      <w:r>
        <w:rPr>
          <w:rFonts w:hint="eastAsia"/>
          <w:kern w:val="0"/>
          <w:sz w:val="28"/>
          <w:szCs w:val="28"/>
        </w:rPr>
        <w:t>为期权合约的行权交收日。</w:t>
      </w:r>
    </w:p>
    <w:p>
      <w:pPr>
        <w:widowControl/>
        <w:spacing w:line="408" w:lineRule="auto"/>
        <w:ind w:firstLine="560" w:firstLineChars="200"/>
        <w:jc w:val="left"/>
        <w:rPr>
          <w:color w:val="2E2E2E"/>
          <w:kern w:val="0"/>
          <w:sz w:val="28"/>
          <w:szCs w:val="28"/>
        </w:rPr>
      </w:pPr>
    </w:p>
    <w:p>
      <w:pPr>
        <w:numPr>
          <w:ilvl w:val="0"/>
          <w:numId w:val="2"/>
        </w:numPr>
        <w:rPr>
          <w:b/>
          <w:sz w:val="28"/>
          <w:szCs w:val="28"/>
        </w:rPr>
      </w:pPr>
      <w:r>
        <w:rPr>
          <w:rFonts w:hint="eastAsia"/>
          <w:b/>
          <w:sz w:val="28"/>
          <w:szCs w:val="28"/>
        </w:rPr>
        <w:t>仿真测试数据</w:t>
      </w:r>
    </w:p>
    <w:p>
      <w:pPr>
        <w:pStyle w:val="24"/>
        <w:numPr>
          <w:ilvl w:val="0"/>
          <w:numId w:val="4"/>
        </w:numPr>
        <w:spacing w:line="560" w:lineRule="exact"/>
        <w:ind w:firstLine="560" w:firstLineChars="0"/>
        <w:rPr>
          <w:rFonts w:ascii="Times New Roman" w:hAnsi="Times New Roman" w:eastAsiaTheme="minorEastAsia"/>
          <w:sz w:val="28"/>
          <w:szCs w:val="28"/>
        </w:rPr>
      </w:pPr>
      <w:r>
        <w:rPr>
          <w:rFonts w:ascii="Times New Roman" w:hAnsi="Times New Roman"/>
          <w:color w:val="2E2E2E"/>
          <w:kern w:val="0"/>
          <w:sz w:val="28"/>
          <w:szCs w:val="28"/>
        </w:rPr>
        <w:t>结算数据以2020年11月</w:t>
      </w:r>
      <w:r>
        <w:rPr>
          <w:rFonts w:hint="eastAsia" w:ascii="Times New Roman" w:hAnsi="Times New Roman"/>
          <w:color w:val="2E2E2E"/>
          <w:kern w:val="0"/>
          <w:sz w:val="28"/>
          <w:szCs w:val="28"/>
        </w:rPr>
        <w:t>27</w:t>
      </w:r>
      <w:r>
        <w:rPr>
          <w:rFonts w:ascii="Times New Roman" w:hAnsi="Times New Roman"/>
          <w:color w:val="2E2E2E"/>
          <w:kern w:val="0"/>
          <w:sz w:val="28"/>
          <w:szCs w:val="28"/>
        </w:rPr>
        <w:t>日（星期</w:t>
      </w:r>
      <w:r>
        <w:rPr>
          <w:rFonts w:hint="eastAsia" w:ascii="Times New Roman" w:hAnsi="Times New Roman"/>
          <w:color w:val="2E2E2E"/>
          <w:kern w:val="0"/>
          <w:sz w:val="28"/>
          <w:szCs w:val="28"/>
        </w:rPr>
        <w:t>五</w:t>
      </w:r>
      <w:r>
        <w:rPr>
          <w:rFonts w:ascii="Times New Roman" w:hAnsi="Times New Roman"/>
          <w:color w:val="2E2E2E"/>
          <w:kern w:val="0"/>
          <w:sz w:val="28"/>
          <w:szCs w:val="28"/>
        </w:rPr>
        <w:t>）交易结算独立测试环境发送的</w:t>
      </w:r>
      <w:r>
        <w:rPr>
          <w:rFonts w:hint="eastAsia" w:ascii="Times New Roman" w:hAnsi="Times New Roman"/>
          <w:color w:val="2E2E2E"/>
          <w:kern w:val="0"/>
          <w:sz w:val="28"/>
          <w:szCs w:val="28"/>
        </w:rPr>
        <w:t>数据作为起始数据。</w:t>
      </w:r>
    </w:p>
    <w:p>
      <w:pPr>
        <w:pStyle w:val="24"/>
        <w:numPr>
          <w:ilvl w:val="0"/>
          <w:numId w:val="4"/>
        </w:numPr>
        <w:spacing w:line="560" w:lineRule="exact"/>
        <w:ind w:firstLine="560" w:firstLineChars="0"/>
        <w:rPr>
          <w:rFonts w:ascii="Times New Roman" w:hAnsi="Times New Roman" w:eastAsiaTheme="minorEastAsia"/>
          <w:sz w:val="28"/>
          <w:szCs w:val="28"/>
        </w:rPr>
      </w:pPr>
      <w:r>
        <w:rPr>
          <w:rFonts w:hint="eastAsia" w:ascii="Times New Roman" w:hAnsi="Times New Roman" w:eastAsiaTheme="minorEastAsia"/>
          <w:sz w:val="28"/>
          <w:szCs w:val="28"/>
        </w:rPr>
        <w:t>交易单元</w:t>
      </w:r>
      <w:r>
        <w:rPr>
          <w:rFonts w:ascii="Times New Roman" w:hAnsi="Times New Roman"/>
          <w:color w:val="2E2E2E"/>
          <w:kern w:val="0"/>
          <w:sz w:val="28"/>
          <w:szCs w:val="28"/>
        </w:rPr>
        <w:t>以2020年11月</w:t>
      </w:r>
      <w:r>
        <w:rPr>
          <w:rFonts w:hint="eastAsia" w:ascii="Times New Roman" w:hAnsi="Times New Roman"/>
          <w:color w:val="2E2E2E"/>
          <w:kern w:val="0"/>
          <w:sz w:val="28"/>
          <w:szCs w:val="28"/>
        </w:rPr>
        <w:t>27</w:t>
      </w:r>
      <w:r>
        <w:rPr>
          <w:rFonts w:ascii="Times New Roman" w:hAnsi="Times New Roman"/>
          <w:color w:val="2E2E2E"/>
          <w:kern w:val="0"/>
          <w:sz w:val="28"/>
          <w:szCs w:val="28"/>
        </w:rPr>
        <w:t>日收市后的生产系统已开通单元为准（含测试专用交易单元</w:t>
      </w:r>
      <w:r>
        <w:rPr>
          <w:rFonts w:hint="eastAsia" w:ascii="Times New Roman" w:hAnsi="Times New Roman"/>
          <w:color w:val="2E2E2E"/>
          <w:kern w:val="0"/>
          <w:sz w:val="28"/>
          <w:szCs w:val="28"/>
        </w:rPr>
        <w:t>）</w:t>
      </w:r>
      <w:r>
        <w:rPr>
          <w:rFonts w:hint="eastAsia" w:ascii="Times New Roman" w:hAnsi="Times New Roman" w:eastAsiaTheme="minorEastAsia"/>
          <w:sz w:val="28"/>
          <w:szCs w:val="28"/>
        </w:rPr>
        <w:t>。</w:t>
      </w:r>
    </w:p>
    <w:p>
      <w:pPr>
        <w:pStyle w:val="24"/>
        <w:numPr>
          <w:ilvl w:val="0"/>
          <w:numId w:val="4"/>
        </w:numPr>
        <w:spacing w:line="560" w:lineRule="exact"/>
        <w:ind w:firstLine="560" w:firstLineChars="0"/>
        <w:rPr>
          <w:rFonts w:ascii="Times New Roman" w:hAnsi="Times New Roman" w:eastAsiaTheme="minorEastAsia"/>
          <w:sz w:val="28"/>
          <w:szCs w:val="28"/>
        </w:rPr>
      </w:pPr>
      <w:r>
        <w:rPr>
          <w:rFonts w:hint="eastAsia" w:ascii="Times New Roman" w:hAnsi="Times New Roman" w:eastAsiaTheme="minorEastAsia"/>
          <w:sz w:val="28"/>
          <w:szCs w:val="28"/>
        </w:rPr>
        <w:t>存托凭证交易业务</w:t>
      </w:r>
    </w:p>
    <w:tbl>
      <w:tblPr>
        <w:tblStyle w:val="8"/>
        <w:tblW w:w="4801" w:type="dxa"/>
        <w:jc w:val="center"/>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40"/>
        <w:gridCol w:w="1475"/>
        <w:gridCol w:w="168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460" w:hRule="atLeast"/>
          <w:tblHeader/>
          <w:jc w:val="center"/>
        </w:trPr>
        <w:tc>
          <w:tcPr>
            <w:tcW w:w="1640" w:type="dxa"/>
            <w:tcBorders>
              <w:top w:val="single" w:color="auto" w:sz="8" w:space="0"/>
              <w:left w:val="single" w:color="auto" w:sz="8" w:space="0"/>
              <w:bottom w:val="single" w:color="auto" w:sz="8" w:space="0"/>
              <w:right w:val="single" w:color="auto" w:sz="8" w:space="0"/>
            </w:tcBorders>
            <w:shd w:val="clear" w:color="auto" w:fill="BEBEBE" w:themeFill="background1" w:themeFillShade="BF"/>
            <w:vAlign w:val="center"/>
          </w:tcPr>
          <w:p>
            <w:pPr>
              <w:widowControl/>
              <w:jc w:val="center"/>
              <w:rPr>
                <w:rFonts w:ascii="楷体_GB2312" w:hAnsi="楷体" w:eastAsia="楷体_GB2312" w:cs="宋体"/>
                <w:b/>
                <w:bCs/>
                <w:color w:val="2E2E2E"/>
                <w:kern w:val="0"/>
                <w:sz w:val="20"/>
              </w:rPr>
            </w:pPr>
            <w:r>
              <w:rPr>
                <w:rFonts w:hint="eastAsia" w:hAnsi="楷体" w:cs="宋体"/>
                <w:b/>
                <w:bCs/>
                <w:color w:val="2E2E2E"/>
                <w:kern w:val="0"/>
                <w:sz w:val="20"/>
              </w:rPr>
              <w:t>证券类别</w:t>
            </w:r>
          </w:p>
        </w:tc>
        <w:tc>
          <w:tcPr>
            <w:tcW w:w="1475" w:type="dxa"/>
            <w:tcBorders>
              <w:top w:val="single" w:color="auto" w:sz="8" w:space="0"/>
              <w:left w:val="single" w:color="auto" w:sz="8" w:space="0"/>
              <w:bottom w:val="single" w:color="auto" w:sz="8" w:space="0"/>
              <w:right w:val="single" w:color="auto" w:sz="8" w:space="0"/>
            </w:tcBorders>
            <w:shd w:val="clear" w:color="auto" w:fill="BEBEBE" w:themeFill="background1" w:themeFillShade="BF"/>
            <w:noWrap/>
            <w:vAlign w:val="center"/>
          </w:tcPr>
          <w:p>
            <w:pPr>
              <w:widowControl/>
              <w:jc w:val="center"/>
              <w:rPr>
                <w:rFonts w:hint="eastAsia" w:ascii="楷体_GB2312" w:hAnsi="等线" w:eastAsia="楷体_GB2312" w:cs="宋体"/>
                <w:color w:val="000000"/>
                <w:kern w:val="0"/>
                <w:sz w:val="22"/>
                <w:szCs w:val="22"/>
              </w:rPr>
            </w:pPr>
            <w:r>
              <w:rPr>
                <w:rFonts w:hint="eastAsia" w:hAnsi="楷体" w:cs="宋体"/>
                <w:b/>
                <w:bCs/>
                <w:color w:val="2E2E2E"/>
                <w:kern w:val="0"/>
                <w:sz w:val="20"/>
              </w:rPr>
              <w:t>证券代码</w:t>
            </w:r>
          </w:p>
        </w:tc>
        <w:tc>
          <w:tcPr>
            <w:tcW w:w="1686" w:type="dxa"/>
            <w:tcBorders>
              <w:top w:val="single" w:color="auto" w:sz="8" w:space="0"/>
              <w:left w:val="single" w:color="auto" w:sz="8" w:space="0"/>
              <w:bottom w:val="single" w:color="auto" w:sz="8" w:space="0"/>
              <w:right w:val="single" w:color="auto" w:sz="8" w:space="0"/>
            </w:tcBorders>
            <w:shd w:val="clear" w:color="auto" w:fill="BEBEBE" w:themeFill="background1" w:themeFillShade="BF"/>
            <w:noWrap/>
            <w:vAlign w:val="center"/>
          </w:tcPr>
          <w:p>
            <w:pPr>
              <w:widowControl/>
              <w:jc w:val="center"/>
              <w:rPr>
                <w:rFonts w:hint="eastAsia" w:ascii="楷体_GB2312" w:hAnsi="等线" w:eastAsia="楷体_GB2312" w:cs="宋体"/>
                <w:color w:val="000000"/>
                <w:kern w:val="0"/>
                <w:sz w:val="22"/>
                <w:szCs w:val="22"/>
              </w:rPr>
            </w:pPr>
            <w:r>
              <w:rPr>
                <w:rFonts w:hint="eastAsia" w:hAnsi="楷体" w:cs="宋体"/>
                <w:b/>
                <w:bCs/>
                <w:color w:val="2E2E2E"/>
                <w:kern w:val="0"/>
                <w:sz w:val="20"/>
              </w:rPr>
              <w:t>证券简称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759" w:hRule="atLeast"/>
          <w:jc w:val="center"/>
        </w:trPr>
        <w:tc>
          <w:tcPr>
            <w:tcW w:w="1640" w:type="dxa"/>
            <w:tcBorders>
              <w:top w:val="single" w:color="auto" w:sz="8" w:space="0"/>
              <w:left w:val="single" w:color="auto" w:sz="8" w:space="0"/>
              <w:bottom w:val="single" w:color="auto" w:sz="8" w:space="0"/>
              <w:right w:val="single" w:color="auto" w:sz="8" w:space="0"/>
            </w:tcBorders>
            <w:vAlign w:val="center"/>
          </w:tcPr>
          <w:p>
            <w:pPr>
              <w:widowControl/>
              <w:jc w:val="center"/>
              <w:rPr>
                <w:rFonts w:ascii="楷体_GB2312" w:hAnsi="楷体" w:eastAsia="楷体_GB2312" w:cs="宋体"/>
                <w:color w:val="000000"/>
                <w:kern w:val="0"/>
                <w:sz w:val="20"/>
              </w:rPr>
            </w:pPr>
            <w:r>
              <w:rPr>
                <w:rFonts w:hint="eastAsia" w:hAnsi="楷体" w:cs="宋体"/>
                <w:color w:val="000000"/>
                <w:kern w:val="0"/>
                <w:sz w:val="20"/>
              </w:rPr>
              <w:t>主板存托凭证</w:t>
            </w:r>
          </w:p>
        </w:tc>
        <w:tc>
          <w:tcPr>
            <w:tcW w:w="1475" w:type="dxa"/>
            <w:tcBorders>
              <w:top w:val="single" w:color="auto" w:sz="8" w:space="0"/>
              <w:left w:val="single" w:color="auto" w:sz="8" w:space="0"/>
              <w:bottom w:val="single" w:color="auto" w:sz="8" w:space="0"/>
              <w:right w:val="single" w:color="auto" w:sz="8" w:space="0"/>
            </w:tcBorders>
            <w:noWrap/>
            <w:vAlign w:val="center"/>
          </w:tcPr>
          <w:p>
            <w:pPr>
              <w:widowControl/>
              <w:jc w:val="center"/>
              <w:rPr>
                <w:rFonts w:ascii="楷体_GB2312" w:hAnsi="楷体" w:eastAsia="楷体_GB2312" w:cs="宋体"/>
                <w:color w:val="000000"/>
                <w:kern w:val="0"/>
                <w:sz w:val="20"/>
              </w:rPr>
            </w:pPr>
            <w:r>
              <w:rPr>
                <w:rFonts w:hint="eastAsia" w:hAnsi="楷体" w:cs="宋体"/>
                <w:color w:val="000000"/>
                <w:kern w:val="0"/>
                <w:sz w:val="20"/>
              </w:rPr>
              <w:t>001011</w:t>
            </w:r>
          </w:p>
        </w:tc>
        <w:tc>
          <w:tcPr>
            <w:tcW w:w="1686" w:type="dxa"/>
            <w:tcBorders>
              <w:top w:val="single" w:color="auto" w:sz="8" w:space="0"/>
              <w:left w:val="single" w:color="auto" w:sz="8" w:space="0"/>
              <w:bottom w:val="single" w:color="auto" w:sz="8" w:space="0"/>
              <w:right w:val="single" w:color="auto" w:sz="8" w:space="0"/>
            </w:tcBorders>
            <w:noWrap/>
            <w:vAlign w:val="center"/>
          </w:tcPr>
          <w:p>
            <w:pPr>
              <w:widowControl/>
              <w:jc w:val="center"/>
              <w:rPr>
                <w:rFonts w:ascii="楷体_GB2312" w:hAnsi="楷体" w:eastAsia="楷体_GB2312" w:cs="宋体"/>
                <w:color w:val="000000"/>
                <w:kern w:val="0"/>
                <w:sz w:val="20"/>
              </w:rPr>
            </w:pPr>
            <w:r>
              <w:rPr>
                <w:rFonts w:hint="eastAsia" w:hAnsi="楷体" w:cs="宋体"/>
                <w:color w:val="000000"/>
                <w:kern w:val="0"/>
                <w:sz w:val="20"/>
              </w:rPr>
              <w:t>主测1DR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Ex>
        <w:trPr>
          <w:trHeight w:val="759" w:hRule="atLeast"/>
          <w:jc w:val="center"/>
        </w:trPr>
        <w:tc>
          <w:tcPr>
            <w:tcW w:w="1640" w:type="dxa"/>
            <w:tcBorders>
              <w:top w:val="single" w:color="auto" w:sz="8" w:space="0"/>
              <w:left w:val="single" w:color="auto" w:sz="8" w:space="0"/>
              <w:bottom w:val="single" w:color="auto" w:sz="8" w:space="0"/>
              <w:right w:val="single" w:color="auto" w:sz="8" w:space="0"/>
            </w:tcBorders>
            <w:vAlign w:val="center"/>
          </w:tcPr>
          <w:p>
            <w:pPr>
              <w:widowControl/>
              <w:jc w:val="center"/>
              <w:rPr>
                <w:rFonts w:hAnsi="楷体" w:cs="宋体"/>
                <w:color w:val="000000"/>
                <w:kern w:val="0"/>
                <w:sz w:val="20"/>
              </w:rPr>
            </w:pPr>
            <w:r>
              <w:rPr>
                <w:rFonts w:hint="eastAsia" w:hAnsi="楷体" w:cs="宋体"/>
                <w:color w:val="000000"/>
                <w:kern w:val="0"/>
                <w:sz w:val="20"/>
              </w:rPr>
              <w:t>创业板存托凭证</w:t>
            </w:r>
          </w:p>
        </w:tc>
        <w:tc>
          <w:tcPr>
            <w:tcW w:w="1475" w:type="dxa"/>
            <w:tcBorders>
              <w:top w:val="single" w:color="auto" w:sz="8" w:space="0"/>
              <w:left w:val="single" w:color="auto" w:sz="8" w:space="0"/>
              <w:bottom w:val="single" w:color="auto" w:sz="8" w:space="0"/>
              <w:right w:val="single" w:color="auto" w:sz="8" w:space="0"/>
            </w:tcBorders>
            <w:noWrap/>
            <w:vAlign w:val="center"/>
          </w:tcPr>
          <w:p>
            <w:pPr>
              <w:widowControl/>
              <w:jc w:val="center"/>
              <w:rPr>
                <w:rFonts w:hAnsi="楷体" w:cs="宋体"/>
                <w:color w:val="000000"/>
                <w:kern w:val="0"/>
                <w:sz w:val="20"/>
              </w:rPr>
            </w:pPr>
            <w:r>
              <w:rPr>
                <w:rFonts w:hint="eastAsia" w:hAnsi="楷体" w:cs="宋体"/>
                <w:color w:val="000000"/>
                <w:kern w:val="0"/>
                <w:sz w:val="20"/>
              </w:rPr>
              <w:t>309811</w:t>
            </w:r>
          </w:p>
        </w:tc>
        <w:tc>
          <w:tcPr>
            <w:tcW w:w="1686" w:type="dxa"/>
            <w:tcBorders>
              <w:top w:val="single" w:color="auto" w:sz="8" w:space="0"/>
              <w:left w:val="single" w:color="auto" w:sz="8" w:space="0"/>
              <w:bottom w:val="single" w:color="auto" w:sz="8" w:space="0"/>
              <w:right w:val="single" w:color="auto" w:sz="8" w:space="0"/>
            </w:tcBorders>
            <w:noWrap/>
            <w:vAlign w:val="center"/>
          </w:tcPr>
          <w:p>
            <w:pPr>
              <w:widowControl/>
              <w:jc w:val="center"/>
              <w:rPr>
                <w:rFonts w:hAnsi="楷体" w:cs="宋体"/>
                <w:color w:val="000000"/>
                <w:kern w:val="0"/>
                <w:sz w:val="20"/>
              </w:rPr>
            </w:pPr>
            <w:r>
              <w:rPr>
                <w:rFonts w:hint="eastAsia" w:hAnsi="楷体" w:cs="宋体"/>
                <w:color w:val="000000"/>
                <w:kern w:val="0"/>
                <w:sz w:val="20"/>
              </w:rPr>
              <w:t>创测1DR</w:t>
            </w:r>
          </w:p>
        </w:tc>
      </w:tr>
    </w:tbl>
    <w:p>
      <w:pPr>
        <w:pStyle w:val="24"/>
        <w:numPr>
          <w:ilvl w:val="0"/>
          <w:numId w:val="4"/>
        </w:numPr>
        <w:spacing w:line="560" w:lineRule="exact"/>
        <w:ind w:firstLine="560" w:firstLineChars="0"/>
        <w:rPr>
          <w:rFonts w:ascii="Times New Roman" w:hAnsi="Times New Roman" w:eastAsiaTheme="minorEastAsia"/>
          <w:sz w:val="28"/>
          <w:szCs w:val="28"/>
        </w:rPr>
      </w:pPr>
      <w:r>
        <w:rPr>
          <w:rFonts w:ascii="Times New Roman" w:hAnsi="Times New Roman"/>
          <w:color w:val="2E2E2E"/>
          <w:kern w:val="0"/>
          <w:sz w:val="28"/>
          <w:szCs w:val="28"/>
        </w:rPr>
        <w:t>资金账户余额设置</w:t>
      </w:r>
    </w:p>
    <w:p>
      <w:pPr>
        <w:spacing w:line="560" w:lineRule="exact"/>
        <w:ind w:firstLine="560" w:firstLineChars="200"/>
        <w:rPr>
          <w:color w:val="000000"/>
          <w:sz w:val="28"/>
          <w:szCs w:val="28"/>
        </w:rPr>
      </w:pPr>
      <w:r>
        <w:rPr>
          <w:color w:val="000000"/>
          <w:sz w:val="28"/>
          <w:szCs w:val="28"/>
        </w:rPr>
        <w:t>中国结算深圳分公司统一将所有结算参与人2020年11月</w:t>
      </w:r>
      <w:r>
        <w:rPr>
          <w:rFonts w:hint="eastAsia"/>
          <w:color w:val="000000"/>
          <w:sz w:val="28"/>
          <w:szCs w:val="28"/>
        </w:rPr>
        <w:t>30</w:t>
      </w:r>
      <w:r>
        <w:rPr>
          <w:color w:val="000000"/>
          <w:sz w:val="28"/>
          <w:szCs w:val="28"/>
        </w:rPr>
        <w:t>日的现货结算备付金账户及衍生品保证金账户余额均修改为100亿元。如果需要调整，可致电中国结算深圳分公司进行账户余额的调整，联系电话：0755-21899968。</w:t>
      </w:r>
    </w:p>
    <w:p>
      <w:pPr>
        <w:pStyle w:val="24"/>
        <w:numPr>
          <w:ilvl w:val="0"/>
          <w:numId w:val="4"/>
        </w:numPr>
        <w:spacing w:line="560" w:lineRule="exact"/>
        <w:ind w:firstLine="560" w:firstLineChars="0"/>
        <w:rPr>
          <w:rFonts w:ascii="Times New Roman" w:hAnsi="Times New Roman"/>
          <w:color w:val="2E2E2E"/>
          <w:kern w:val="0"/>
          <w:sz w:val="28"/>
          <w:szCs w:val="28"/>
        </w:rPr>
      </w:pPr>
      <w:r>
        <w:rPr>
          <w:rFonts w:hint="eastAsia" w:ascii="Times New Roman" w:hAnsi="Times New Roman"/>
          <w:color w:val="2E2E2E"/>
          <w:kern w:val="0"/>
          <w:sz w:val="28"/>
          <w:szCs w:val="28"/>
        </w:rPr>
        <w:t>中国结算深圳分公司统一为每家券商新增券商结算模式QFII/RQFII测试账户各一个（QFII:0878+6位经纪业务结算账号，RQFII: 0879+6位经纪业务结算账号），对应的衍生品合约账户为上述测试账户+期权结算账号。</w:t>
      </w:r>
    </w:p>
    <w:p>
      <w:pPr>
        <w:pStyle w:val="24"/>
        <w:numPr>
          <w:ilvl w:val="0"/>
          <w:numId w:val="4"/>
        </w:numPr>
        <w:spacing w:line="560" w:lineRule="exact"/>
        <w:ind w:firstLine="560" w:firstLineChars="0"/>
        <w:rPr>
          <w:color w:val="2E2E2E"/>
          <w:kern w:val="0"/>
          <w:sz w:val="28"/>
          <w:szCs w:val="28"/>
        </w:rPr>
      </w:pPr>
      <w:r>
        <w:rPr>
          <w:rFonts w:hint="eastAsia" w:ascii="Times New Roman" w:hAnsi="Times New Roman"/>
          <w:color w:val="2E2E2E"/>
          <w:kern w:val="0"/>
          <w:sz w:val="28"/>
          <w:szCs w:val="28"/>
        </w:rPr>
        <w:t>如2020年1月1日前在生产环境中开立过托管行模式的账户，则托管行模式测试账户以生产</w:t>
      </w:r>
      <w:r>
        <w:rPr>
          <w:rFonts w:ascii="Times New Roman" w:hAnsi="Times New Roman"/>
          <w:color w:val="2E2E2E"/>
          <w:kern w:val="0"/>
          <w:sz w:val="28"/>
          <w:szCs w:val="28"/>
        </w:rPr>
        <w:t>QFII/RQFII</w:t>
      </w:r>
      <w:r>
        <w:rPr>
          <w:rFonts w:hint="eastAsia" w:ascii="Times New Roman" w:hAnsi="Times New Roman"/>
          <w:color w:val="2E2E2E"/>
          <w:kern w:val="0"/>
          <w:sz w:val="28"/>
          <w:szCs w:val="28"/>
        </w:rPr>
        <w:t>账户为准。如2020年1月1日前未在生产环境中开立过托管行模式的账户，请将客户名称、证件号码、托管行结算账号和券商交易单元发送至sdzy@chinaclear.com.cn，邮件主题标注为“QFII/RQFII测试账户开立”。对应的衍生品合约账户也需券商在独立测试环境中开立。</w:t>
      </w:r>
    </w:p>
    <w:p>
      <w:pPr>
        <w:pStyle w:val="24"/>
        <w:numPr>
          <w:ilvl w:val="0"/>
          <w:numId w:val="4"/>
        </w:numPr>
        <w:spacing w:line="560" w:lineRule="exact"/>
        <w:ind w:firstLine="560" w:firstLineChars="0"/>
        <w:rPr>
          <w:rFonts w:ascii="Times New Roman" w:hAnsi="Times New Roman"/>
          <w:color w:val="2E2E2E"/>
          <w:kern w:val="0"/>
          <w:sz w:val="28"/>
          <w:szCs w:val="28"/>
        </w:rPr>
      </w:pPr>
      <w:r>
        <w:rPr>
          <w:rFonts w:hint="eastAsia" w:ascii="Times New Roman" w:hAnsi="Times New Roman"/>
          <w:color w:val="2E2E2E"/>
          <w:kern w:val="0"/>
          <w:sz w:val="28"/>
          <w:szCs w:val="28"/>
        </w:rPr>
        <w:t>QFII托管行模式备付金业务</w:t>
      </w:r>
    </w:p>
    <w:p>
      <w:pPr>
        <w:spacing w:line="560" w:lineRule="exact"/>
        <w:ind w:firstLine="560" w:firstLineChars="200"/>
        <w:jc w:val="left"/>
        <w:rPr>
          <w:color w:val="000000"/>
          <w:sz w:val="28"/>
          <w:szCs w:val="28"/>
        </w:rPr>
      </w:pPr>
      <w:r>
        <w:rPr>
          <w:rFonts w:hint="eastAsia"/>
          <w:color w:val="000000"/>
          <w:sz w:val="28"/>
          <w:szCs w:val="28"/>
        </w:rPr>
        <w:t>若</w:t>
      </w:r>
      <w:r>
        <w:rPr>
          <w:rFonts w:hint="eastAsia"/>
          <w:color w:val="2E2E2E"/>
          <w:kern w:val="0"/>
          <w:sz w:val="28"/>
          <w:szCs w:val="28"/>
        </w:rPr>
        <w:t>QF</w:t>
      </w:r>
      <w:r>
        <w:rPr>
          <w:rFonts w:hint="eastAsia"/>
          <w:color w:val="2E2E2E"/>
          <w:kern w:val="0"/>
          <w:sz w:val="28"/>
          <w:szCs w:val="28"/>
        </w:rPr>
        <w:tab/>
      </w:r>
      <w:r>
        <w:rPr>
          <w:rFonts w:hint="eastAsia"/>
          <w:color w:val="2E2E2E"/>
          <w:kern w:val="0"/>
          <w:sz w:val="28"/>
          <w:szCs w:val="28"/>
        </w:rPr>
        <w:t>II/RQFII账户</w:t>
      </w:r>
      <w:r>
        <w:rPr>
          <w:rFonts w:hint="eastAsia"/>
          <w:color w:val="000000"/>
          <w:sz w:val="28"/>
          <w:szCs w:val="28"/>
        </w:rPr>
        <w:t>采用托管行结算模式，最低结算备付金额度数据会在12月7日（当月第五个工作日），通过综合数据服务库（SJSFW.DBF）下发给托管行，最低结算备付金额度将在12月8日（当月第六个工作日）生效。本次仿真测试，统一由中国结算深圳分公司代为完成最低备付限额申报流程。每家托管行的</w:t>
      </w:r>
      <w:r>
        <w:rPr>
          <w:rFonts w:hint="eastAsia"/>
          <w:color w:val="2E2E2E"/>
          <w:kern w:val="0"/>
          <w:sz w:val="28"/>
          <w:szCs w:val="28"/>
        </w:rPr>
        <w:t>QFII/RQFII账户</w:t>
      </w:r>
      <w:r>
        <w:rPr>
          <w:rFonts w:hint="eastAsia"/>
          <w:color w:val="000000"/>
          <w:sz w:val="28"/>
          <w:szCs w:val="28"/>
        </w:rPr>
        <w:t>的累计净汇入资金规模为5000亿元，最终各托管行将在12月7日通过SJSFW.DBF收到的最低备付金限额为3亿元。</w:t>
      </w:r>
    </w:p>
    <w:p>
      <w:pPr>
        <w:pStyle w:val="24"/>
        <w:numPr>
          <w:ilvl w:val="0"/>
          <w:numId w:val="4"/>
        </w:numPr>
        <w:spacing w:line="560" w:lineRule="exact"/>
        <w:ind w:firstLine="560" w:firstLineChars="0"/>
        <w:rPr>
          <w:color w:val="2E2E2E"/>
          <w:kern w:val="0"/>
          <w:sz w:val="28"/>
          <w:szCs w:val="28"/>
        </w:rPr>
      </w:pPr>
      <w:r>
        <w:rPr>
          <w:rFonts w:hint="eastAsia" w:ascii="Times New Roman" w:hAnsi="Times New Roman"/>
          <w:color w:val="2E2E2E"/>
          <w:kern w:val="0"/>
          <w:sz w:val="28"/>
          <w:szCs w:val="28"/>
        </w:rPr>
        <w:t>发行可申购数据</w:t>
      </w:r>
    </w:p>
    <w:p>
      <w:pPr>
        <w:spacing w:line="560" w:lineRule="exact"/>
        <w:ind w:firstLine="560" w:firstLineChars="200"/>
        <w:jc w:val="left"/>
        <w:rPr>
          <w:color w:val="000000"/>
          <w:sz w:val="28"/>
          <w:szCs w:val="28"/>
        </w:rPr>
      </w:pPr>
      <w:r>
        <w:rPr>
          <w:rFonts w:hint="eastAsia"/>
          <w:color w:val="000000"/>
          <w:sz w:val="28"/>
          <w:szCs w:val="28"/>
        </w:rPr>
        <w:t>2020年11月30日开始至2020年12月4日，每日的发行可申购额度信息库SJSKS.DBF接口将下发账户参与IPO发行业务的可申购额度数据，</w:t>
      </w:r>
      <w:r>
        <w:rPr>
          <w:color w:val="000000"/>
          <w:sz w:val="28"/>
          <w:szCs w:val="28"/>
        </w:rPr>
        <w:t>如果需要调整，可致电中国结算深圳分公司进行调整，联系电话：0755-</w:t>
      </w:r>
      <w:r>
        <w:rPr>
          <w:rFonts w:hint="eastAsia"/>
          <w:color w:val="000000"/>
          <w:sz w:val="28"/>
          <w:szCs w:val="28"/>
        </w:rPr>
        <w:t>21899968</w:t>
      </w:r>
      <w:r>
        <w:rPr>
          <w:color w:val="000000"/>
          <w:sz w:val="28"/>
          <w:szCs w:val="28"/>
        </w:rPr>
        <w:t>。</w:t>
      </w:r>
    </w:p>
    <w:p>
      <w:pPr>
        <w:pStyle w:val="24"/>
        <w:numPr>
          <w:ilvl w:val="0"/>
          <w:numId w:val="5"/>
        </w:numPr>
        <w:spacing w:line="360" w:lineRule="auto"/>
        <w:ind w:firstLineChars="0"/>
        <w:jc w:val="left"/>
        <w:rPr>
          <w:rFonts w:asciiTheme="minorEastAsia" w:hAnsiTheme="minorEastAsia" w:eastAsiaTheme="minorEastAsia"/>
          <w:szCs w:val="21"/>
        </w:rPr>
      </w:pPr>
      <w:r>
        <w:rPr>
          <w:rFonts w:hint="eastAsia" w:asciiTheme="minorEastAsia" w:hAnsiTheme="minorEastAsia" w:eastAsiaTheme="minorEastAsia"/>
          <w:szCs w:val="21"/>
        </w:rPr>
        <w:t>新股发行（采用市值配售方式）</w:t>
      </w:r>
    </w:p>
    <w:tbl>
      <w:tblPr>
        <w:tblStyle w:val="8"/>
        <w:tblW w:w="89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709"/>
        <w:gridCol w:w="1134"/>
        <w:gridCol w:w="1134"/>
        <w:gridCol w:w="709"/>
        <w:gridCol w:w="850"/>
        <w:gridCol w:w="1134"/>
        <w:gridCol w:w="1134"/>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证券代码</w:t>
            </w:r>
          </w:p>
        </w:tc>
        <w:tc>
          <w:tcPr>
            <w:tcW w:w="709"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证券简称</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发行价格</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网上发行总量</w:t>
            </w:r>
          </w:p>
        </w:tc>
        <w:tc>
          <w:tcPr>
            <w:tcW w:w="709"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申购基数</w:t>
            </w:r>
          </w:p>
        </w:tc>
        <w:tc>
          <w:tcPr>
            <w:tcW w:w="850"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申购上限</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申购日</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中签日</w:t>
            </w:r>
          </w:p>
        </w:tc>
        <w:tc>
          <w:tcPr>
            <w:tcW w:w="1275"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放弃认购申报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004444</w:t>
            </w:r>
          </w:p>
        </w:tc>
        <w:tc>
          <w:tcPr>
            <w:tcW w:w="709" w:type="dxa"/>
          </w:tcPr>
          <w:p>
            <w:pPr>
              <w:widowControl/>
              <w:jc w:val="center"/>
              <w:rPr>
                <w:rFonts w:cs="宋体" w:asciiTheme="minorEastAsia" w:hAnsiTheme="minorEastAsia" w:eastAsiaTheme="minorEastAsia"/>
                <w:bCs/>
                <w:kern w:val="0"/>
                <w:sz w:val="20"/>
                <w:szCs w:val="20"/>
              </w:rPr>
            </w:pPr>
            <w:r>
              <w:rPr>
                <w:rFonts w:hint="eastAsia" w:cs="宋体" w:asciiTheme="minorEastAsia" w:hAnsiTheme="minorEastAsia" w:eastAsiaTheme="minorEastAsia"/>
                <w:bCs/>
                <w:kern w:val="0"/>
                <w:sz w:val="20"/>
                <w:szCs w:val="20"/>
              </w:rPr>
              <w:t>中小发行</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10.550</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20000000</w:t>
            </w:r>
          </w:p>
        </w:tc>
        <w:tc>
          <w:tcPr>
            <w:tcW w:w="709"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500</w:t>
            </w:r>
          </w:p>
        </w:tc>
        <w:tc>
          <w:tcPr>
            <w:tcW w:w="850"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2020/12/7</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2020/12/8</w:t>
            </w:r>
          </w:p>
        </w:tc>
        <w:tc>
          <w:tcPr>
            <w:tcW w:w="1275"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309444</w:t>
            </w:r>
          </w:p>
        </w:tc>
        <w:tc>
          <w:tcPr>
            <w:tcW w:w="709" w:type="dxa"/>
          </w:tcPr>
          <w:p>
            <w:pPr>
              <w:widowControl/>
              <w:jc w:val="center"/>
              <w:rPr>
                <w:rFonts w:cs="宋体" w:asciiTheme="minorEastAsia" w:hAnsiTheme="minorEastAsia" w:eastAsiaTheme="minorEastAsia"/>
                <w:bCs/>
                <w:kern w:val="0"/>
                <w:sz w:val="20"/>
                <w:szCs w:val="20"/>
              </w:rPr>
            </w:pPr>
            <w:r>
              <w:rPr>
                <w:rFonts w:hint="eastAsia" w:cs="宋体" w:asciiTheme="minorEastAsia" w:hAnsiTheme="minorEastAsia" w:eastAsiaTheme="minorEastAsia"/>
                <w:bCs/>
                <w:kern w:val="0"/>
                <w:sz w:val="20"/>
                <w:szCs w:val="20"/>
              </w:rPr>
              <w:t>创业发行</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12.140</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20000000</w:t>
            </w:r>
          </w:p>
        </w:tc>
        <w:tc>
          <w:tcPr>
            <w:tcW w:w="709"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500</w:t>
            </w:r>
          </w:p>
        </w:tc>
        <w:tc>
          <w:tcPr>
            <w:tcW w:w="850"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2020/12/7</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2020/12/8</w:t>
            </w:r>
          </w:p>
        </w:tc>
        <w:tc>
          <w:tcPr>
            <w:tcW w:w="1275"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2020/12/10</w:t>
            </w:r>
          </w:p>
        </w:tc>
      </w:tr>
    </w:tbl>
    <w:p>
      <w:pPr>
        <w:spacing w:line="360" w:lineRule="auto"/>
        <w:ind w:firstLine="420"/>
        <w:rPr>
          <w:rFonts w:asciiTheme="minorEastAsia" w:hAnsiTheme="minorEastAsia" w:eastAsiaTheme="minorEastAsia"/>
          <w:szCs w:val="21"/>
        </w:rPr>
      </w:pPr>
      <w:r>
        <w:rPr>
          <w:rFonts w:hint="eastAsia" w:asciiTheme="minorEastAsia" w:hAnsiTheme="minorEastAsia" w:eastAsiaTheme="minorEastAsia"/>
          <w:szCs w:val="21"/>
        </w:rPr>
        <w:t>发行采用市值配售方式，可以从SJSGB中获取发行参数（业务类别为“FX”）。参与申购的将全部中签。</w:t>
      </w:r>
    </w:p>
    <w:p>
      <w:pPr>
        <w:pStyle w:val="24"/>
        <w:numPr>
          <w:ilvl w:val="0"/>
          <w:numId w:val="5"/>
        </w:numPr>
        <w:spacing w:line="360" w:lineRule="auto"/>
        <w:ind w:firstLineChars="0"/>
        <w:jc w:val="left"/>
        <w:rPr>
          <w:rFonts w:asciiTheme="minorEastAsia" w:hAnsiTheme="minorEastAsia" w:eastAsiaTheme="minorEastAsia"/>
          <w:szCs w:val="21"/>
        </w:rPr>
      </w:pPr>
      <w:r>
        <w:rPr>
          <w:rFonts w:hint="eastAsia" w:asciiTheme="minorEastAsia" w:hAnsiTheme="minorEastAsia" w:eastAsiaTheme="minorEastAsia"/>
          <w:szCs w:val="21"/>
        </w:rPr>
        <w:t>存托凭证发行</w:t>
      </w:r>
    </w:p>
    <w:tbl>
      <w:tblPr>
        <w:tblStyle w:val="8"/>
        <w:tblW w:w="898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709"/>
        <w:gridCol w:w="1134"/>
        <w:gridCol w:w="1134"/>
        <w:gridCol w:w="709"/>
        <w:gridCol w:w="850"/>
        <w:gridCol w:w="1134"/>
        <w:gridCol w:w="1134"/>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证券代码</w:t>
            </w:r>
          </w:p>
        </w:tc>
        <w:tc>
          <w:tcPr>
            <w:tcW w:w="709"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证券简称</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发行价格</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网上发行总量</w:t>
            </w:r>
          </w:p>
        </w:tc>
        <w:tc>
          <w:tcPr>
            <w:tcW w:w="709"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申购基数</w:t>
            </w:r>
          </w:p>
        </w:tc>
        <w:tc>
          <w:tcPr>
            <w:tcW w:w="850"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申购上限</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申购日</w:t>
            </w:r>
          </w:p>
        </w:tc>
        <w:tc>
          <w:tcPr>
            <w:tcW w:w="1134"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中签日</w:t>
            </w:r>
          </w:p>
        </w:tc>
        <w:tc>
          <w:tcPr>
            <w:tcW w:w="1275" w:type="dxa"/>
            <w:shd w:val="clear" w:color="auto" w:fill="BEBEBE" w:themeFill="background1" w:themeFillShade="BF"/>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放弃认购申报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001002</w:t>
            </w:r>
          </w:p>
        </w:tc>
        <w:tc>
          <w:tcPr>
            <w:tcW w:w="709" w:type="dxa"/>
          </w:tcPr>
          <w:p>
            <w:pPr>
              <w:widowControl/>
              <w:jc w:val="center"/>
              <w:rPr>
                <w:rFonts w:cs="宋体" w:asciiTheme="minorEastAsia" w:hAnsiTheme="minorEastAsia" w:eastAsiaTheme="minorEastAsia"/>
                <w:bCs/>
                <w:kern w:val="0"/>
                <w:sz w:val="20"/>
                <w:szCs w:val="20"/>
              </w:rPr>
            </w:pPr>
            <w:r>
              <w:rPr>
                <w:rFonts w:hint="eastAsia" w:cs="宋体" w:asciiTheme="minorEastAsia" w:hAnsiTheme="minorEastAsia" w:eastAsiaTheme="minorEastAsia"/>
                <w:bCs/>
                <w:kern w:val="0"/>
                <w:sz w:val="20"/>
                <w:szCs w:val="20"/>
              </w:rPr>
              <w:t>主测2DR</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20000000</w:t>
            </w:r>
          </w:p>
        </w:tc>
        <w:tc>
          <w:tcPr>
            <w:tcW w:w="709"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500</w:t>
            </w:r>
          </w:p>
        </w:tc>
        <w:tc>
          <w:tcPr>
            <w:tcW w:w="850"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2020/12/7</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2020/12/8</w:t>
            </w:r>
          </w:p>
        </w:tc>
        <w:tc>
          <w:tcPr>
            <w:tcW w:w="1275"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7"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309802</w:t>
            </w:r>
          </w:p>
        </w:tc>
        <w:tc>
          <w:tcPr>
            <w:tcW w:w="709" w:type="dxa"/>
          </w:tcPr>
          <w:p>
            <w:pPr>
              <w:widowControl/>
              <w:jc w:val="center"/>
              <w:rPr>
                <w:rFonts w:cs="宋体" w:asciiTheme="minorEastAsia" w:hAnsiTheme="minorEastAsia" w:eastAsiaTheme="minorEastAsia"/>
                <w:bCs/>
                <w:kern w:val="0"/>
                <w:sz w:val="20"/>
                <w:szCs w:val="20"/>
              </w:rPr>
            </w:pPr>
            <w:r>
              <w:rPr>
                <w:rFonts w:hint="eastAsia" w:cs="宋体" w:asciiTheme="minorEastAsia" w:hAnsiTheme="minorEastAsia" w:eastAsiaTheme="minorEastAsia"/>
                <w:bCs/>
                <w:kern w:val="0"/>
                <w:sz w:val="20"/>
                <w:szCs w:val="20"/>
              </w:rPr>
              <w:t>创测2DR</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21.00</w:t>
            </w:r>
          </w:p>
        </w:tc>
        <w:tc>
          <w:tcPr>
            <w:tcW w:w="1134"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20000000</w:t>
            </w:r>
          </w:p>
        </w:tc>
        <w:tc>
          <w:tcPr>
            <w:tcW w:w="709"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500</w:t>
            </w:r>
          </w:p>
        </w:tc>
        <w:tc>
          <w:tcPr>
            <w:tcW w:w="850"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2020/12/7</w:t>
            </w:r>
          </w:p>
        </w:tc>
        <w:tc>
          <w:tcPr>
            <w:tcW w:w="1134"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2020/12/8</w:t>
            </w:r>
          </w:p>
        </w:tc>
        <w:tc>
          <w:tcPr>
            <w:tcW w:w="1275" w:type="dxa"/>
          </w:tcPr>
          <w:p>
            <w:pPr>
              <w:widowControl/>
              <w:jc w:val="center"/>
              <w:rPr>
                <w:rFonts w:cs="宋体" w:asciiTheme="minorEastAsia" w:hAnsiTheme="minorEastAsia" w:eastAsiaTheme="minorEastAsia"/>
                <w:kern w:val="0"/>
                <w:sz w:val="20"/>
                <w:szCs w:val="20"/>
              </w:rPr>
            </w:pPr>
            <w:r>
              <w:rPr>
                <w:rFonts w:cs="宋体" w:asciiTheme="minorEastAsia" w:hAnsiTheme="minorEastAsia" w:eastAsiaTheme="minorEastAsia"/>
                <w:kern w:val="0"/>
                <w:sz w:val="20"/>
                <w:szCs w:val="20"/>
              </w:rPr>
              <w:t>2020/12/10</w:t>
            </w:r>
          </w:p>
        </w:tc>
      </w:tr>
    </w:tbl>
    <w:p>
      <w:pPr>
        <w:pStyle w:val="24"/>
        <w:numPr>
          <w:ilvl w:val="0"/>
          <w:numId w:val="5"/>
        </w:numPr>
        <w:spacing w:line="360" w:lineRule="auto"/>
        <w:ind w:firstLineChars="0"/>
        <w:rPr>
          <w:rFonts w:asciiTheme="minorEastAsia" w:hAnsiTheme="minorEastAsia" w:eastAsiaTheme="minorEastAsia"/>
          <w:szCs w:val="21"/>
        </w:rPr>
      </w:pPr>
      <w:r>
        <w:rPr>
          <w:rFonts w:asciiTheme="minorEastAsia" w:hAnsiTheme="minorEastAsia" w:eastAsiaTheme="minorEastAsia"/>
          <w:szCs w:val="21"/>
        </w:rPr>
        <w:t>LOF发行</w:t>
      </w:r>
    </w:p>
    <w:tbl>
      <w:tblPr>
        <w:tblStyle w:val="8"/>
        <w:tblW w:w="840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6"/>
        <w:gridCol w:w="1253"/>
        <w:gridCol w:w="1252"/>
        <w:gridCol w:w="1436"/>
        <w:gridCol w:w="1516"/>
        <w:gridCol w:w="1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56"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证券代码</w:t>
            </w:r>
          </w:p>
        </w:tc>
        <w:tc>
          <w:tcPr>
            <w:tcW w:w="1253"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证券简称</w:t>
            </w:r>
          </w:p>
        </w:tc>
        <w:tc>
          <w:tcPr>
            <w:tcW w:w="1252"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发行价格</w:t>
            </w:r>
          </w:p>
        </w:tc>
        <w:tc>
          <w:tcPr>
            <w:tcW w:w="1436"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发行总量</w:t>
            </w:r>
          </w:p>
        </w:tc>
        <w:tc>
          <w:tcPr>
            <w:tcW w:w="1516"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申购起始</w:t>
            </w:r>
          </w:p>
        </w:tc>
        <w:tc>
          <w:tcPr>
            <w:tcW w:w="1596"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申购截止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56"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174444</w:t>
            </w:r>
          </w:p>
        </w:tc>
        <w:tc>
          <w:tcPr>
            <w:tcW w:w="1253"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LOF发行</w:t>
            </w:r>
          </w:p>
        </w:tc>
        <w:tc>
          <w:tcPr>
            <w:tcW w:w="1252"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1.0</w:t>
            </w:r>
          </w:p>
        </w:tc>
        <w:tc>
          <w:tcPr>
            <w:tcW w:w="1436"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100亿元</w:t>
            </w:r>
          </w:p>
        </w:tc>
        <w:tc>
          <w:tcPr>
            <w:tcW w:w="1516" w:type="dxa"/>
          </w:tcPr>
          <w:p>
            <w:pPr>
              <w:widowControl/>
              <w:jc w:val="center"/>
              <w:rPr>
                <w:rFonts w:cs="宋体" w:asciiTheme="minorEastAsia" w:hAnsiTheme="minorEastAsia" w:eastAsiaTheme="minorEastAsia"/>
                <w:bCs/>
                <w:kern w:val="0"/>
                <w:sz w:val="20"/>
                <w:szCs w:val="20"/>
              </w:rPr>
            </w:pPr>
            <w:r>
              <w:rPr>
                <w:rFonts w:hint="eastAsia" w:cs="宋体" w:asciiTheme="minorEastAsia" w:hAnsiTheme="minorEastAsia" w:eastAsiaTheme="minorEastAsia"/>
                <w:kern w:val="0"/>
                <w:sz w:val="20"/>
                <w:szCs w:val="20"/>
              </w:rPr>
              <w:t>2020/12/7</w:t>
            </w:r>
          </w:p>
        </w:tc>
        <w:tc>
          <w:tcPr>
            <w:tcW w:w="1596" w:type="dxa"/>
          </w:tcPr>
          <w:p>
            <w:pPr>
              <w:widowControl/>
              <w:jc w:val="center"/>
              <w:rPr>
                <w:rFonts w:cs="宋体" w:asciiTheme="minorEastAsia" w:hAnsiTheme="minorEastAsia" w:eastAsiaTheme="minorEastAsia"/>
                <w:bCs/>
                <w:kern w:val="0"/>
                <w:sz w:val="20"/>
                <w:szCs w:val="20"/>
              </w:rPr>
            </w:pPr>
            <w:r>
              <w:rPr>
                <w:rFonts w:hint="eastAsia" w:cs="宋体" w:asciiTheme="minorEastAsia" w:hAnsiTheme="minorEastAsia" w:eastAsiaTheme="minorEastAsia"/>
                <w:kern w:val="0"/>
                <w:sz w:val="20"/>
                <w:szCs w:val="20"/>
              </w:rPr>
              <w:t>2020/12/10</w:t>
            </w:r>
          </w:p>
        </w:tc>
      </w:tr>
    </w:tbl>
    <w:p>
      <w:pPr>
        <w:pStyle w:val="24"/>
        <w:numPr>
          <w:ilvl w:val="0"/>
          <w:numId w:val="5"/>
        </w:numPr>
        <w:spacing w:line="360" w:lineRule="auto"/>
        <w:ind w:firstLineChars="0"/>
        <w:rPr>
          <w:rFonts w:asciiTheme="minorEastAsia" w:hAnsiTheme="minorEastAsia" w:eastAsiaTheme="minorEastAsia"/>
          <w:szCs w:val="21"/>
        </w:rPr>
      </w:pPr>
      <w:r>
        <w:rPr>
          <w:rFonts w:asciiTheme="minorEastAsia" w:hAnsiTheme="minorEastAsia" w:eastAsiaTheme="minorEastAsia"/>
          <w:szCs w:val="21"/>
        </w:rPr>
        <w:t>ETF</w:t>
      </w:r>
      <w:r>
        <w:rPr>
          <w:rFonts w:hint="eastAsia" w:asciiTheme="minorEastAsia" w:hAnsiTheme="minorEastAsia" w:eastAsiaTheme="minorEastAsia"/>
          <w:szCs w:val="21"/>
        </w:rPr>
        <w:t>发行</w:t>
      </w:r>
    </w:p>
    <w:tbl>
      <w:tblPr>
        <w:tblStyle w:val="8"/>
        <w:tblW w:w="843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1286"/>
        <w:gridCol w:w="1276"/>
        <w:gridCol w:w="1417"/>
        <w:gridCol w:w="1559"/>
        <w:gridCol w:w="1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45"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证券代码</w:t>
            </w:r>
          </w:p>
        </w:tc>
        <w:tc>
          <w:tcPr>
            <w:tcW w:w="1286"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证券简称</w:t>
            </w:r>
          </w:p>
        </w:tc>
        <w:tc>
          <w:tcPr>
            <w:tcW w:w="1276"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发行价格</w:t>
            </w:r>
          </w:p>
        </w:tc>
        <w:tc>
          <w:tcPr>
            <w:tcW w:w="1417"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发行总量</w:t>
            </w:r>
          </w:p>
        </w:tc>
        <w:tc>
          <w:tcPr>
            <w:tcW w:w="1559"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申购起始</w:t>
            </w:r>
          </w:p>
        </w:tc>
        <w:tc>
          <w:tcPr>
            <w:tcW w:w="1550" w:type="dxa"/>
            <w:shd w:val="clear" w:color="auto" w:fill="A5A5A5" w:themeFill="background1" w:themeFillShade="A6"/>
            <w:vAlign w:val="center"/>
          </w:tcPr>
          <w:p>
            <w:pPr>
              <w:widowControl/>
              <w:jc w:val="center"/>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申购截止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45"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159440</w:t>
            </w:r>
          </w:p>
        </w:tc>
        <w:tc>
          <w:tcPr>
            <w:tcW w:w="1286"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ETF</w:t>
            </w:r>
            <w:r>
              <w:rPr>
                <w:rFonts w:hint="eastAsia" w:cs="宋体" w:asciiTheme="minorEastAsia" w:hAnsiTheme="minorEastAsia" w:eastAsiaTheme="minorEastAsia"/>
                <w:bCs/>
                <w:kern w:val="0"/>
                <w:sz w:val="20"/>
                <w:szCs w:val="20"/>
              </w:rPr>
              <w:t>发行</w:t>
            </w:r>
          </w:p>
        </w:tc>
        <w:tc>
          <w:tcPr>
            <w:tcW w:w="1276"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1.0</w:t>
            </w:r>
          </w:p>
        </w:tc>
        <w:tc>
          <w:tcPr>
            <w:tcW w:w="1417"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100亿元</w:t>
            </w:r>
          </w:p>
        </w:tc>
        <w:tc>
          <w:tcPr>
            <w:tcW w:w="1559" w:type="dxa"/>
          </w:tcPr>
          <w:p>
            <w:pPr>
              <w:widowControl/>
              <w:jc w:val="center"/>
              <w:rPr>
                <w:rFonts w:cs="宋体" w:asciiTheme="minorEastAsia" w:hAnsiTheme="minorEastAsia" w:eastAsiaTheme="minorEastAsia"/>
                <w:bCs/>
                <w:kern w:val="0"/>
                <w:sz w:val="20"/>
                <w:szCs w:val="20"/>
              </w:rPr>
            </w:pPr>
            <w:r>
              <w:rPr>
                <w:rFonts w:cs="宋体" w:asciiTheme="minorEastAsia" w:hAnsiTheme="minorEastAsia" w:eastAsiaTheme="minorEastAsia"/>
                <w:kern w:val="0"/>
                <w:sz w:val="20"/>
                <w:szCs w:val="20"/>
              </w:rPr>
              <w:t>2020/12/7</w:t>
            </w:r>
          </w:p>
        </w:tc>
        <w:tc>
          <w:tcPr>
            <w:tcW w:w="1550" w:type="dxa"/>
          </w:tcPr>
          <w:p>
            <w:pPr>
              <w:widowControl/>
              <w:jc w:val="center"/>
              <w:rPr>
                <w:rFonts w:cs="宋体" w:asciiTheme="minorEastAsia" w:hAnsiTheme="minorEastAsia" w:eastAsiaTheme="minorEastAsia"/>
                <w:b/>
                <w:bCs/>
                <w:kern w:val="0"/>
                <w:sz w:val="20"/>
                <w:szCs w:val="20"/>
              </w:rPr>
            </w:pPr>
            <w:r>
              <w:rPr>
                <w:rFonts w:hint="eastAsia" w:cs="宋体" w:asciiTheme="minorEastAsia" w:hAnsiTheme="minorEastAsia" w:eastAsiaTheme="minorEastAsia"/>
                <w:kern w:val="0"/>
                <w:sz w:val="20"/>
                <w:szCs w:val="20"/>
              </w:rPr>
              <w:t>2020/12/10</w:t>
            </w:r>
          </w:p>
        </w:tc>
      </w:tr>
    </w:tbl>
    <w:p>
      <w:pPr>
        <w:pStyle w:val="24"/>
        <w:numPr>
          <w:ilvl w:val="0"/>
          <w:numId w:val="5"/>
        </w:numPr>
        <w:spacing w:line="360" w:lineRule="auto"/>
        <w:ind w:firstLineChars="0"/>
        <w:rPr>
          <w:rFonts w:asciiTheme="minorEastAsia" w:hAnsiTheme="minorEastAsia" w:eastAsiaTheme="minorEastAsia"/>
          <w:szCs w:val="21"/>
        </w:rPr>
      </w:pPr>
      <w:r>
        <w:rPr>
          <w:rFonts w:hint="eastAsia" w:asciiTheme="minorEastAsia" w:hAnsiTheme="minorEastAsia" w:eastAsiaTheme="minorEastAsia"/>
          <w:szCs w:val="21"/>
        </w:rPr>
        <w:t>可转债发行</w:t>
      </w:r>
    </w:p>
    <w:tbl>
      <w:tblPr>
        <w:tblStyle w:val="8"/>
        <w:tblpPr w:leftFromText="180" w:rightFromText="180" w:vertAnchor="text" w:tblpXSpec="center" w:tblpY="1"/>
        <w:tblOverlap w:val="never"/>
        <w:tblW w:w="83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3"/>
        <w:gridCol w:w="2126"/>
        <w:gridCol w:w="1701"/>
        <w:gridCol w:w="18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tcBorders>
              <w:bottom w:val="single" w:color="auto" w:sz="4" w:space="0"/>
            </w:tcBorders>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股票代码</w:t>
            </w:r>
          </w:p>
        </w:tc>
        <w:tc>
          <w:tcPr>
            <w:tcW w:w="2126" w:type="dxa"/>
            <w:tcBorders>
              <w:bottom w:val="single" w:color="auto" w:sz="4" w:space="0"/>
            </w:tcBorders>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000651</w:t>
            </w:r>
          </w:p>
        </w:tc>
        <w:tc>
          <w:tcPr>
            <w:tcW w:w="1701" w:type="dxa"/>
            <w:tcBorders>
              <w:bottom w:val="single" w:color="auto" w:sz="4" w:space="0"/>
            </w:tcBorders>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股票简称</w:t>
            </w:r>
          </w:p>
        </w:tc>
        <w:tc>
          <w:tcPr>
            <w:tcW w:w="1849" w:type="dxa"/>
            <w:tcBorders>
              <w:bottom w:val="single" w:color="auto" w:sz="4" w:space="0"/>
            </w:tcBorders>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格力电器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上市可转债代码</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127651</w:t>
            </w:r>
          </w:p>
        </w:tc>
        <w:tc>
          <w:tcPr>
            <w:tcW w:w="1701"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上市可转债简称</w:t>
            </w:r>
          </w:p>
        </w:tc>
        <w:tc>
          <w:tcPr>
            <w:tcW w:w="1849"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格力转债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总发行量</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20,000,000张</w:t>
            </w:r>
          </w:p>
        </w:tc>
        <w:tc>
          <w:tcPr>
            <w:tcW w:w="1701"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发行价格</w:t>
            </w:r>
          </w:p>
        </w:tc>
        <w:tc>
          <w:tcPr>
            <w:tcW w:w="1849"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100元/张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网上配售</w:t>
            </w:r>
            <w:r>
              <w:rPr>
                <w:rFonts w:asciiTheme="minorEastAsia" w:hAnsiTheme="minorEastAsia" w:eastAsiaTheme="minorEastAsia"/>
                <w:sz w:val="20"/>
                <w:szCs w:val="20"/>
              </w:rPr>
              <w:t>/申购日期</w:t>
            </w:r>
          </w:p>
        </w:tc>
        <w:tc>
          <w:tcPr>
            <w:tcW w:w="5676" w:type="dxa"/>
            <w:gridSpan w:val="3"/>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2020/12/8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申购代码</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070651</w:t>
            </w:r>
          </w:p>
        </w:tc>
        <w:tc>
          <w:tcPr>
            <w:tcW w:w="1701"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申购简称</w:t>
            </w:r>
          </w:p>
        </w:tc>
        <w:tc>
          <w:tcPr>
            <w:tcW w:w="1849"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格力发债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37" w:hRule="atLeas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申购数量</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4,000,000张</w:t>
            </w:r>
          </w:p>
        </w:tc>
        <w:tc>
          <w:tcPr>
            <w:tcW w:w="1701"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申购基数</w:t>
            </w:r>
          </w:p>
        </w:tc>
        <w:tc>
          <w:tcPr>
            <w:tcW w:w="1849"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10张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申购上限</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100,000张</w:t>
            </w:r>
          </w:p>
        </w:tc>
        <w:tc>
          <w:tcPr>
            <w:tcW w:w="1701" w:type="dxa"/>
            <w:shd w:val="clear" w:color="auto" w:fill="auto"/>
            <w:vAlign w:val="center"/>
          </w:tcPr>
          <w:p>
            <w:pPr>
              <w:spacing w:line="360" w:lineRule="auto"/>
              <w:rPr>
                <w:rFonts w:asciiTheme="minorEastAsia" w:hAnsiTheme="minorEastAsia" w:eastAsiaTheme="minorEastAsia"/>
                <w:sz w:val="20"/>
                <w:szCs w:val="20"/>
              </w:rPr>
            </w:pPr>
          </w:p>
        </w:tc>
        <w:tc>
          <w:tcPr>
            <w:tcW w:w="1849" w:type="dxa"/>
            <w:shd w:val="clear" w:color="auto" w:fill="auto"/>
            <w:vAlign w:val="center"/>
          </w:tcPr>
          <w:p>
            <w:pPr>
              <w:spacing w:line="360" w:lineRule="auto"/>
              <w:rPr>
                <w:rFonts w:asciiTheme="minorEastAsia" w:hAnsiTheme="minorEastAsia" w:eastAsiaTheme="minorEastAsia"/>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中签处理日期</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2020/12/9</w:t>
            </w:r>
          </w:p>
        </w:tc>
        <w:tc>
          <w:tcPr>
            <w:tcW w:w="1701"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定价发行价格</w:t>
            </w:r>
          </w:p>
        </w:tc>
        <w:tc>
          <w:tcPr>
            <w:tcW w:w="1849"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100元/张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老股东优先配售比例（每股折算价）</w:t>
            </w:r>
          </w:p>
        </w:tc>
        <w:tc>
          <w:tcPr>
            <w:tcW w:w="5676" w:type="dxa"/>
            <w:gridSpan w:val="3"/>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0.998元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股权登记日期</w:t>
            </w:r>
          </w:p>
        </w:tc>
        <w:tc>
          <w:tcPr>
            <w:tcW w:w="5676" w:type="dxa"/>
            <w:gridSpan w:val="3"/>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2020/12/7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配售代码</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080651</w:t>
            </w:r>
          </w:p>
        </w:tc>
        <w:tc>
          <w:tcPr>
            <w:tcW w:w="1701"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配售简称</w:t>
            </w:r>
          </w:p>
        </w:tc>
        <w:tc>
          <w:tcPr>
            <w:tcW w:w="1849"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格力配债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Pr>
        <w:tc>
          <w:tcPr>
            <w:tcW w:w="2653" w:type="dxa"/>
            <w:shd w:val="clear" w:color="auto" w:fill="auto"/>
            <w:vAlign w:val="center"/>
          </w:tcPr>
          <w:p>
            <w:pPr>
              <w:spacing w:line="360" w:lineRule="auto"/>
              <w:rPr>
                <w:rFonts w:asciiTheme="minorEastAsia" w:hAnsiTheme="minorEastAsia" w:eastAsiaTheme="minorEastAsia"/>
                <w:sz w:val="20"/>
                <w:szCs w:val="20"/>
              </w:rPr>
            </w:pPr>
            <w:r>
              <w:rPr>
                <w:rFonts w:hint="eastAsia" w:asciiTheme="minorEastAsia" w:hAnsiTheme="minorEastAsia" w:eastAsiaTheme="minorEastAsia"/>
                <w:sz w:val="20"/>
                <w:szCs w:val="20"/>
              </w:rPr>
              <w:t>配售认购价格</w:t>
            </w:r>
          </w:p>
        </w:tc>
        <w:tc>
          <w:tcPr>
            <w:tcW w:w="2126" w:type="dxa"/>
            <w:shd w:val="clear" w:color="auto" w:fill="auto"/>
            <w:vAlign w:val="center"/>
          </w:tcPr>
          <w:p>
            <w:pPr>
              <w:spacing w:line="360" w:lineRule="auto"/>
              <w:rPr>
                <w:rFonts w:asciiTheme="minorEastAsia" w:hAnsiTheme="minorEastAsia" w:eastAsiaTheme="minorEastAsia"/>
                <w:sz w:val="20"/>
                <w:szCs w:val="20"/>
              </w:rPr>
            </w:pPr>
            <w:r>
              <w:rPr>
                <w:rFonts w:asciiTheme="minorEastAsia" w:hAnsiTheme="minorEastAsia" w:eastAsiaTheme="minorEastAsia"/>
                <w:sz w:val="20"/>
                <w:szCs w:val="20"/>
              </w:rPr>
              <w:t>100元/张</w:t>
            </w:r>
          </w:p>
        </w:tc>
        <w:tc>
          <w:tcPr>
            <w:tcW w:w="1701" w:type="dxa"/>
            <w:shd w:val="clear" w:color="auto" w:fill="auto"/>
            <w:vAlign w:val="center"/>
          </w:tcPr>
          <w:p>
            <w:pPr>
              <w:spacing w:line="360" w:lineRule="auto"/>
              <w:rPr>
                <w:rFonts w:asciiTheme="minorEastAsia" w:hAnsiTheme="minorEastAsia" w:eastAsiaTheme="minorEastAsia"/>
                <w:sz w:val="20"/>
                <w:szCs w:val="20"/>
              </w:rPr>
            </w:pPr>
          </w:p>
        </w:tc>
        <w:tc>
          <w:tcPr>
            <w:tcW w:w="1849" w:type="dxa"/>
            <w:shd w:val="clear" w:color="auto" w:fill="auto"/>
            <w:vAlign w:val="center"/>
          </w:tcPr>
          <w:p>
            <w:pPr>
              <w:spacing w:line="360" w:lineRule="auto"/>
              <w:rPr>
                <w:rFonts w:asciiTheme="minorEastAsia" w:hAnsiTheme="minorEastAsia" w:eastAsiaTheme="minorEastAsia"/>
                <w:sz w:val="20"/>
                <w:szCs w:val="20"/>
              </w:rPr>
            </w:pPr>
          </w:p>
        </w:tc>
      </w:tr>
    </w:tbl>
    <w:p>
      <w:pPr>
        <w:pStyle w:val="24"/>
        <w:widowControl/>
        <w:numPr>
          <w:ilvl w:val="0"/>
          <w:numId w:val="5"/>
        </w:numPr>
        <w:ind w:firstLineChars="0"/>
        <w:jc w:val="left"/>
        <w:rPr>
          <w:rFonts w:asciiTheme="minorEastAsia" w:hAnsiTheme="minorEastAsia" w:eastAsiaTheme="minorEastAsia"/>
          <w:szCs w:val="21"/>
        </w:rPr>
      </w:pPr>
      <w:r>
        <w:rPr>
          <w:rFonts w:hint="eastAsia" w:asciiTheme="minorEastAsia" w:hAnsiTheme="minorEastAsia" w:eastAsiaTheme="minorEastAsia"/>
          <w:szCs w:val="21"/>
        </w:rPr>
        <w:t>股票增发发行</w:t>
      </w:r>
    </w:p>
    <w:tbl>
      <w:tblPr>
        <w:tblStyle w:val="9"/>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134"/>
        <w:gridCol w:w="1134"/>
        <w:gridCol w:w="709"/>
        <w:gridCol w:w="1276"/>
        <w:gridCol w:w="1134"/>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证券代码</w:t>
            </w:r>
          </w:p>
        </w:tc>
        <w:tc>
          <w:tcPr>
            <w:tcW w:w="1134"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证券简称</w:t>
            </w:r>
          </w:p>
        </w:tc>
        <w:tc>
          <w:tcPr>
            <w:tcW w:w="1134"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增发代码</w:t>
            </w:r>
          </w:p>
        </w:tc>
        <w:tc>
          <w:tcPr>
            <w:tcW w:w="1134"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增发数量</w:t>
            </w:r>
          </w:p>
        </w:tc>
        <w:tc>
          <w:tcPr>
            <w:tcW w:w="709"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增发价格</w:t>
            </w:r>
          </w:p>
        </w:tc>
        <w:tc>
          <w:tcPr>
            <w:tcW w:w="1276"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老股东优先配售比例</w:t>
            </w:r>
          </w:p>
        </w:tc>
        <w:tc>
          <w:tcPr>
            <w:tcW w:w="1134"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申购日</w:t>
            </w:r>
          </w:p>
        </w:tc>
        <w:tc>
          <w:tcPr>
            <w:tcW w:w="1276" w:type="dxa"/>
            <w:shd w:val="clear" w:color="auto" w:fill="A5A5A5" w:themeFill="background1" w:themeFillShade="A6"/>
            <w:vAlign w:val="center"/>
          </w:tcPr>
          <w:p>
            <w:pPr>
              <w:widowControl/>
              <w:jc w:val="left"/>
              <w:rPr>
                <w:rFonts w:cs="宋体" w:asciiTheme="minorEastAsia" w:hAnsiTheme="minorEastAsia" w:eastAsiaTheme="minorEastAsia"/>
                <w:b/>
                <w:bCs/>
                <w:kern w:val="0"/>
                <w:szCs w:val="21"/>
              </w:rPr>
            </w:pPr>
            <w:r>
              <w:rPr>
                <w:rFonts w:hint="eastAsia" w:cs="宋体" w:asciiTheme="minorEastAsia" w:hAnsiTheme="minorEastAsia" w:eastAsiaTheme="minorEastAsia"/>
                <w:b/>
                <w:bCs/>
                <w:kern w:val="0"/>
                <w:szCs w:val="21"/>
              </w:rPr>
              <w:t>中签日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000568</w:t>
            </w:r>
          </w:p>
        </w:tc>
        <w:tc>
          <w:tcPr>
            <w:tcW w:w="1134" w:type="dxa"/>
          </w:tcPr>
          <w:p>
            <w:pPr>
              <w:widowControl/>
              <w:jc w:val="left"/>
              <w:rPr>
                <w:rFonts w:cs="宋体" w:asciiTheme="minorEastAsia" w:hAnsiTheme="minorEastAsia" w:eastAsiaTheme="minorEastAsia"/>
                <w:bCs/>
                <w:kern w:val="0"/>
                <w:sz w:val="20"/>
                <w:szCs w:val="20"/>
              </w:rPr>
            </w:pPr>
            <w:r>
              <w:rPr>
                <w:rFonts w:hint="eastAsia" w:cs="宋体" w:asciiTheme="minorEastAsia" w:hAnsiTheme="minorEastAsia" w:eastAsiaTheme="minorEastAsia"/>
                <w:bCs/>
                <w:kern w:val="0"/>
                <w:sz w:val="20"/>
                <w:szCs w:val="20"/>
              </w:rPr>
              <w:t>泸州老窖</w:t>
            </w:r>
          </w:p>
        </w:tc>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070568</w:t>
            </w:r>
          </w:p>
        </w:tc>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20000000</w:t>
            </w:r>
          </w:p>
        </w:tc>
        <w:tc>
          <w:tcPr>
            <w:tcW w:w="709"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31.5</w:t>
            </w:r>
          </w:p>
        </w:tc>
        <w:tc>
          <w:tcPr>
            <w:tcW w:w="1276" w:type="dxa"/>
          </w:tcPr>
          <w:p>
            <w:pPr>
              <w:widowControl/>
              <w:ind w:firstLine="400"/>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0.5</w:t>
            </w:r>
          </w:p>
        </w:tc>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2020/12/7</w:t>
            </w:r>
          </w:p>
        </w:tc>
        <w:tc>
          <w:tcPr>
            <w:tcW w:w="1276"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2020/12/10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300002</w:t>
            </w:r>
          </w:p>
        </w:tc>
        <w:tc>
          <w:tcPr>
            <w:tcW w:w="1134" w:type="dxa"/>
          </w:tcPr>
          <w:p>
            <w:pPr>
              <w:widowControl/>
              <w:jc w:val="left"/>
              <w:rPr>
                <w:rFonts w:cs="宋体" w:asciiTheme="minorEastAsia" w:hAnsiTheme="minorEastAsia" w:eastAsiaTheme="minorEastAsia"/>
                <w:bCs/>
                <w:kern w:val="0"/>
                <w:sz w:val="20"/>
                <w:szCs w:val="20"/>
              </w:rPr>
            </w:pPr>
            <w:r>
              <w:rPr>
                <w:rFonts w:hint="eastAsia" w:cs="宋体" w:asciiTheme="minorEastAsia" w:hAnsiTheme="minorEastAsia" w:eastAsiaTheme="minorEastAsia"/>
                <w:bCs/>
                <w:kern w:val="0"/>
                <w:sz w:val="20"/>
                <w:szCs w:val="20"/>
              </w:rPr>
              <w:t>神州泰岳</w:t>
            </w:r>
          </w:p>
        </w:tc>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370002</w:t>
            </w:r>
          </w:p>
        </w:tc>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20000000</w:t>
            </w:r>
          </w:p>
        </w:tc>
        <w:tc>
          <w:tcPr>
            <w:tcW w:w="709"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15</w:t>
            </w:r>
          </w:p>
        </w:tc>
        <w:tc>
          <w:tcPr>
            <w:tcW w:w="1276" w:type="dxa"/>
          </w:tcPr>
          <w:p>
            <w:pPr>
              <w:widowControl/>
              <w:ind w:firstLine="400"/>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0.6</w:t>
            </w:r>
          </w:p>
        </w:tc>
        <w:tc>
          <w:tcPr>
            <w:tcW w:w="1134"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2020/12/7</w:t>
            </w:r>
          </w:p>
        </w:tc>
        <w:tc>
          <w:tcPr>
            <w:tcW w:w="1276" w:type="dxa"/>
          </w:tcPr>
          <w:p>
            <w:pPr>
              <w:widowControl/>
              <w:jc w:val="left"/>
              <w:rPr>
                <w:rFonts w:cs="宋体" w:asciiTheme="minorEastAsia" w:hAnsiTheme="minorEastAsia" w:eastAsiaTheme="minorEastAsia"/>
                <w:bCs/>
                <w:kern w:val="0"/>
                <w:sz w:val="20"/>
                <w:szCs w:val="20"/>
              </w:rPr>
            </w:pPr>
            <w:r>
              <w:rPr>
                <w:rFonts w:cs="宋体" w:asciiTheme="minorEastAsia" w:hAnsiTheme="minorEastAsia" w:eastAsiaTheme="minorEastAsia"/>
                <w:bCs/>
                <w:kern w:val="0"/>
                <w:sz w:val="20"/>
                <w:szCs w:val="20"/>
              </w:rPr>
              <w:t>2020/12/10</w:t>
            </w:r>
          </w:p>
        </w:tc>
      </w:tr>
    </w:tbl>
    <w:p>
      <w:pPr>
        <w:pStyle w:val="24"/>
        <w:spacing w:line="560" w:lineRule="exact"/>
        <w:ind w:left="630" w:firstLine="0" w:firstLineChars="0"/>
        <w:jc w:val="left"/>
        <w:rPr>
          <w:rFonts w:hint="eastAsia" w:ascii="Times New Roman" w:hAnsi="Times New Roman"/>
          <w:color w:val="2E2E2E"/>
          <w:kern w:val="0"/>
          <w:sz w:val="28"/>
          <w:szCs w:val="28"/>
        </w:rPr>
      </w:pPr>
    </w:p>
    <w:p>
      <w:pPr>
        <w:pStyle w:val="24"/>
        <w:numPr>
          <w:ilvl w:val="0"/>
          <w:numId w:val="4"/>
        </w:numPr>
        <w:spacing w:line="560" w:lineRule="exact"/>
        <w:ind w:firstLine="560" w:firstLineChars="0"/>
        <w:jc w:val="left"/>
        <w:rPr>
          <w:rFonts w:ascii="Times New Roman" w:hAnsi="Times New Roman"/>
          <w:color w:val="2E2E2E"/>
          <w:kern w:val="0"/>
          <w:sz w:val="28"/>
          <w:szCs w:val="28"/>
        </w:rPr>
      </w:pPr>
      <w:r>
        <w:rPr>
          <w:rFonts w:ascii="Times New Roman" w:hAnsi="Times New Roman"/>
          <w:color w:val="2E2E2E"/>
          <w:kern w:val="0"/>
          <w:sz w:val="28"/>
          <w:szCs w:val="28"/>
        </w:rPr>
        <w:t>2020</w:t>
      </w:r>
      <w:r>
        <w:rPr>
          <w:rFonts w:hint="eastAsia" w:ascii="Times New Roman" w:hAnsi="Times New Roman"/>
          <w:color w:val="2E2E2E"/>
          <w:kern w:val="0"/>
          <w:sz w:val="28"/>
          <w:szCs w:val="28"/>
        </w:rPr>
        <w:t>年</w:t>
      </w:r>
      <w:r>
        <w:rPr>
          <w:rFonts w:ascii="Times New Roman" w:hAnsi="Times New Roman"/>
          <w:color w:val="2E2E2E"/>
          <w:kern w:val="0"/>
          <w:sz w:val="28"/>
          <w:szCs w:val="28"/>
        </w:rPr>
        <w:t>11</w:t>
      </w:r>
      <w:r>
        <w:rPr>
          <w:rFonts w:hint="eastAsia" w:ascii="Times New Roman" w:hAnsi="Times New Roman"/>
          <w:color w:val="2E2E2E"/>
          <w:kern w:val="0"/>
          <w:sz w:val="28"/>
          <w:szCs w:val="28"/>
        </w:rPr>
        <w:t>月</w:t>
      </w:r>
      <w:r>
        <w:rPr>
          <w:rFonts w:ascii="Times New Roman" w:hAnsi="Times New Roman"/>
          <w:color w:val="2E2E2E"/>
          <w:kern w:val="0"/>
          <w:sz w:val="28"/>
          <w:szCs w:val="28"/>
        </w:rPr>
        <w:t>27</w:t>
      </w:r>
      <w:r>
        <w:rPr>
          <w:rFonts w:hint="eastAsia" w:ascii="Times New Roman" w:hAnsi="Times New Roman"/>
          <w:color w:val="2E2E2E"/>
          <w:kern w:val="0"/>
          <w:sz w:val="28"/>
          <w:szCs w:val="28"/>
        </w:rPr>
        <w:t>日盘后，深交所将调整合约标的</w:t>
      </w:r>
      <w:r>
        <w:rPr>
          <w:rFonts w:ascii="Times New Roman" w:hAnsi="Times New Roman"/>
          <w:color w:val="2E2E2E"/>
          <w:kern w:val="0"/>
          <w:sz w:val="28"/>
          <w:szCs w:val="28"/>
        </w:rPr>
        <w:t>159901</w:t>
      </w:r>
      <w:r>
        <w:rPr>
          <w:rFonts w:hint="eastAsia" w:ascii="Times New Roman" w:hAnsi="Times New Roman"/>
          <w:color w:val="2E2E2E"/>
          <w:kern w:val="0"/>
          <w:sz w:val="28"/>
          <w:szCs w:val="28"/>
        </w:rPr>
        <w:t>的</w:t>
      </w:r>
      <w:r>
        <w:rPr>
          <w:rFonts w:ascii="Times New Roman" w:hAnsi="Times New Roman"/>
          <w:color w:val="2E2E2E"/>
          <w:kern w:val="0"/>
          <w:sz w:val="28"/>
          <w:szCs w:val="28"/>
        </w:rPr>
        <w:t>12</w:t>
      </w:r>
      <w:r>
        <w:rPr>
          <w:rFonts w:hint="eastAsia" w:ascii="Times New Roman" w:hAnsi="Times New Roman"/>
          <w:color w:val="2E2E2E"/>
          <w:kern w:val="0"/>
          <w:sz w:val="28"/>
          <w:szCs w:val="28"/>
        </w:rPr>
        <w:t>月到期合约最后到期日，调至</w:t>
      </w:r>
      <w:r>
        <w:rPr>
          <w:rFonts w:ascii="Times New Roman" w:hAnsi="Times New Roman"/>
          <w:color w:val="2E2E2E"/>
          <w:kern w:val="0"/>
          <w:sz w:val="28"/>
          <w:szCs w:val="28"/>
        </w:rPr>
        <w:t>12</w:t>
      </w:r>
      <w:r>
        <w:rPr>
          <w:rFonts w:hint="eastAsia" w:ascii="Times New Roman" w:hAnsi="Times New Roman"/>
          <w:color w:val="2E2E2E"/>
          <w:kern w:val="0"/>
          <w:sz w:val="28"/>
          <w:szCs w:val="28"/>
        </w:rPr>
        <w:t>月</w:t>
      </w:r>
      <w:r>
        <w:rPr>
          <w:rFonts w:ascii="Times New Roman" w:hAnsi="Times New Roman"/>
          <w:color w:val="2E2E2E"/>
          <w:kern w:val="0"/>
          <w:sz w:val="28"/>
          <w:szCs w:val="28"/>
        </w:rPr>
        <w:t>2</w:t>
      </w:r>
      <w:r>
        <w:rPr>
          <w:rFonts w:hint="eastAsia" w:ascii="Times New Roman" w:hAnsi="Times New Roman"/>
          <w:color w:val="2E2E2E"/>
          <w:kern w:val="0"/>
          <w:sz w:val="28"/>
          <w:szCs w:val="28"/>
        </w:rPr>
        <w:t>日；调整合约标的</w:t>
      </w:r>
      <w:r>
        <w:rPr>
          <w:rFonts w:ascii="Times New Roman" w:hAnsi="Times New Roman"/>
          <w:color w:val="2E2E2E"/>
          <w:kern w:val="0"/>
          <w:sz w:val="28"/>
          <w:szCs w:val="28"/>
        </w:rPr>
        <w:t>159915</w:t>
      </w:r>
      <w:r>
        <w:rPr>
          <w:rFonts w:hint="eastAsia" w:ascii="Times New Roman" w:hAnsi="Times New Roman"/>
          <w:color w:val="2E2E2E"/>
          <w:kern w:val="0"/>
          <w:sz w:val="28"/>
          <w:szCs w:val="28"/>
        </w:rPr>
        <w:t>的</w:t>
      </w:r>
      <w:r>
        <w:rPr>
          <w:rFonts w:ascii="Times New Roman" w:hAnsi="Times New Roman"/>
          <w:color w:val="2E2E2E"/>
          <w:kern w:val="0"/>
          <w:sz w:val="28"/>
          <w:szCs w:val="28"/>
        </w:rPr>
        <w:t>12</w:t>
      </w:r>
      <w:r>
        <w:rPr>
          <w:rFonts w:hint="eastAsia" w:ascii="Times New Roman" w:hAnsi="Times New Roman"/>
          <w:color w:val="2E2E2E"/>
          <w:kern w:val="0"/>
          <w:sz w:val="28"/>
          <w:szCs w:val="28"/>
        </w:rPr>
        <w:t>月到期合约最后到期日，调至</w:t>
      </w:r>
      <w:r>
        <w:rPr>
          <w:rFonts w:ascii="Times New Roman" w:hAnsi="Times New Roman"/>
          <w:color w:val="2E2E2E"/>
          <w:kern w:val="0"/>
          <w:sz w:val="28"/>
          <w:szCs w:val="28"/>
        </w:rPr>
        <w:t>12</w:t>
      </w:r>
      <w:r>
        <w:rPr>
          <w:rFonts w:hint="eastAsia" w:ascii="Times New Roman" w:hAnsi="Times New Roman"/>
          <w:color w:val="2E2E2E"/>
          <w:kern w:val="0"/>
          <w:sz w:val="28"/>
          <w:szCs w:val="28"/>
        </w:rPr>
        <w:t>月</w:t>
      </w:r>
      <w:r>
        <w:rPr>
          <w:rFonts w:ascii="Times New Roman" w:hAnsi="Times New Roman"/>
          <w:color w:val="2E2E2E"/>
          <w:kern w:val="0"/>
          <w:sz w:val="28"/>
          <w:szCs w:val="28"/>
        </w:rPr>
        <w:t>9</w:t>
      </w:r>
      <w:r>
        <w:rPr>
          <w:rFonts w:hint="eastAsia" w:ascii="Times New Roman" w:hAnsi="Times New Roman"/>
          <w:color w:val="2E2E2E"/>
          <w:kern w:val="0"/>
          <w:sz w:val="28"/>
          <w:szCs w:val="28"/>
        </w:rPr>
        <w:t>日：</w:t>
      </w:r>
    </w:p>
    <w:tbl>
      <w:tblPr>
        <w:tblStyle w:val="8"/>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5"/>
        <w:gridCol w:w="2149"/>
        <w:gridCol w:w="2149"/>
        <w:gridCol w:w="21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1" w:hRule="atLeast"/>
          <w:tblHeader/>
          <w:jc w:val="center"/>
        </w:trPr>
        <w:tc>
          <w:tcPr>
            <w:tcW w:w="2075" w:type="dxa"/>
            <w:shd w:val="clear" w:color="auto" w:fill="BEBEBE" w:themeFill="background1" w:themeFillShade="BF"/>
            <w:vAlign w:val="center"/>
          </w:tcPr>
          <w:p>
            <w:pPr>
              <w:spacing w:line="360" w:lineRule="auto"/>
              <w:jc w:val="center"/>
              <w:rPr>
                <w:b/>
                <w:sz w:val="24"/>
              </w:rPr>
            </w:pPr>
            <w:r>
              <w:rPr>
                <w:rFonts w:hint="eastAsia"/>
                <w:b/>
                <w:sz w:val="24"/>
              </w:rPr>
              <w:t>期权类型</w:t>
            </w:r>
          </w:p>
        </w:tc>
        <w:tc>
          <w:tcPr>
            <w:tcW w:w="2149" w:type="dxa"/>
            <w:shd w:val="clear" w:color="auto" w:fill="BEBEBE" w:themeFill="background1" w:themeFillShade="BF"/>
            <w:vAlign w:val="center"/>
          </w:tcPr>
          <w:p>
            <w:pPr>
              <w:spacing w:line="360" w:lineRule="auto"/>
              <w:jc w:val="center"/>
              <w:rPr>
                <w:b/>
                <w:sz w:val="24"/>
              </w:rPr>
            </w:pPr>
            <w:r>
              <w:rPr>
                <w:rFonts w:hint="eastAsia"/>
                <w:b/>
                <w:sz w:val="24"/>
              </w:rPr>
              <w:t>合约标的</w:t>
            </w:r>
          </w:p>
        </w:tc>
        <w:tc>
          <w:tcPr>
            <w:tcW w:w="2149" w:type="dxa"/>
            <w:shd w:val="clear" w:color="auto" w:fill="BEBEBE" w:themeFill="background1" w:themeFillShade="BF"/>
          </w:tcPr>
          <w:p>
            <w:pPr>
              <w:spacing w:line="360" w:lineRule="auto"/>
              <w:jc w:val="center"/>
              <w:rPr>
                <w:b/>
                <w:sz w:val="24"/>
              </w:rPr>
            </w:pPr>
            <w:r>
              <w:rPr>
                <w:rFonts w:hint="eastAsia"/>
                <w:b/>
                <w:sz w:val="24"/>
              </w:rPr>
              <w:t>行权日</w:t>
            </w:r>
          </w:p>
        </w:tc>
        <w:tc>
          <w:tcPr>
            <w:tcW w:w="2149" w:type="dxa"/>
            <w:shd w:val="clear" w:color="auto" w:fill="BEBEBE" w:themeFill="background1" w:themeFillShade="BF"/>
          </w:tcPr>
          <w:p>
            <w:pPr>
              <w:spacing w:line="360" w:lineRule="auto"/>
              <w:jc w:val="center"/>
              <w:rPr>
                <w:b/>
                <w:sz w:val="24"/>
              </w:rPr>
            </w:pPr>
            <w:r>
              <w:rPr>
                <w:rFonts w:hint="eastAsia"/>
                <w:b/>
                <w:sz w:val="24"/>
              </w:rPr>
              <w:t>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75" w:type="dxa"/>
            <w:vAlign w:val="center"/>
          </w:tcPr>
          <w:p>
            <w:pPr>
              <w:spacing w:line="360" w:lineRule="auto"/>
              <w:jc w:val="center"/>
              <w:rPr>
                <w:sz w:val="24"/>
              </w:rPr>
            </w:pPr>
            <w:r>
              <w:rPr>
                <w:sz w:val="24"/>
              </w:rPr>
              <w:t>ETF</w:t>
            </w:r>
            <w:r>
              <w:rPr>
                <w:rFonts w:hint="eastAsia"/>
                <w:sz w:val="24"/>
              </w:rPr>
              <w:t>期权</w:t>
            </w:r>
          </w:p>
        </w:tc>
        <w:tc>
          <w:tcPr>
            <w:tcW w:w="2149" w:type="dxa"/>
            <w:vAlign w:val="center"/>
          </w:tcPr>
          <w:p>
            <w:pPr>
              <w:spacing w:line="360" w:lineRule="auto"/>
              <w:jc w:val="center"/>
              <w:rPr>
                <w:sz w:val="24"/>
              </w:rPr>
            </w:pPr>
            <w:r>
              <w:rPr>
                <w:sz w:val="24"/>
              </w:rPr>
              <w:t>159901</w:t>
            </w:r>
          </w:p>
        </w:tc>
        <w:tc>
          <w:tcPr>
            <w:tcW w:w="2149" w:type="dxa"/>
          </w:tcPr>
          <w:p>
            <w:pPr>
              <w:spacing w:line="360" w:lineRule="auto"/>
              <w:jc w:val="center"/>
              <w:rPr>
                <w:sz w:val="24"/>
              </w:rPr>
            </w:pPr>
            <w:r>
              <w:rPr>
                <w:kern w:val="0"/>
                <w:sz w:val="28"/>
                <w:szCs w:val="28"/>
              </w:rPr>
              <w:t>1</w:t>
            </w:r>
            <w:r>
              <w:rPr>
                <w:rFonts w:hint="eastAsia"/>
                <w:kern w:val="0"/>
                <w:sz w:val="28"/>
                <w:szCs w:val="28"/>
              </w:rPr>
              <w:t>2</w:t>
            </w:r>
            <w:r>
              <w:rPr>
                <w:kern w:val="0"/>
                <w:sz w:val="28"/>
                <w:szCs w:val="28"/>
              </w:rPr>
              <w:t>月2日</w:t>
            </w:r>
          </w:p>
        </w:tc>
        <w:tc>
          <w:tcPr>
            <w:tcW w:w="2149" w:type="dxa"/>
          </w:tcPr>
          <w:p>
            <w:pPr>
              <w:spacing w:line="360" w:lineRule="auto"/>
              <w:jc w:val="center"/>
              <w:rPr>
                <w:sz w:val="24"/>
              </w:rPr>
            </w:pPr>
            <w:r>
              <w:rPr>
                <w:kern w:val="0"/>
                <w:sz w:val="28"/>
                <w:szCs w:val="28"/>
              </w:rPr>
              <w:t>1</w:t>
            </w:r>
            <w:r>
              <w:rPr>
                <w:rFonts w:hint="eastAsia"/>
                <w:kern w:val="0"/>
                <w:sz w:val="28"/>
                <w:szCs w:val="28"/>
              </w:rPr>
              <w:t>2</w:t>
            </w:r>
            <w:r>
              <w:rPr>
                <w:kern w:val="0"/>
                <w:sz w:val="28"/>
                <w:szCs w:val="28"/>
              </w:rPr>
              <w:t>月3日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75" w:type="dxa"/>
            <w:vAlign w:val="center"/>
          </w:tcPr>
          <w:p>
            <w:pPr>
              <w:jc w:val="center"/>
              <w:rPr>
                <w:sz w:val="24"/>
              </w:rPr>
            </w:pPr>
            <w:r>
              <w:rPr>
                <w:sz w:val="24"/>
              </w:rPr>
              <w:t>ETF</w:t>
            </w:r>
            <w:r>
              <w:rPr>
                <w:rFonts w:hint="eastAsia"/>
                <w:sz w:val="24"/>
              </w:rPr>
              <w:t>期权</w:t>
            </w:r>
          </w:p>
        </w:tc>
        <w:tc>
          <w:tcPr>
            <w:tcW w:w="2149" w:type="dxa"/>
            <w:vAlign w:val="center"/>
          </w:tcPr>
          <w:p>
            <w:pPr>
              <w:spacing w:line="360" w:lineRule="auto"/>
              <w:jc w:val="center"/>
              <w:rPr>
                <w:sz w:val="24"/>
              </w:rPr>
            </w:pPr>
            <w:r>
              <w:rPr>
                <w:sz w:val="24"/>
              </w:rPr>
              <w:t>159915</w:t>
            </w:r>
          </w:p>
        </w:tc>
        <w:tc>
          <w:tcPr>
            <w:tcW w:w="2149" w:type="dxa"/>
          </w:tcPr>
          <w:p>
            <w:pPr>
              <w:spacing w:line="360" w:lineRule="auto"/>
              <w:jc w:val="center"/>
              <w:rPr>
                <w:sz w:val="24"/>
              </w:rPr>
            </w:pPr>
            <w:r>
              <w:rPr>
                <w:kern w:val="0"/>
                <w:sz w:val="28"/>
                <w:szCs w:val="28"/>
              </w:rPr>
              <w:t>1</w:t>
            </w:r>
            <w:r>
              <w:rPr>
                <w:rFonts w:hint="eastAsia"/>
                <w:kern w:val="0"/>
                <w:sz w:val="28"/>
                <w:szCs w:val="28"/>
              </w:rPr>
              <w:t>2</w:t>
            </w:r>
            <w:r>
              <w:rPr>
                <w:kern w:val="0"/>
                <w:sz w:val="28"/>
                <w:szCs w:val="28"/>
              </w:rPr>
              <w:t>月</w:t>
            </w:r>
            <w:r>
              <w:rPr>
                <w:rFonts w:hint="eastAsia"/>
                <w:kern w:val="0"/>
                <w:sz w:val="28"/>
                <w:szCs w:val="28"/>
              </w:rPr>
              <w:t>9</w:t>
            </w:r>
            <w:r>
              <w:rPr>
                <w:kern w:val="0"/>
                <w:sz w:val="28"/>
                <w:szCs w:val="28"/>
              </w:rPr>
              <w:t>日</w:t>
            </w:r>
          </w:p>
        </w:tc>
        <w:tc>
          <w:tcPr>
            <w:tcW w:w="2149" w:type="dxa"/>
          </w:tcPr>
          <w:p>
            <w:pPr>
              <w:spacing w:line="360" w:lineRule="auto"/>
              <w:jc w:val="center"/>
              <w:rPr>
                <w:sz w:val="24"/>
              </w:rPr>
            </w:pPr>
            <w:r>
              <w:rPr>
                <w:kern w:val="0"/>
                <w:sz w:val="28"/>
                <w:szCs w:val="28"/>
              </w:rPr>
              <w:t>1</w:t>
            </w:r>
            <w:r>
              <w:rPr>
                <w:rFonts w:hint="eastAsia"/>
                <w:kern w:val="0"/>
                <w:sz w:val="28"/>
                <w:szCs w:val="28"/>
              </w:rPr>
              <w:t>2</w:t>
            </w:r>
            <w:r>
              <w:rPr>
                <w:kern w:val="0"/>
                <w:sz w:val="28"/>
                <w:szCs w:val="28"/>
              </w:rPr>
              <w:t>月</w:t>
            </w:r>
            <w:r>
              <w:rPr>
                <w:rFonts w:hint="eastAsia"/>
                <w:kern w:val="0"/>
                <w:sz w:val="28"/>
                <w:szCs w:val="28"/>
              </w:rPr>
              <w:t>10</w:t>
            </w:r>
            <w:r>
              <w:rPr>
                <w:kern w:val="0"/>
                <w:sz w:val="28"/>
                <w:szCs w:val="28"/>
              </w:rPr>
              <w:t>日</w:t>
            </w:r>
          </w:p>
        </w:tc>
      </w:tr>
    </w:tbl>
    <w:p>
      <w:pPr>
        <w:tabs>
          <w:tab w:val="left" w:pos="420"/>
        </w:tabs>
        <w:rPr>
          <w:rFonts w:eastAsiaTheme="minorEastAsia"/>
          <w:sz w:val="28"/>
          <w:szCs w:val="28"/>
        </w:rPr>
      </w:pPr>
    </w:p>
    <w:p>
      <w:pPr>
        <w:numPr>
          <w:ilvl w:val="0"/>
          <w:numId w:val="2"/>
        </w:numPr>
        <w:rPr>
          <w:color w:val="2E2E2E"/>
          <w:kern w:val="0"/>
          <w:sz w:val="28"/>
          <w:szCs w:val="28"/>
        </w:rPr>
      </w:pPr>
      <w:r>
        <w:rPr>
          <w:b/>
          <w:sz w:val="28"/>
          <w:szCs w:val="28"/>
        </w:rPr>
        <w:t>深市交易结算独立测试环境</w:t>
      </w:r>
      <w:r>
        <w:rPr>
          <w:rFonts w:hint="eastAsia"/>
          <w:b/>
          <w:sz w:val="28"/>
          <w:szCs w:val="28"/>
        </w:rPr>
        <w:t>接入方式</w:t>
      </w:r>
    </w:p>
    <w:p>
      <w:pPr>
        <w:widowControl/>
        <w:spacing w:line="360" w:lineRule="atLeast"/>
        <w:ind w:firstLine="560" w:firstLineChars="200"/>
        <w:jc w:val="left"/>
        <w:rPr>
          <w:kern w:val="0"/>
          <w:sz w:val="28"/>
          <w:szCs w:val="28"/>
        </w:rPr>
      </w:pPr>
      <w:r>
        <w:rPr>
          <w:kern w:val="0"/>
          <w:sz w:val="28"/>
          <w:szCs w:val="28"/>
        </w:rPr>
        <w:t>1</w:t>
      </w:r>
      <w:r>
        <w:rPr>
          <w:rFonts w:hint="eastAsia"/>
          <w:kern w:val="0"/>
          <w:sz w:val="28"/>
          <w:szCs w:val="28"/>
        </w:rPr>
        <w:t>．</w:t>
      </w:r>
      <w:r>
        <w:rPr>
          <w:color w:val="2E2E2E"/>
          <w:kern w:val="0"/>
          <w:sz w:val="28"/>
          <w:szCs w:val="28"/>
        </w:rPr>
        <w:t>测试参与人可使用测试专线或者互联网VPN接入深市交易结算独立测试环境。具体可参考《深交所交易结算独立测试环境指南</w:t>
      </w:r>
      <w:r>
        <w:rPr>
          <w:color w:val="000000"/>
          <w:sz w:val="28"/>
          <w:szCs w:val="28"/>
        </w:rPr>
        <w:t>（含期权全真测试环境）</w:t>
      </w:r>
      <w:r>
        <w:rPr>
          <w:color w:val="2E2E2E"/>
          <w:kern w:val="0"/>
          <w:sz w:val="28"/>
          <w:szCs w:val="28"/>
        </w:rPr>
        <w:t>》</w:t>
      </w:r>
      <w:r>
        <w:rPr>
          <w:rFonts w:hint="eastAsia"/>
          <w:kern w:val="0"/>
          <w:sz w:val="28"/>
          <w:szCs w:val="28"/>
        </w:rPr>
        <w:t>（请参见深交所网站</w:t>
      </w:r>
      <w:r>
        <w:rPr>
          <w:kern w:val="0"/>
          <w:sz w:val="28"/>
          <w:szCs w:val="28"/>
        </w:rPr>
        <w:t>-&gt;</w:t>
      </w:r>
      <w:r>
        <w:rPr>
          <w:rFonts w:hint="eastAsia"/>
          <w:kern w:val="0"/>
          <w:sz w:val="28"/>
          <w:szCs w:val="28"/>
        </w:rPr>
        <w:t>市场服务</w:t>
      </w:r>
      <w:r>
        <w:rPr>
          <w:kern w:val="0"/>
          <w:sz w:val="28"/>
          <w:szCs w:val="28"/>
        </w:rPr>
        <w:t>-&gt;</w:t>
      </w:r>
      <w:r>
        <w:rPr>
          <w:rFonts w:hint="eastAsia"/>
          <w:kern w:val="0"/>
          <w:sz w:val="28"/>
          <w:szCs w:val="28"/>
        </w:rPr>
        <w:t>技术服务</w:t>
      </w:r>
      <w:r>
        <w:rPr>
          <w:kern w:val="0"/>
          <w:sz w:val="28"/>
          <w:szCs w:val="28"/>
        </w:rPr>
        <w:t>-&gt;</w:t>
      </w:r>
      <w:r>
        <w:rPr>
          <w:rFonts w:hint="eastAsia"/>
          <w:kern w:val="0"/>
          <w:sz w:val="28"/>
          <w:szCs w:val="28"/>
        </w:rPr>
        <w:t>交易独立测试</w:t>
      </w:r>
      <w:r>
        <w:fldChar w:fldCharType="begin"/>
      </w:r>
      <w:r>
        <w:instrText xml:space="preserve"> HYPERLINK "http://www.szse.cn/marketServices/technicalservice/test/" </w:instrText>
      </w:r>
      <w:r>
        <w:fldChar w:fldCharType="separate"/>
      </w:r>
      <w:r>
        <w:rPr>
          <w:rStyle w:val="14"/>
          <w:kern w:val="0"/>
          <w:sz w:val="28"/>
          <w:szCs w:val="28"/>
        </w:rPr>
        <w:t>http://www.szse.cn/marketServices/technicalservice/test/</w:t>
      </w:r>
      <w:r>
        <w:rPr>
          <w:rStyle w:val="14"/>
          <w:kern w:val="0"/>
          <w:sz w:val="28"/>
          <w:szCs w:val="28"/>
        </w:rPr>
        <w:fldChar w:fldCharType="end"/>
      </w:r>
      <w:r>
        <w:rPr>
          <w:rFonts w:hint="eastAsia"/>
          <w:kern w:val="0"/>
          <w:sz w:val="28"/>
          <w:szCs w:val="28"/>
        </w:rPr>
        <w:t>，下同）。</w:t>
      </w:r>
    </w:p>
    <w:p>
      <w:pPr>
        <w:widowControl/>
        <w:spacing w:line="360" w:lineRule="atLeast"/>
        <w:ind w:firstLine="560" w:firstLineChars="200"/>
        <w:jc w:val="left"/>
        <w:rPr>
          <w:kern w:val="0"/>
          <w:sz w:val="28"/>
          <w:szCs w:val="28"/>
        </w:rPr>
      </w:pPr>
      <w:r>
        <w:rPr>
          <w:kern w:val="0"/>
          <w:sz w:val="28"/>
          <w:szCs w:val="28"/>
        </w:rPr>
        <w:t>2</w:t>
      </w:r>
      <w:r>
        <w:rPr>
          <w:rFonts w:hint="eastAsia"/>
          <w:kern w:val="0"/>
          <w:sz w:val="28"/>
          <w:szCs w:val="28"/>
        </w:rPr>
        <w:t>．测试前，须确认相关交易单元已申请配置在</w:t>
      </w:r>
      <w:r>
        <w:rPr>
          <w:rFonts w:hint="eastAsia"/>
          <w:sz w:val="28"/>
          <w:szCs w:val="28"/>
        </w:rPr>
        <w:t>深市交易结算独立测试环境</w:t>
      </w:r>
      <w:r>
        <w:rPr>
          <w:rFonts w:hint="eastAsia"/>
          <w:kern w:val="0"/>
          <w:sz w:val="28"/>
          <w:szCs w:val="28"/>
        </w:rPr>
        <w:t>的测试交易网关（与期权全真环境交易网关不同）。</w:t>
      </w:r>
      <w:r>
        <w:rPr>
          <w:rFonts w:hint="eastAsia"/>
          <w:sz w:val="28"/>
          <w:szCs w:val="28"/>
        </w:rPr>
        <w:t>深市交易结算独立测试环境</w:t>
      </w:r>
      <w:r>
        <w:rPr>
          <w:rFonts w:hint="eastAsia"/>
          <w:kern w:val="0"/>
          <w:sz w:val="28"/>
          <w:szCs w:val="28"/>
        </w:rPr>
        <w:t>测试交易网关的新增或变更流程请按照《</w:t>
      </w:r>
      <w:r>
        <w:rPr>
          <w:color w:val="2E2E2E"/>
          <w:kern w:val="0"/>
          <w:sz w:val="28"/>
          <w:szCs w:val="28"/>
        </w:rPr>
        <w:t>深交所交易结算独立测试环境指南（含期权全真测试环境）</w:t>
      </w:r>
      <w:r>
        <w:rPr>
          <w:rFonts w:hint="eastAsia"/>
          <w:kern w:val="0"/>
          <w:sz w:val="28"/>
          <w:szCs w:val="28"/>
        </w:rPr>
        <w:t>》申请。</w:t>
      </w:r>
    </w:p>
    <w:p>
      <w:pPr>
        <w:widowControl/>
        <w:spacing w:line="360" w:lineRule="atLeast"/>
        <w:ind w:firstLine="560" w:firstLineChars="200"/>
        <w:jc w:val="left"/>
        <w:rPr>
          <w:kern w:val="0"/>
          <w:sz w:val="28"/>
          <w:szCs w:val="28"/>
        </w:rPr>
      </w:pPr>
      <w:r>
        <w:rPr>
          <w:kern w:val="0"/>
          <w:sz w:val="28"/>
          <w:szCs w:val="28"/>
        </w:rPr>
        <w:t>3</w:t>
      </w:r>
      <w:r>
        <w:rPr>
          <w:rFonts w:hint="eastAsia"/>
          <w:kern w:val="0"/>
          <w:sz w:val="28"/>
          <w:szCs w:val="28"/>
        </w:rPr>
        <w:t>．</w:t>
      </w:r>
      <w:r>
        <w:rPr>
          <w:color w:val="2E2E2E"/>
          <w:kern w:val="0"/>
          <w:sz w:val="28"/>
          <w:szCs w:val="28"/>
        </w:rPr>
        <w:t>每日测试时间请参照《交易独立测试系统测试时间和服务变更通知》（请参见深交所网站-&gt;市场服务-&gt;技术服务-&gt;交易独立测试）</w:t>
      </w:r>
      <w:r>
        <w:rPr>
          <w:rFonts w:hint="eastAsia"/>
          <w:kern w:val="0"/>
          <w:sz w:val="28"/>
          <w:szCs w:val="28"/>
        </w:rPr>
        <w:t>。</w:t>
      </w:r>
    </w:p>
    <w:p>
      <w:pPr>
        <w:widowControl/>
        <w:spacing w:line="360" w:lineRule="atLeast"/>
        <w:ind w:firstLine="560" w:firstLineChars="200"/>
        <w:jc w:val="left"/>
        <w:rPr>
          <w:kern w:val="0"/>
          <w:sz w:val="28"/>
          <w:szCs w:val="28"/>
        </w:rPr>
      </w:pPr>
    </w:p>
    <w:p>
      <w:pPr>
        <w:numPr>
          <w:ilvl w:val="0"/>
          <w:numId w:val="2"/>
        </w:numPr>
        <w:rPr>
          <w:b/>
          <w:sz w:val="28"/>
          <w:szCs w:val="28"/>
        </w:rPr>
      </w:pPr>
      <w:r>
        <w:rPr>
          <w:rFonts w:hint="eastAsia"/>
          <w:b/>
          <w:sz w:val="28"/>
          <w:szCs w:val="28"/>
        </w:rPr>
        <w:t>中国结算统一账户平台全天候测试环境接入方式</w:t>
      </w:r>
    </w:p>
    <w:p>
      <w:pPr>
        <w:spacing w:line="360" w:lineRule="atLeast"/>
        <w:ind w:firstLine="560" w:firstLineChars="200"/>
        <w:jc w:val="left"/>
        <w:rPr>
          <w:color w:val="2E2E2E"/>
          <w:kern w:val="0"/>
          <w:sz w:val="28"/>
          <w:szCs w:val="28"/>
        </w:rPr>
      </w:pPr>
      <w:r>
        <w:rPr>
          <w:rFonts w:hint="eastAsia"/>
          <w:color w:val="2E2E2E"/>
          <w:kern w:val="0"/>
          <w:sz w:val="28"/>
          <w:szCs w:val="28"/>
        </w:rPr>
        <w:t>统一账户平台仿真测试环境为全天候环境，各机构可参考《中国结算上海分公司全天候测试环境使用手册（</w:t>
      </w:r>
      <w:r>
        <w:rPr>
          <w:color w:val="2E2E2E"/>
          <w:kern w:val="0"/>
          <w:sz w:val="28"/>
          <w:szCs w:val="28"/>
        </w:rPr>
        <w:t>V1.0</w:t>
      </w:r>
      <w:r>
        <w:rPr>
          <w:rFonts w:hint="eastAsia"/>
          <w:color w:val="2E2E2E"/>
          <w:kern w:val="0"/>
          <w:sz w:val="28"/>
          <w:szCs w:val="28"/>
        </w:rPr>
        <w:t>）》接入仿真环境（请参见中国结算网站</w:t>
      </w:r>
      <w:r>
        <w:rPr>
          <w:color w:val="2E2E2E"/>
          <w:kern w:val="0"/>
          <w:sz w:val="28"/>
          <w:szCs w:val="28"/>
        </w:rPr>
        <w:t xml:space="preserve"> &gt; </w:t>
      </w:r>
      <w:r>
        <w:rPr>
          <w:rFonts w:hint="eastAsia"/>
          <w:color w:val="2E2E2E"/>
          <w:kern w:val="0"/>
          <w:sz w:val="28"/>
          <w:szCs w:val="28"/>
        </w:rPr>
        <w:t>服务支持</w:t>
      </w:r>
      <w:r>
        <w:rPr>
          <w:color w:val="2E2E2E"/>
          <w:kern w:val="0"/>
          <w:sz w:val="28"/>
          <w:szCs w:val="28"/>
        </w:rPr>
        <w:t xml:space="preserve"> &gt; </w:t>
      </w:r>
      <w:r>
        <w:rPr>
          <w:rFonts w:hint="eastAsia"/>
          <w:color w:val="2E2E2E"/>
          <w:kern w:val="0"/>
          <w:sz w:val="28"/>
          <w:szCs w:val="28"/>
        </w:rPr>
        <w:t>业务资料</w:t>
      </w:r>
      <w:r>
        <w:rPr>
          <w:color w:val="2E2E2E"/>
          <w:kern w:val="0"/>
          <w:sz w:val="28"/>
          <w:szCs w:val="28"/>
        </w:rPr>
        <w:t xml:space="preserve"> &gt; </w:t>
      </w:r>
      <w:r>
        <w:rPr>
          <w:rFonts w:hint="eastAsia"/>
          <w:color w:val="2E2E2E"/>
          <w:kern w:val="0"/>
          <w:sz w:val="28"/>
          <w:szCs w:val="28"/>
        </w:rPr>
        <w:t>测试资料</w:t>
      </w:r>
      <w:r>
        <w:fldChar w:fldCharType="begin"/>
      </w:r>
      <w:r>
        <w:instrText xml:space="preserve"> HYPERLINK "http://www.chinaclear.cn/zdjs/editor_file/20180928152314497.pdf" </w:instrText>
      </w:r>
      <w:r>
        <w:fldChar w:fldCharType="separate"/>
      </w:r>
      <w:r>
        <w:rPr>
          <w:rStyle w:val="14"/>
          <w:kern w:val="0"/>
          <w:sz w:val="28"/>
          <w:szCs w:val="28"/>
        </w:rPr>
        <w:t>http://www.chinaclear.cn/zdjs/editor_file/20190928152314497.pdf</w:t>
      </w:r>
      <w:r>
        <w:rPr>
          <w:rStyle w:val="14"/>
          <w:kern w:val="0"/>
          <w:sz w:val="28"/>
          <w:szCs w:val="28"/>
        </w:rPr>
        <w:fldChar w:fldCharType="end"/>
      </w:r>
      <w:r>
        <w:rPr>
          <w:rFonts w:hint="eastAsia"/>
          <w:color w:val="2E2E2E"/>
          <w:kern w:val="0"/>
          <w:sz w:val="28"/>
          <w:szCs w:val="28"/>
        </w:rPr>
        <w:t>）。</w:t>
      </w:r>
    </w:p>
    <w:p>
      <w:pPr>
        <w:spacing w:line="360" w:lineRule="atLeast"/>
        <w:jc w:val="left"/>
        <w:rPr>
          <w:color w:val="2E2E2E"/>
          <w:kern w:val="0"/>
          <w:sz w:val="28"/>
          <w:szCs w:val="28"/>
        </w:rPr>
      </w:pPr>
    </w:p>
    <w:p>
      <w:pPr>
        <w:numPr>
          <w:ilvl w:val="0"/>
          <w:numId w:val="2"/>
        </w:numPr>
        <w:rPr>
          <w:b/>
          <w:sz w:val="28"/>
          <w:szCs w:val="28"/>
        </w:rPr>
      </w:pPr>
      <w:r>
        <w:rPr>
          <w:rFonts w:hint="eastAsia"/>
          <w:b/>
          <w:sz w:val="28"/>
          <w:szCs w:val="28"/>
        </w:rPr>
        <w:t>测试要求及注意事项</w:t>
      </w:r>
    </w:p>
    <w:p>
      <w:pPr>
        <w:widowControl/>
        <w:spacing w:line="360" w:lineRule="atLeast"/>
        <w:ind w:firstLine="560" w:firstLineChars="200"/>
        <w:jc w:val="left"/>
        <w:rPr>
          <w:color w:val="2E2E2E"/>
          <w:kern w:val="0"/>
          <w:sz w:val="28"/>
          <w:szCs w:val="28"/>
        </w:rPr>
      </w:pPr>
      <w:r>
        <w:rPr>
          <w:color w:val="2E2E2E"/>
          <w:kern w:val="0"/>
          <w:sz w:val="28"/>
          <w:szCs w:val="28"/>
        </w:rPr>
        <w:t>1</w:t>
      </w:r>
      <w:r>
        <w:rPr>
          <w:rFonts w:hint="eastAsia"/>
          <w:color w:val="2E2E2E"/>
          <w:kern w:val="0"/>
          <w:sz w:val="28"/>
          <w:szCs w:val="28"/>
        </w:rPr>
        <w:t>．各参测单位应以独立于生产系统的测试环境开展仿真测试，应做好详尽的系统测试计划，指定专人负责本次仿真测试工作，并于开始测试前做好测试环境的准备。</w:t>
      </w:r>
    </w:p>
    <w:p>
      <w:pPr>
        <w:widowControl/>
        <w:spacing w:line="360" w:lineRule="atLeast"/>
        <w:ind w:firstLine="560" w:firstLineChars="200"/>
        <w:jc w:val="left"/>
        <w:rPr>
          <w:color w:val="2E2E2E"/>
          <w:kern w:val="0"/>
          <w:sz w:val="28"/>
          <w:szCs w:val="28"/>
        </w:rPr>
      </w:pPr>
      <w:r>
        <w:rPr>
          <w:color w:val="2E2E2E"/>
          <w:kern w:val="0"/>
          <w:sz w:val="28"/>
          <w:szCs w:val="28"/>
        </w:rPr>
        <w:t>2</w:t>
      </w:r>
      <w:r>
        <w:rPr>
          <w:rFonts w:hint="eastAsia"/>
          <w:color w:val="2E2E2E"/>
          <w:kern w:val="0"/>
          <w:sz w:val="28"/>
          <w:szCs w:val="28"/>
        </w:rPr>
        <w:t>．各参测单位应于测试过程中详细记录测试现象与结果，检查其正确性，如果测试过程中发现跟预期不一致的现象，请及时报告。</w:t>
      </w:r>
    </w:p>
    <w:p>
      <w:pPr>
        <w:widowControl/>
        <w:spacing w:line="360" w:lineRule="atLeast"/>
        <w:ind w:firstLine="560" w:firstLineChars="200"/>
        <w:jc w:val="left"/>
        <w:rPr>
          <w:color w:val="2E2E2E"/>
          <w:kern w:val="0"/>
          <w:sz w:val="28"/>
          <w:szCs w:val="28"/>
        </w:rPr>
      </w:pPr>
      <w:r>
        <w:rPr>
          <w:color w:val="2E2E2E"/>
          <w:kern w:val="0"/>
          <w:sz w:val="28"/>
          <w:szCs w:val="28"/>
        </w:rPr>
        <w:t>3</w:t>
      </w:r>
      <w:r>
        <w:rPr>
          <w:rFonts w:hint="eastAsia"/>
          <w:color w:val="2E2E2E"/>
          <w:kern w:val="0"/>
          <w:sz w:val="28"/>
          <w:szCs w:val="28"/>
        </w:rPr>
        <w:t>．各参测单位应在12月4日、12月11日、12月15日的18:00</w:t>
      </w:r>
      <w:r>
        <w:rPr>
          <w:color w:val="2E2E2E"/>
          <w:kern w:val="0"/>
          <w:sz w:val="28"/>
          <w:szCs w:val="28"/>
        </w:rPr>
        <w:t>之前登录深交所“会员业务专区”首页底部“友情链接―在线调查表”栏目填写并提交测试反馈表（参见附件2，内容支持更新）。请行情服务商、结算参与人、托管行、软件开发商等无法登录会员业务专区的参测单位在</w:t>
      </w:r>
      <w:r>
        <w:rPr>
          <w:rFonts w:hint="eastAsia"/>
          <w:color w:val="2E2E2E"/>
          <w:kern w:val="0"/>
          <w:sz w:val="28"/>
          <w:szCs w:val="28"/>
        </w:rPr>
        <w:t>12月4日、12月11日、12月15日的</w:t>
      </w:r>
      <w:r>
        <w:rPr>
          <w:color w:val="2E2E2E"/>
          <w:kern w:val="0"/>
          <w:sz w:val="28"/>
          <w:szCs w:val="28"/>
        </w:rPr>
        <w:t>18:00之前通过互联网地址https://survey.szse.cn/v/tech填写测试反馈表（见附件2，内容不支持更新，多次提交以最后一次为准）</w:t>
      </w:r>
      <w:r>
        <w:rPr>
          <w:rFonts w:hint="eastAsia"/>
          <w:color w:val="2E2E2E"/>
          <w:kern w:val="0"/>
          <w:sz w:val="28"/>
          <w:szCs w:val="28"/>
        </w:rPr>
        <w:t>。</w:t>
      </w:r>
    </w:p>
    <w:p>
      <w:pPr>
        <w:widowControl/>
        <w:spacing w:line="360" w:lineRule="atLeast"/>
        <w:ind w:firstLine="560" w:firstLineChars="200"/>
        <w:jc w:val="left"/>
        <w:rPr>
          <w:color w:val="2E2E2E"/>
          <w:kern w:val="0"/>
          <w:sz w:val="28"/>
          <w:szCs w:val="28"/>
        </w:rPr>
      </w:pPr>
      <w:r>
        <w:rPr>
          <w:color w:val="2E2E2E"/>
          <w:kern w:val="0"/>
          <w:sz w:val="28"/>
          <w:szCs w:val="28"/>
        </w:rPr>
        <w:t>4</w:t>
      </w:r>
      <w:r>
        <w:rPr>
          <w:rFonts w:hint="eastAsia"/>
          <w:color w:val="2E2E2E"/>
          <w:kern w:val="0"/>
          <w:sz w:val="28"/>
          <w:szCs w:val="28"/>
        </w:rPr>
        <w:t>．</w:t>
      </w:r>
      <w:r>
        <w:rPr>
          <w:color w:val="2E2E2E"/>
          <w:kern w:val="0"/>
          <w:sz w:val="28"/>
          <w:szCs w:val="28"/>
        </w:rPr>
        <w:t>测试过程中，各参测单位如发现任何问题，可通过相关QQ群、电话或邮箱联系</w:t>
      </w:r>
      <w:r>
        <w:rPr>
          <w:rFonts w:hint="eastAsia"/>
          <w:color w:val="2E2E2E"/>
          <w:kern w:val="0"/>
          <w:sz w:val="28"/>
          <w:szCs w:val="28"/>
        </w:rPr>
        <w:t>。</w:t>
      </w:r>
    </w:p>
    <w:p>
      <w:pPr>
        <w:widowControl/>
        <w:spacing w:line="360" w:lineRule="atLeast"/>
        <w:ind w:firstLine="560" w:firstLineChars="200"/>
        <w:jc w:val="left"/>
        <w:rPr>
          <w:sz w:val="28"/>
        </w:rPr>
      </w:pPr>
      <w:r>
        <w:rPr>
          <w:rFonts w:hint="eastAsia"/>
          <w:color w:val="2E2E2E"/>
          <w:kern w:val="0"/>
          <w:sz w:val="28"/>
          <w:szCs w:val="28"/>
        </w:rPr>
        <w:t xml:space="preserve">5. </w:t>
      </w:r>
      <w:r>
        <w:rPr>
          <w:rFonts w:hint="eastAsia"/>
          <w:kern w:val="0"/>
          <w:sz w:val="28"/>
          <w:szCs w:val="28"/>
        </w:rPr>
        <w:t>参测单位需从中国结算官网下载安装最新版本</w:t>
      </w:r>
      <w:r>
        <w:rPr>
          <w:kern w:val="0"/>
          <w:sz w:val="28"/>
          <w:szCs w:val="28"/>
        </w:rPr>
        <w:t>D-COM</w:t>
      </w:r>
      <w:r>
        <w:rPr>
          <w:rFonts w:hint="eastAsia"/>
          <w:kern w:val="0"/>
          <w:sz w:val="28"/>
          <w:szCs w:val="28"/>
        </w:rPr>
        <w:t>网关和终端（版本号</w:t>
      </w:r>
      <w:r>
        <w:rPr>
          <w:kern w:val="0"/>
          <w:sz w:val="28"/>
          <w:szCs w:val="28"/>
        </w:rPr>
        <w:t>20200520</w:t>
      </w:r>
      <w:r>
        <w:rPr>
          <w:rFonts w:hint="eastAsia"/>
          <w:kern w:val="0"/>
          <w:sz w:val="28"/>
          <w:szCs w:val="28"/>
        </w:rPr>
        <w:t>或更新）。使用</w:t>
      </w:r>
      <w:r>
        <w:rPr>
          <w:kern w:val="0"/>
          <w:sz w:val="28"/>
          <w:szCs w:val="28"/>
        </w:rPr>
        <w:t>D-COM</w:t>
      </w:r>
      <w:r>
        <w:rPr>
          <w:rFonts w:hint="eastAsia"/>
          <w:kern w:val="0"/>
          <w:sz w:val="28"/>
          <w:szCs w:val="28"/>
        </w:rPr>
        <w:t>业务终端申报“</w:t>
      </w:r>
      <w:r>
        <w:rPr>
          <w:kern w:val="0"/>
          <w:sz w:val="28"/>
          <w:szCs w:val="28"/>
        </w:rPr>
        <w:t>QFII</w:t>
      </w:r>
      <w:r>
        <w:rPr>
          <w:rFonts w:hint="eastAsia"/>
          <w:kern w:val="0"/>
          <w:sz w:val="28"/>
          <w:szCs w:val="28"/>
        </w:rPr>
        <w:t>、</w:t>
      </w:r>
      <w:r>
        <w:rPr>
          <w:kern w:val="0"/>
          <w:sz w:val="28"/>
          <w:szCs w:val="28"/>
        </w:rPr>
        <w:t>RQFII</w:t>
      </w:r>
      <w:r>
        <w:rPr>
          <w:rFonts w:hint="eastAsia"/>
          <w:kern w:val="0"/>
          <w:sz w:val="28"/>
          <w:szCs w:val="28"/>
        </w:rPr>
        <w:t>同名划转”业务前，需要先使用</w:t>
      </w:r>
      <w:r>
        <w:rPr>
          <w:kern w:val="0"/>
          <w:sz w:val="28"/>
          <w:szCs w:val="28"/>
        </w:rPr>
        <w:t>admin</w:t>
      </w:r>
      <w:r>
        <w:rPr>
          <w:rFonts w:hint="eastAsia"/>
          <w:kern w:val="0"/>
          <w:sz w:val="28"/>
          <w:szCs w:val="28"/>
        </w:rPr>
        <w:t>对组长授权“非交易过户”模块（在“登记存管”栏目下）。</w:t>
      </w:r>
    </w:p>
    <w:p>
      <w:pPr>
        <w:numPr>
          <w:ilvl w:val="0"/>
          <w:numId w:val="2"/>
        </w:numPr>
        <w:rPr>
          <w:b/>
          <w:sz w:val="28"/>
          <w:szCs w:val="28"/>
        </w:rPr>
      </w:pPr>
      <w:r>
        <w:rPr>
          <w:rFonts w:hint="eastAsia"/>
          <w:b/>
          <w:sz w:val="28"/>
          <w:szCs w:val="28"/>
        </w:rPr>
        <w:t>联系电话</w:t>
      </w:r>
    </w:p>
    <w:p>
      <w:pPr>
        <w:widowControl/>
        <w:spacing w:line="360" w:lineRule="atLeast"/>
        <w:ind w:firstLine="560" w:firstLineChars="200"/>
        <w:jc w:val="left"/>
        <w:rPr>
          <w:color w:val="2E2E2E"/>
          <w:kern w:val="0"/>
          <w:sz w:val="28"/>
          <w:szCs w:val="28"/>
        </w:rPr>
      </w:pPr>
      <w:r>
        <w:rPr>
          <w:rFonts w:hint="eastAsia"/>
          <w:color w:val="2E2E2E"/>
          <w:kern w:val="0"/>
          <w:sz w:val="28"/>
          <w:szCs w:val="28"/>
        </w:rPr>
        <w:t>业务咨询电话：</w:t>
      </w:r>
    </w:p>
    <w:p>
      <w:pPr>
        <w:widowControl/>
        <w:spacing w:line="360" w:lineRule="atLeast"/>
        <w:ind w:firstLine="1680" w:firstLineChars="600"/>
        <w:jc w:val="left"/>
        <w:rPr>
          <w:color w:val="2E2E2E"/>
          <w:kern w:val="0"/>
          <w:sz w:val="28"/>
          <w:szCs w:val="28"/>
        </w:rPr>
      </w:pPr>
      <w:r>
        <w:rPr>
          <w:kern w:val="0"/>
          <w:sz w:val="28"/>
          <w:szCs w:val="28"/>
        </w:rPr>
        <w:t>0755-88668942</w:t>
      </w:r>
      <w:r>
        <w:rPr>
          <w:rFonts w:hint="eastAsia"/>
          <w:color w:val="2E2E2E"/>
          <w:kern w:val="0"/>
          <w:sz w:val="28"/>
          <w:szCs w:val="28"/>
        </w:rPr>
        <w:t>（深交所）</w:t>
      </w:r>
    </w:p>
    <w:p>
      <w:pPr>
        <w:widowControl/>
        <w:spacing w:line="360" w:lineRule="atLeast"/>
        <w:ind w:firstLine="1680" w:firstLineChars="600"/>
        <w:jc w:val="left"/>
        <w:rPr>
          <w:color w:val="2E2E2E"/>
          <w:kern w:val="0"/>
          <w:sz w:val="28"/>
          <w:szCs w:val="28"/>
        </w:rPr>
      </w:pPr>
      <w:r>
        <w:rPr>
          <w:color w:val="2E2E2E"/>
          <w:kern w:val="0"/>
          <w:sz w:val="28"/>
          <w:szCs w:val="28"/>
        </w:rPr>
        <w:t>0755-</w:t>
      </w:r>
      <w:r>
        <w:rPr>
          <w:rFonts w:cs="宋体"/>
          <w:color w:val="2E2E2E"/>
          <w:kern w:val="0"/>
          <w:sz w:val="28"/>
          <w:szCs w:val="28"/>
        </w:rPr>
        <w:t>21899208</w:t>
      </w:r>
      <w:r>
        <w:rPr>
          <w:rFonts w:hint="eastAsia"/>
          <w:color w:val="2E2E2E"/>
          <w:kern w:val="0"/>
          <w:sz w:val="28"/>
          <w:szCs w:val="28"/>
        </w:rPr>
        <w:t>（中国结算深圳分公司）</w:t>
      </w:r>
    </w:p>
    <w:p>
      <w:pPr>
        <w:widowControl/>
        <w:spacing w:line="360" w:lineRule="atLeast"/>
        <w:ind w:firstLine="560" w:firstLineChars="200"/>
        <w:jc w:val="left"/>
        <w:rPr>
          <w:color w:val="2E2E2E"/>
          <w:kern w:val="0"/>
          <w:sz w:val="28"/>
          <w:szCs w:val="28"/>
        </w:rPr>
      </w:pPr>
      <w:r>
        <w:rPr>
          <w:rFonts w:hint="eastAsia"/>
          <w:color w:val="2E2E2E"/>
          <w:kern w:val="0"/>
          <w:sz w:val="28"/>
          <w:szCs w:val="28"/>
        </w:rPr>
        <w:t>技术咨询电话：</w:t>
      </w:r>
    </w:p>
    <w:p>
      <w:pPr>
        <w:widowControl/>
        <w:spacing w:line="360" w:lineRule="atLeast"/>
        <w:ind w:firstLine="1680" w:firstLineChars="600"/>
        <w:jc w:val="left"/>
        <w:rPr>
          <w:color w:val="2E2E2E"/>
          <w:kern w:val="0"/>
          <w:sz w:val="28"/>
          <w:szCs w:val="28"/>
        </w:rPr>
      </w:pPr>
      <w:r>
        <w:rPr>
          <w:kern w:val="0"/>
          <w:sz w:val="28"/>
          <w:szCs w:val="28"/>
        </w:rPr>
        <w:t>0755-88668223</w:t>
      </w:r>
      <w:r>
        <w:rPr>
          <w:rFonts w:hint="eastAsia"/>
          <w:color w:val="2E2E2E"/>
          <w:kern w:val="0"/>
          <w:sz w:val="28"/>
          <w:szCs w:val="28"/>
        </w:rPr>
        <w:t>（深交所）</w:t>
      </w:r>
    </w:p>
    <w:p>
      <w:pPr>
        <w:widowControl/>
        <w:spacing w:line="360" w:lineRule="atLeast"/>
        <w:ind w:firstLine="560" w:firstLineChars="200"/>
        <w:jc w:val="left"/>
        <w:rPr>
          <w:color w:val="2E2E2E"/>
          <w:kern w:val="0"/>
          <w:sz w:val="28"/>
          <w:szCs w:val="28"/>
        </w:rPr>
      </w:pPr>
      <w:r>
        <w:rPr>
          <w:color w:val="2E2E2E"/>
          <w:kern w:val="0"/>
          <w:sz w:val="28"/>
          <w:szCs w:val="28"/>
        </w:rPr>
        <w:tab/>
      </w:r>
      <w:r>
        <w:rPr>
          <w:color w:val="2E2E2E"/>
          <w:kern w:val="0"/>
          <w:sz w:val="28"/>
          <w:szCs w:val="28"/>
        </w:rPr>
        <w:tab/>
      </w:r>
      <w:r>
        <w:rPr>
          <w:color w:val="2E2E2E"/>
          <w:kern w:val="0"/>
          <w:sz w:val="28"/>
          <w:szCs w:val="28"/>
        </w:rPr>
        <w:t xml:space="preserve">      </w:t>
      </w:r>
      <w:r>
        <w:rPr>
          <w:rFonts w:hint="eastAsia"/>
          <w:color w:val="2E2E2E"/>
          <w:kern w:val="0"/>
          <w:sz w:val="28"/>
          <w:szCs w:val="28"/>
        </w:rPr>
        <w:t xml:space="preserve">  </w:t>
      </w:r>
      <w:r>
        <w:rPr>
          <w:color w:val="2E2E2E"/>
          <w:kern w:val="0"/>
          <w:sz w:val="28"/>
          <w:szCs w:val="28"/>
        </w:rPr>
        <w:t>0755-25946080</w:t>
      </w:r>
      <w:r>
        <w:rPr>
          <w:rFonts w:hint="eastAsia"/>
          <w:color w:val="2E2E2E"/>
          <w:kern w:val="0"/>
          <w:sz w:val="28"/>
          <w:szCs w:val="28"/>
        </w:rPr>
        <w:t>、</w:t>
      </w:r>
      <w:r>
        <w:rPr>
          <w:color w:val="2E2E2E"/>
          <w:kern w:val="0"/>
          <w:sz w:val="28"/>
          <w:szCs w:val="28"/>
        </w:rPr>
        <w:t>21899968</w:t>
      </w:r>
      <w:r>
        <w:rPr>
          <w:rFonts w:hint="eastAsia"/>
          <w:color w:val="2E2E2E"/>
          <w:kern w:val="0"/>
          <w:sz w:val="28"/>
          <w:szCs w:val="28"/>
        </w:rPr>
        <w:t>（中国结算深圳分公司）</w:t>
      </w:r>
    </w:p>
    <w:p>
      <w:pPr>
        <w:widowControl/>
        <w:spacing w:line="360" w:lineRule="atLeast"/>
        <w:ind w:firstLine="1680" w:firstLineChars="600"/>
        <w:jc w:val="left"/>
        <w:rPr>
          <w:color w:val="2E2E2E"/>
          <w:kern w:val="0"/>
          <w:sz w:val="28"/>
          <w:szCs w:val="28"/>
        </w:rPr>
      </w:pPr>
      <w:r>
        <w:rPr>
          <w:color w:val="2E2E2E"/>
          <w:kern w:val="0"/>
          <w:sz w:val="28"/>
          <w:szCs w:val="28"/>
        </w:rPr>
        <w:t>0755-83182222</w:t>
      </w:r>
      <w:r>
        <w:rPr>
          <w:rFonts w:hint="eastAsia"/>
          <w:color w:val="2E2E2E"/>
          <w:kern w:val="0"/>
          <w:sz w:val="28"/>
          <w:szCs w:val="28"/>
        </w:rPr>
        <w:t>（深圳证券通信有限公司）</w:t>
      </w:r>
    </w:p>
    <w:p>
      <w:pPr>
        <w:widowControl/>
        <w:spacing w:line="360" w:lineRule="atLeast"/>
        <w:ind w:firstLine="1680" w:firstLineChars="600"/>
        <w:jc w:val="left"/>
        <w:rPr>
          <w:color w:val="2E2E2E"/>
          <w:kern w:val="0"/>
          <w:sz w:val="28"/>
          <w:szCs w:val="28"/>
        </w:rPr>
      </w:pPr>
      <w:r>
        <w:rPr>
          <w:color w:val="2E2E2E"/>
          <w:kern w:val="0"/>
          <w:sz w:val="28"/>
          <w:szCs w:val="28"/>
        </w:rPr>
        <w:t>010-50938662</w:t>
      </w:r>
      <w:r>
        <w:rPr>
          <w:rFonts w:hint="eastAsia"/>
          <w:color w:val="2E2E2E"/>
          <w:kern w:val="0"/>
          <w:sz w:val="28"/>
          <w:szCs w:val="28"/>
        </w:rPr>
        <w:t>（中国结算统一账户平台）</w:t>
      </w:r>
    </w:p>
    <w:p>
      <w:pPr>
        <w:widowControl/>
        <w:spacing w:line="360" w:lineRule="atLeast"/>
        <w:ind w:firstLine="560" w:firstLineChars="200"/>
        <w:jc w:val="left"/>
        <w:rPr>
          <w:color w:val="2E2E2E"/>
          <w:kern w:val="0"/>
          <w:sz w:val="28"/>
          <w:szCs w:val="28"/>
        </w:rPr>
      </w:pPr>
    </w:p>
    <w:p>
      <w:pPr>
        <w:widowControl/>
        <w:spacing w:line="360" w:lineRule="atLeast"/>
        <w:ind w:firstLine="360"/>
        <w:jc w:val="right"/>
        <w:rPr>
          <w:color w:val="2E2E2E"/>
          <w:kern w:val="0"/>
          <w:sz w:val="28"/>
          <w:szCs w:val="28"/>
        </w:rPr>
      </w:pPr>
      <w:r>
        <w:rPr>
          <w:rFonts w:hint="eastAsia"/>
          <w:color w:val="2E2E2E"/>
          <w:kern w:val="0"/>
          <w:sz w:val="28"/>
          <w:szCs w:val="28"/>
        </w:rPr>
        <w:t>深圳证券交易所</w:t>
      </w:r>
    </w:p>
    <w:p>
      <w:pPr>
        <w:widowControl/>
        <w:spacing w:line="360" w:lineRule="atLeast"/>
        <w:ind w:firstLine="360"/>
        <w:jc w:val="right"/>
        <w:rPr>
          <w:color w:val="2E2E2E"/>
          <w:kern w:val="0"/>
          <w:sz w:val="28"/>
          <w:szCs w:val="28"/>
        </w:rPr>
      </w:pPr>
      <w:r>
        <w:rPr>
          <w:rFonts w:hint="eastAsia"/>
          <w:color w:val="2E2E2E"/>
          <w:kern w:val="0"/>
          <w:sz w:val="28"/>
          <w:szCs w:val="28"/>
        </w:rPr>
        <w:t>中国证券登记结算有限责任公司</w:t>
      </w:r>
    </w:p>
    <w:p>
      <w:pPr>
        <w:widowControl/>
        <w:spacing w:line="360" w:lineRule="atLeast"/>
        <w:ind w:firstLine="360"/>
        <w:jc w:val="right"/>
        <w:rPr>
          <w:color w:val="2E2E2E"/>
          <w:kern w:val="0"/>
          <w:sz w:val="28"/>
          <w:szCs w:val="28"/>
        </w:rPr>
      </w:pPr>
      <w:r>
        <w:rPr>
          <w:rFonts w:hint="eastAsia"/>
          <w:color w:val="2E2E2E"/>
          <w:kern w:val="0"/>
          <w:sz w:val="28"/>
          <w:szCs w:val="28"/>
        </w:rPr>
        <w:t>中国证券登记结算有限责任公司深圳分公司</w:t>
      </w:r>
    </w:p>
    <w:p>
      <w:pPr>
        <w:widowControl/>
        <w:spacing w:line="360" w:lineRule="atLeast"/>
        <w:ind w:firstLine="360"/>
        <w:jc w:val="right"/>
        <w:rPr>
          <w:color w:val="2E2E2E"/>
          <w:kern w:val="0"/>
          <w:sz w:val="28"/>
          <w:szCs w:val="28"/>
        </w:rPr>
      </w:pPr>
      <w:r>
        <w:rPr>
          <w:color w:val="2E2E2E"/>
          <w:kern w:val="0"/>
          <w:sz w:val="28"/>
          <w:szCs w:val="28"/>
        </w:rPr>
        <w:t>20</w:t>
      </w:r>
      <w:r>
        <w:rPr>
          <w:rFonts w:hint="eastAsia"/>
          <w:color w:val="2E2E2E"/>
          <w:kern w:val="0"/>
          <w:sz w:val="28"/>
          <w:szCs w:val="28"/>
        </w:rPr>
        <w:t>20年</w:t>
      </w:r>
      <w:r>
        <w:rPr>
          <w:color w:val="2E2E2E"/>
          <w:kern w:val="0"/>
          <w:sz w:val="28"/>
          <w:szCs w:val="28"/>
        </w:rPr>
        <w:t>11月</w:t>
      </w:r>
      <w:r>
        <w:rPr>
          <w:rFonts w:hint="eastAsia"/>
          <w:color w:val="2E2E2E"/>
          <w:kern w:val="0"/>
          <w:sz w:val="28"/>
          <w:szCs w:val="28"/>
        </w:rPr>
        <w:t>24</w:t>
      </w:r>
      <w:r>
        <w:rPr>
          <w:color w:val="2E2E2E"/>
          <w:kern w:val="0"/>
          <w:sz w:val="28"/>
          <w:szCs w:val="28"/>
        </w:rPr>
        <w:t>日</w:t>
      </w:r>
    </w:p>
    <w:p>
      <w:pPr>
        <w:widowControl/>
        <w:spacing w:line="360" w:lineRule="atLeast"/>
        <w:jc w:val="left"/>
        <w:rPr>
          <w:color w:val="2E2E2E"/>
          <w:kern w:val="0"/>
          <w:sz w:val="28"/>
          <w:szCs w:val="28"/>
        </w:rPr>
      </w:pPr>
    </w:p>
    <w:p>
      <w:pPr>
        <w:widowControl/>
        <w:spacing w:line="360" w:lineRule="atLeast"/>
        <w:ind w:firstLine="422" w:firstLineChars="200"/>
        <w:jc w:val="right"/>
        <w:rPr>
          <w:b/>
          <w:color w:val="000000"/>
          <w:sz w:val="28"/>
          <w:szCs w:val="28"/>
        </w:rPr>
      </w:pPr>
      <w:r>
        <w:rPr>
          <w:b/>
          <w:color w:val="000000"/>
          <w:szCs w:val="28"/>
        </w:rPr>
        <w:br w:type="page"/>
      </w:r>
    </w:p>
    <w:p>
      <w:pPr>
        <w:pStyle w:val="3"/>
        <w:spacing w:after="156"/>
        <w:rPr>
          <w:rFonts w:ascii="Times New Roman" w:hAnsi="Times New Roman" w:eastAsia="宋体"/>
          <w:b/>
          <w:color w:val="000000"/>
          <w:szCs w:val="28"/>
        </w:rPr>
      </w:pPr>
      <w:r>
        <w:rPr>
          <w:rFonts w:hint="eastAsia" w:ascii="Times New Roman" w:hAnsi="Times New Roman" w:eastAsia="宋体"/>
          <w:b/>
          <w:color w:val="000000"/>
          <w:szCs w:val="28"/>
        </w:rPr>
        <w:t>附件</w:t>
      </w:r>
      <w:r>
        <w:rPr>
          <w:rFonts w:ascii="Times New Roman" w:hAnsi="Times New Roman" w:eastAsia="宋体"/>
          <w:b/>
          <w:color w:val="000000"/>
          <w:szCs w:val="28"/>
        </w:rPr>
        <w:t>2</w:t>
      </w:r>
      <w:r>
        <w:rPr>
          <w:rFonts w:hint="eastAsia" w:ascii="Times New Roman" w:hAnsi="Times New Roman" w:eastAsia="宋体"/>
          <w:b/>
          <w:color w:val="000000"/>
          <w:szCs w:val="28"/>
        </w:rPr>
        <w:t>：测试反馈表</w:t>
      </w:r>
    </w:p>
    <w:p>
      <w:pPr>
        <w:widowControl/>
        <w:spacing w:line="360" w:lineRule="atLeast"/>
        <w:ind w:left="420" w:hanging="420"/>
        <w:jc w:val="center"/>
        <w:rPr>
          <w:b/>
          <w:color w:val="2E2E2E"/>
          <w:kern w:val="0"/>
          <w:sz w:val="32"/>
          <w:szCs w:val="32"/>
        </w:rPr>
      </w:pPr>
      <w:r>
        <w:rPr>
          <w:rFonts w:hint="eastAsia"/>
          <w:b/>
          <w:color w:val="2E2E2E"/>
          <w:kern w:val="0"/>
          <w:sz w:val="32"/>
          <w:szCs w:val="32"/>
        </w:rPr>
        <w:t>合格境外投资者开展深市业务仿真测试</w:t>
      </w:r>
      <w:r>
        <w:rPr>
          <w:rFonts w:hint="eastAsia"/>
          <w:b/>
          <w:kern w:val="0"/>
          <w:sz w:val="32"/>
          <w:szCs w:val="21"/>
        </w:rPr>
        <w:t>反馈表</w:t>
      </w:r>
    </w:p>
    <w:tbl>
      <w:tblPr>
        <w:tblStyle w:val="8"/>
        <w:tblW w:w="850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2731"/>
        <w:gridCol w:w="1567"/>
        <w:gridCol w:w="20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jc w:val="center"/>
        </w:trPr>
        <w:tc>
          <w:tcPr>
            <w:tcW w:w="2186" w:type="dxa"/>
            <w:tcBorders>
              <w:top w:val="single" w:color="auto" w:sz="4" w:space="0"/>
              <w:left w:val="single" w:color="auto" w:sz="4" w:space="0"/>
              <w:bottom w:val="single" w:color="auto" w:sz="4" w:space="0"/>
              <w:right w:val="single" w:color="auto" w:sz="4" w:space="0"/>
            </w:tcBorders>
          </w:tcPr>
          <w:p>
            <w:pPr>
              <w:jc w:val="center"/>
              <w:rPr>
                <w:rFonts w:ascii="宋体" w:hAnsi="宋体"/>
                <w:szCs w:val="21"/>
              </w:rPr>
            </w:pPr>
            <w:r>
              <w:rPr>
                <w:rFonts w:hint="eastAsia" w:ascii="宋体" w:hAnsi="宋体"/>
                <w:szCs w:val="21"/>
              </w:rPr>
              <w:t>会员代码</w:t>
            </w:r>
          </w:p>
          <w:p>
            <w:pPr>
              <w:jc w:val="center"/>
              <w:rPr>
                <w:rFonts w:ascii="宋体" w:hAnsi="宋体"/>
                <w:szCs w:val="21"/>
              </w:rPr>
            </w:pPr>
            <w:r>
              <w:rPr>
                <w:rFonts w:hint="eastAsia" w:ascii="宋体" w:hAnsi="宋体"/>
                <w:szCs w:val="21"/>
              </w:rPr>
              <w:t>（仅会员填写）</w:t>
            </w:r>
          </w:p>
        </w:tc>
        <w:tc>
          <w:tcPr>
            <w:tcW w:w="2731"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56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szCs w:val="21"/>
              </w:rPr>
            </w:pPr>
            <w:r>
              <w:rPr>
                <w:rFonts w:hint="eastAsia" w:ascii="宋体" w:hAnsi="宋体"/>
                <w:szCs w:val="21"/>
              </w:rPr>
              <w:t>公司名称</w:t>
            </w:r>
          </w:p>
        </w:tc>
        <w:tc>
          <w:tcPr>
            <w:tcW w:w="2016"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jc w:val="center"/>
        </w:trPr>
        <w:tc>
          <w:tcPr>
            <w:tcW w:w="218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szCs w:val="21"/>
              </w:rPr>
            </w:pPr>
            <w:r>
              <w:rPr>
                <w:rFonts w:hint="eastAsia" w:ascii="宋体" w:hAnsi="宋体"/>
                <w:szCs w:val="21"/>
              </w:rPr>
              <w:t>联系人</w:t>
            </w:r>
          </w:p>
        </w:tc>
        <w:tc>
          <w:tcPr>
            <w:tcW w:w="2731"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c>
          <w:tcPr>
            <w:tcW w:w="1567" w:type="dxa"/>
            <w:tcBorders>
              <w:top w:val="single" w:color="auto" w:sz="4" w:space="0"/>
              <w:left w:val="single" w:color="auto" w:sz="4" w:space="0"/>
              <w:bottom w:val="single" w:color="auto" w:sz="4" w:space="0"/>
              <w:right w:val="single" w:color="auto" w:sz="4" w:space="0"/>
            </w:tcBorders>
          </w:tcPr>
          <w:p>
            <w:pPr>
              <w:jc w:val="center"/>
              <w:rPr>
                <w:rFonts w:ascii="宋体" w:hAnsi="宋体"/>
                <w:szCs w:val="21"/>
              </w:rPr>
            </w:pPr>
            <w:r>
              <w:rPr>
                <w:rFonts w:hint="eastAsia" w:ascii="宋体" w:hAnsi="宋体"/>
                <w:szCs w:val="21"/>
              </w:rPr>
              <w:t>联系电话</w:t>
            </w:r>
          </w:p>
          <w:p>
            <w:pPr>
              <w:jc w:val="center"/>
              <w:rPr>
                <w:rFonts w:ascii="宋体" w:hAnsi="宋体"/>
                <w:szCs w:val="21"/>
              </w:rPr>
            </w:pPr>
            <w:r>
              <w:rPr>
                <w:rFonts w:hint="eastAsia" w:ascii="宋体" w:hAnsi="宋体"/>
                <w:szCs w:val="21"/>
              </w:rPr>
              <w:t>(包括手机)</w:t>
            </w:r>
          </w:p>
        </w:tc>
        <w:tc>
          <w:tcPr>
            <w:tcW w:w="2016" w:type="dxa"/>
            <w:tcBorders>
              <w:top w:val="single" w:color="auto" w:sz="4" w:space="0"/>
              <w:left w:val="single" w:color="auto" w:sz="4" w:space="0"/>
              <w:bottom w:val="single" w:color="auto" w:sz="4" w:space="0"/>
              <w:right w:val="single" w:color="auto" w:sz="4" w:space="0"/>
            </w:tcBorders>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186" w:type="dxa"/>
            <w:vAlign w:val="center"/>
          </w:tcPr>
          <w:p>
            <w:pPr>
              <w:jc w:val="center"/>
              <w:rPr>
                <w:rFonts w:ascii="宋体" w:hAnsi="宋体"/>
                <w:szCs w:val="21"/>
              </w:rPr>
            </w:pPr>
            <w:r>
              <w:rPr>
                <w:rFonts w:hint="eastAsia" w:ascii="宋体" w:hAnsi="宋体"/>
                <w:szCs w:val="21"/>
              </w:rPr>
              <w:t>Email地址</w:t>
            </w:r>
          </w:p>
        </w:tc>
        <w:tc>
          <w:tcPr>
            <w:tcW w:w="6314" w:type="dxa"/>
            <w:gridSpan w:val="3"/>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186" w:type="dxa"/>
          </w:tcPr>
          <w:p>
            <w:pPr>
              <w:rPr>
                <w:rFonts w:ascii="宋体" w:hAnsi="宋体"/>
                <w:szCs w:val="21"/>
              </w:rPr>
            </w:pPr>
            <w:r>
              <w:rPr>
                <w:rFonts w:hint="eastAsia" w:ascii="宋体" w:hAnsi="宋体"/>
                <w:szCs w:val="21"/>
              </w:rPr>
              <w:t>本业务涉及系统的软件开发商名称</w:t>
            </w:r>
          </w:p>
        </w:tc>
        <w:tc>
          <w:tcPr>
            <w:tcW w:w="6314" w:type="dxa"/>
            <w:gridSpan w:val="3"/>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186" w:type="dxa"/>
            <w:vAlign w:val="top"/>
          </w:tcPr>
          <w:p>
            <w:pPr>
              <w:rPr>
                <w:rFonts w:hint="eastAsia" w:ascii="宋体" w:hAnsi="宋体"/>
                <w:szCs w:val="21"/>
              </w:rPr>
            </w:pPr>
            <w:r>
              <w:rPr>
                <w:rFonts w:hint="eastAsia" w:ascii="宋体" w:hAnsi="宋体"/>
                <w:szCs w:val="21"/>
              </w:rPr>
              <w:t>是否参加本次测试</w:t>
            </w:r>
          </w:p>
        </w:tc>
        <w:tc>
          <w:tcPr>
            <w:tcW w:w="6314" w:type="dxa"/>
            <w:gridSpan w:val="3"/>
            <w:vAlign w:val="top"/>
          </w:tcPr>
          <w:p>
            <w:pPr>
              <w:rPr>
                <w:rFonts w:hint="eastAsia" w:ascii="宋体" w:hAnsi="宋体"/>
                <w:szCs w:val="21"/>
              </w:rPr>
            </w:pPr>
            <w:r>
              <w:rPr>
                <w:rFonts w:hint="eastAsia" w:ascii="宋体" w:hAnsi="宋体"/>
                <w:szCs w:val="21"/>
              </w:rPr>
              <w:t>◎已参测</w:t>
            </w:r>
          </w:p>
          <w:p>
            <w:pPr>
              <w:rPr>
                <w:rFonts w:hint="eastAsia" w:ascii="宋体" w:hAnsi="宋体"/>
                <w:szCs w:val="21"/>
              </w:rPr>
            </w:pPr>
            <w:r>
              <w:rPr>
                <w:rFonts w:hint="eastAsia" w:ascii="宋体" w:hAnsi="宋体"/>
                <w:szCs w:val="21"/>
              </w:rPr>
              <w:t>◎未参测，未参测理由: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jc w:val="center"/>
        </w:trPr>
        <w:tc>
          <w:tcPr>
            <w:tcW w:w="2186" w:type="dxa"/>
            <w:vAlign w:val="top"/>
          </w:tcPr>
          <w:p>
            <w:pPr>
              <w:rPr>
                <w:rFonts w:hint="eastAsia" w:ascii="宋体" w:hAnsi="宋体"/>
                <w:szCs w:val="21"/>
              </w:rPr>
            </w:pPr>
            <w:r>
              <w:rPr>
                <w:rFonts w:hint="eastAsia" w:ascii="宋体" w:hAnsi="宋体"/>
                <w:szCs w:val="21"/>
              </w:rPr>
              <w:t>技术系统是否已就绪</w:t>
            </w:r>
          </w:p>
        </w:tc>
        <w:tc>
          <w:tcPr>
            <w:tcW w:w="6314" w:type="dxa"/>
            <w:gridSpan w:val="3"/>
            <w:vAlign w:val="top"/>
          </w:tcPr>
          <w:p>
            <w:pPr>
              <w:rPr>
                <w:rFonts w:hint="eastAsia" w:ascii="宋体" w:hAnsi="宋体"/>
                <w:szCs w:val="21"/>
              </w:rPr>
            </w:pPr>
            <w:r>
              <w:rPr>
                <w:rFonts w:hint="eastAsia" w:ascii="宋体" w:hAnsi="宋体"/>
                <w:szCs w:val="21"/>
              </w:rPr>
              <w:t>◎无需改造，已评估对现有系统无影响</w:t>
            </w:r>
          </w:p>
          <w:p>
            <w:pPr>
              <w:rPr>
                <w:rFonts w:hint="eastAsia" w:ascii="宋体" w:hAnsi="宋体"/>
                <w:szCs w:val="21"/>
              </w:rPr>
            </w:pPr>
            <w:r>
              <w:rPr>
                <w:rFonts w:hint="eastAsia" w:ascii="宋体" w:hAnsi="宋体"/>
                <w:szCs w:val="21"/>
              </w:rPr>
              <w:t>◎需要改造且技术系统已就绪</w:t>
            </w:r>
          </w:p>
          <w:p>
            <w:pPr>
              <w:rPr>
                <w:rFonts w:hint="eastAsia" w:ascii="宋体" w:hAnsi="宋体"/>
                <w:szCs w:val="21"/>
              </w:rPr>
            </w:pPr>
            <w:r>
              <w:rPr>
                <w:rFonts w:hint="eastAsia" w:ascii="宋体" w:hAnsi="宋体"/>
                <w:szCs w:val="21"/>
              </w:rPr>
              <w:t>◎需要改造但技术系统暂未就绪，预计就绪时间: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4" w:hRule="atLeast"/>
          <w:jc w:val="center"/>
        </w:trPr>
        <w:tc>
          <w:tcPr>
            <w:tcW w:w="8500" w:type="dxa"/>
            <w:gridSpan w:val="4"/>
            <w:vAlign w:val="center"/>
          </w:tcPr>
          <w:p>
            <w:pPr>
              <w:jc w:val="center"/>
              <w:rPr>
                <w:rFonts w:ascii="宋体" w:hAnsi="宋体"/>
                <w:szCs w:val="21"/>
              </w:rPr>
            </w:pPr>
            <w:r>
              <w:rPr>
                <w:rFonts w:hint="eastAsia" w:ascii="宋体" w:hAnsi="宋体"/>
                <w:szCs w:val="21"/>
              </w:rPr>
              <w:t>请填写以下各功能点测试结果（以下功能点均需在券商结算模式和托管行结算模式下分别进行测试，其中带</w:t>
            </w:r>
            <w:r>
              <w:rPr>
                <w:rFonts w:ascii="宋体" w:hAnsi="宋体"/>
                <w:b/>
                <w:color w:val="FF0000"/>
                <w:szCs w:val="21"/>
              </w:rPr>
              <w:t>*</w:t>
            </w:r>
            <w:r>
              <w:rPr>
                <w:rFonts w:hint="eastAsia" w:ascii="宋体" w:hAnsi="宋体"/>
                <w:szCs w:val="21"/>
              </w:rPr>
              <w:t>号的功能点仅在券商结算模式下进行测试）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center"/>
              <w:rPr>
                <w:rFonts w:ascii="宋体" w:hAnsi="宋体"/>
                <w:szCs w:val="21"/>
              </w:rPr>
            </w:pPr>
            <w:r>
              <w:rPr>
                <w:rFonts w:hint="eastAsia" w:ascii="宋体" w:hAnsi="宋体"/>
                <w:szCs w:val="21"/>
              </w:rPr>
              <w:t>功能点</w:t>
            </w:r>
          </w:p>
        </w:tc>
        <w:tc>
          <w:tcPr>
            <w:tcW w:w="3583" w:type="dxa"/>
            <w:gridSpan w:val="2"/>
            <w:vAlign w:val="center"/>
          </w:tcPr>
          <w:p>
            <w:pPr>
              <w:jc w:val="center"/>
              <w:rPr>
                <w:rFonts w:ascii="宋体" w:hAnsi="宋体"/>
                <w:szCs w:val="21"/>
              </w:rPr>
            </w:pPr>
            <w:r>
              <w:rPr>
                <w:rFonts w:hint="eastAsia" w:ascii="宋体" w:hAnsi="宋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QFII/RQFII账户进行现货（含存托凭证、政府支持债券等）交易业务（含现货集中竞价、协议大宗交易、盘后定价大宗交易、盘后定价交易等业务）的委托申报、成交回报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w:t>
            </w:r>
            <w:bookmarkStart w:id="0" w:name="_GoBack"/>
            <w:bookmarkEnd w:id="0"/>
            <w:r>
              <w:rPr>
                <w:rFonts w:hint="eastAsia" w:ascii="宋体" w:hAnsi="宋体"/>
                <w:szCs w:val="21"/>
              </w:rPr>
              <w:t>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QFII/RQFII账户进行现货（含存托凭证、政府支持债券等）交易业务（含现货集中竞价、协议大宗交易、盘后定价大宗交易、盘后定价交易等业务）股份与资金的清算交收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QFII/RQFII账户进行现货（含存托凭证、政府支持债券等）非交易业务的委托申报及回报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QFII/RQFII账户进行现货（含存托凭证、政府支持债券等）非交易业务股份与资金的清算交收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QFII/RQFII账户进行转融通证券出借业务的委托申报、成交回报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QFII/RQFII账户进行转融通证券出借业务股份与资金的清算交收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QFII/RQFII账户转融通证券归还的申报及结算处理</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b/>
                <w:color w:val="FF0000"/>
                <w:szCs w:val="21"/>
              </w:rPr>
              <w:t xml:space="preserve">* </w:t>
            </w:r>
            <w:r>
              <w:rPr>
                <w:rFonts w:hint="eastAsia" w:ascii="宋体" w:hAnsi="宋体"/>
                <w:szCs w:val="21"/>
              </w:rPr>
              <w:t>QFII/RQFII账户进行融资融券业务的委托申报、成交回报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b/>
                <w:color w:val="FF0000"/>
                <w:szCs w:val="21"/>
              </w:rPr>
              <w:t xml:space="preserve">* </w:t>
            </w:r>
            <w:r>
              <w:rPr>
                <w:rFonts w:hint="eastAsia" w:ascii="宋体" w:hAnsi="宋体"/>
                <w:szCs w:val="21"/>
              </w:rPr>
              <w:t>QFII/RQFII账户进行融资融券业务股份与资金的清算交收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b/>
                <w:color w:val="FF0000"/>
                <w:szCs w:val="21"/>
              </w:rPr>
            </w:pPr>
            <w:r>
              <w:rPr>
                <w:rFonts w:hint="eastAsia" w:ascii="宋体" w:hAnsi="宋体"/>
                <w:szCs w:val="21"/>
              </w:rPr>
              <w:t>D-COM申报担保证券提交及返还，包括委托与撤单</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QFII/RQFII账户进行债券质押式回购、协议回购、三方回购的委托申报、成交回报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QFII/RQFII账户进行债券质押式回购、协议回购、三方回购业务股份与资金的清算交收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b/>
                <w:color w:val="FF0000"/>
                <w:szCs w:val="21"/>
              </w:rPr>
              <w:t>*</w:t>
            </w:r>
            <w:r>
              <w:rPr>
                <w:rFonts w:hint="eastAsia" w:ascii="宋体" w:hAnsi="宋体"/>
                <w:szCs w:val="21"/>
              </w:rPr>
              <w:t xml:space="preserve"> QFII/RQFII账户报盘转托管</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QFII/RQFII账户基金跨系统转托管</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b/>
                <w:color w:val="FF0000"/>
                <w:szCs w:val="21"/>
              </w:rPr>
              <w:t>*</w:t>
            </w:r>
            <w:r>
              <w:rPr>
                <w:rFonts w:hint="eastAsia" w:ascii="宋体" w:hAnsi="宋体"/>
                <w:szCs w:val="21"/>
              </w:rPr>
              <w:t xml:space="preserve"> D-COM限售股转托管，包括委托与撤单</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QFII/RQFII账户证券划转业务的委托申报、撤单及处理</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QFII/RQFII账户进行股票IPO、增发、可转债发行、存托凭证发行、LOF基金发行业务的委托申报、成交回报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QFII/RQFII账户进行股票IPO、增发、可转债发行、存托凭证发行、LOF基金发行业务股份与资金的清算交收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QFII/RQFII账户采用托管行结算模式的，托管行最低结算备付金数据接收及处理</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QFII/RQFII账户进行ETF申赎的委托申报</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QFII/RQFII账户进行ETF申赎及相关结算处理</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QFII/RQFII账户进行股票期权品种交易业务的委托申报、成交回报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QFII/RQFII账户进行股票期权品种交易业务的清算交收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QFII/RQFII账户进行股票期权业务的普通与备兑仓互转、行权、垫券、还券、</w:t>
            </w:r>
            <w:r>
              <w:rPr>
                <w:rFonts w:ascii="宋体" w:hAnsi="宋体"/>
                <w:szCs w:val="21"/>
              </w:rPr>
              <w:t>转处置</w:t>
            </w:r>
            <w:r>
              <w:rPr>
                <w:rFonts w:hint="eastAsia" w:ascii="宋体" w:hAnsi="宋体"/>
                <w:szCs w:val="21"/>
              </w:rPr>
              <w:t>、</w:t>
            </w:r>
            <w:r>
              <w:rPr>
                <w:rFonts w:ascii="宋体" w:hAnsi="宋体"/>
                <w:szCs w:val="21"/>
              </w:rPr>
              <w:t>转处置</w:t>
            </w:r>
            <w:r>
              <w:rPr>
                <w:rFonts w:hint="eastAsia" w:ascii="宋体" w:hAnsi="宋体"/>
                <w:szCs w:val="21"/>
              </w:rPr>
              <w:t>返还、待清偿客户和自营的申报</w:t>
            </w:r>
          </w:p>
        </w:tc>
        <w:tc>
          <w:tcPr>
            <w:tcW w:w="3583" w:type="dxa"/>
            <w:gridSpan w:val="2"/>
            <w:vAlign w:val="center"/>
          </w:tcPr>
          <w:p>
            <w:pPr>
              <w:jc w:val="center"/>
              <w:rPr>
                <w:rFonts w:ascii="宋体" w:hAnsi="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QFII/RQFII账户进行股票期权业务的普通与备兑仓互转、行权、垫券、还券、</w:t>
            </w:r>
            <w:r>
              <w:rPr>
                <w:rFonts w:ascii="宋体" w:hAnsi="宋体"/>
                <w:szCs w:val="21"/>
              </w:rPr>
              <w:t>转处置</w:t>
            </w:r>
            <w:r>
              <w:rPr>
                <w:rFonts w:hint="eastAsia" w:ascii="宋体" w:hAnsi="宋体"/>
                <w:szCs w:val="21"/>
              </w:rPr>
              <w:t>、</w:t>
            </w:r>
            <w:r>
              <w:rPr>
                <w:rFonts w:ascii="宋体" w:hAnsi="宋体"/>
                <w:szCs w:val="21"/>
              </w:rPr>
              <w:t>转处置</w:t>
            </w:r>
            <w:r>
              <w:rPr>
                <w:rFonts w:hint="eastAsia" w:ascii="宋体" w:hAnsi="宋体"/>
                <w:szCs w:val="21"/>
              </w:rPr>
              <w:t>返还、待清偿、待清偿客户和自营、待清偿返还的清算交收</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QFII/RQFII信用账户开立</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4917" w:type="dxa"/>
            <w:gridSpan w:val="2"/>
            <w:vAlign w:val="center"/>
          </w:tcPr>
          <w:p>
            <w:pPr>
              <w:jc w:val="left"/>
              <w:rPr>
                <w:rFonts w:ascii="宋体" w:hAnsi="宋体"/>
                <w:szCs w:val="21"/>
              </w:rPr>
            </w:pPr>
            <w:r>
              <w:rPr>
                <w:rFonts w:hint="eastAsia" w:ascii="宋体" w:hAnsi="宋体"/>
                <w:szCs w:val="21"/>
              </w:rPr>
              <w:t>QFII/RQFII衍生品合约账户开立</w:t>
            </w:r>
          </w:p>
        </w:tc>
        <w:tc>
          <w:tcPr>
            <w:tcW w:w="3583" w:type="dxa"/>
            <w:gridSpan w:val="2"/>
            <w:vAlign w:val="center"/>
          </w:tcPr>
          <w:p>
            <w:pPr>
              <w:jc w:val="center"/>
              <w:rPr>
                <w:rFonts w:ascii="宋体" w:hAnsi="宋体" w:cs="宋体"/>
                <w:szCs w:val="21"/>
              </w:rPr>
            </w:pPr>
            <w:r>
              <w:rPr>
                <w:rFonts w:hint="eastAsia" w:ascii="宋体" w:hAnsi="宋体" w:cs="宋体"/>
                <w:szCs w:val="21"/>
              </w:rPr>
              <w:t>◎</w:t>
            </w:r>
            <w:r>
              <w:rPr>
                <w:rFonts w:hint="eastAsia" w:ascii="宋体" w:hAnsi="宋体"/>
                <w:szCs w:val="21"/>
              </w:rPr>
              <w:t xml:space="preserve">正常 </w:t>
            </w:r>
            <w:r>
              <w:rPr>
                <w:rFonts w:hint="eastAsia" w:ascii="宋体" w:hAnsi="宋体" w:cs="宋体"/>
                <w:szCs w:val="21"/>
              </w:rPr>
              <w:t>◎</w:t>
            </w:r>
            <w:r>
              <w:rPr>
                <w:rFonts w:hint="eastAsia" w:ascii="宋体" w:hAnsi="宋体"/>
                <w:szCs w:val="21"/>
              </w:rPr>
              <w:t xml:space="preserve">异常 </w:t>
            </w:r>
            <w:r>
              <w:rPr>
                <w:rFonts w:hint="eastAsia" w:ascii="宋体" w:hAnsi="宋体" w:cs="宋体"/>
                <w:szCs w:val="21"/>
              </w:rPr>
              <w:t>◎</w:t>
            </w:r>
            <w:r>
              <w:rPr>
                <w:rFonts w:hint="eastAsia" w:ascii="宋体" w:hAnsi="宋体"/>
                <w:szCs w:val="21"/>
              </w:rPr>
              <w:t>未测</w:t>
            </w:r>
            <w:r>
              <w:rPr>
                <w:rFonts w:hint="eastAsia" w:ascii="宋体" w:hAnsi="宋体" w:cs="宋体"/>
                <w:szCs w:val="21"/>
              </w:rPr>
              <w:t>◎</w:t>
            </w:r>
            <w:r>
              <w:rPr>
                <w:rFonts w:hint="eastAsia" w:ascii="宋体" w:hAnsi="宋体"/>
                <w:szCs w:val="21"/>
              </w:rPr>
              <w:t>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5" w:hRule="atLeast"/>
          <w:jc w:val="center"/>
        </w:trPr>
        <w:tc>
          <w:tcPr>
            <w:tcW w:w="8500" w:type="dxa"/>
            <w:gridSpan w:val="4"/>
            <w:vAlign w:val="center"/>
          </w:tcPr>
          <w:p>
            <w:pPr>
              <w:rPr>
                <w:rFonts w:ascii="宋体" w:hAnsi="宋体"/>
                <w:szCs w:val="21"/>
              </w:rPr>
            </w:pPr>
            <w:r>
              <w:rPr>
                <w:rFonts w:hint="eastAsia" w:ascii="宋体" w:hAnsi="宋体"/>
                <w:szCs w:val="21"/>
              </w:rPr>
              <w:t>异常说明：（不超过500汉字）</w:t>
            </w:r>
          </w:p>
          <w:p>
            <w:pPr>
              <w:rPr>
                <w:rFonts w:ascii="宋体" w:hAnsi="宋体"/>
                <w:szCs w:val="21"/>
              </w:rPr>
            </w:pPr>
          </w:p>
          <w:p>
            <w:pPr>
              <w:rPr>
                <w:rFonts w:ascii="宋体" w:hAnsi="宋体"/>
                <w:szCs w:val="21"/>
              </w:rPr>
            </w:pPr>
          </w:p>
          <w:p>
            <w:pPr>
              <w:rPr>
                <w:rFonts w:ascii="宋体" w:hAnsi="宋体"/>
                <w:szCs w:val="21"/>
              </w:rPr>
            </w:pPr>
          </w:p>
          <w:p>
            <w:pPr>
              <w:rPr>
                <w:rFonts w:ascii="宋体" w:hAnsi="宋体"/>
                <w:szCs w:val="21"/>
              </w:rPr>
            </w:pPr>
          </w:p>
          <w:p>
            <w:pPr>
              <w:rPr>
                <w:rFonts w:ascii="宋体" w:hAnsi="宋体"/>
                <w:szCs w:val="21"/>
              </w:rPr>
            </w:pPr>
          </w:p>
          <w:p>
            <w:pPr>
              <w:rPr>
                <w:rFonts w:ascii="宋体" w:hAnsi="宋体"/>
                <w:szCs w:val="21"/>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815A4"/>
    <w:multiLevelType w:val="multilevel"/>
    <w:tmpl w:val="074815A4"/>
    <w:lvl w:ilvl="0" w:tentative="0">
      <w:start w:val="1"/>
      <w:numFmt w:val="decimal"/>
      <w:lvlText w:val="%1）"/>
      <w:lvlJc w:val="left"/>
      <w:pPr>
        <w:ind w:left="1145" w:hanging="720"/>
      </w:pPr>
      <w:rPr>
        <w:rFonts w:hint="default"/>
        <w:color w:val="auto"/>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34EE47C6"/>
    <w:multiLevelType w:val="multilevel"/>
    <w:tmpl w:val="34EE47C6"/>
    <w:lvl w:ilvl="0" w:tentative="0">
      <w:start w:val="1"/>
      <w:numFmt w:val="decimal"/>
      <w:lvlText w:val="%1．"/>
      <w:lvlJc w:val="left"/>
      <w:pPr>
        <w:tabs>
          <w:tab w:val="left" w:pos="840"/>
        </w:tabs>
        <w:ind w:left="0" w:firstLine="420"/>
      </w:pPr>
      <w:rPr>
        <w:rFonts w:ascii="Times New Roman" w:hAnsi="Times New Roman" w:eastAsia="宋体" w:cs="Times New Roman"/>
      </w:rPr>
    </w:lvl>
    <w:lvl w:ilvl="1" w:tentative="0">
      <w:start w:val="1"/>
      <w:numFmt w:val="decimal"/>
      <w:lvlText w:val="（%2）"/>
      <w:lvlJc w:val="left"/>
      <w:pPr>
        <w:ind w:left="1560" w:hanging="720"/>
      </w:pPr>
      <w:rPr>
        <w:rFonts w:hint="default"/>
      </w:rPr>
    </w:lvl>
    <w:lvl w:ilvl="2" w:tentative="0">
      <w:start w:val="1"/>
      <w:numFmt w:val="lowerRoman"/>
      <w:lvlText w:val="%3."/>
      <w:lvlJc w:val="right"/>
      <w:pPr>
        <w:tabs>
          <w:tab w:val="left" w:pos="1680"/>
        </w:tabs>
        <w:ind w:left="1680" w:hanging="420"/>
      </w:pPr>
      <w:rPr>
        <w:rFonts w:hint="eastAsia" w:cs="Times New Roman"/>
      </w:rPr>
    </w:lvl>
    <w:lvl w:ilvl="3" w:tentative="0">
      <w:start w:val="1"/>
      <w:numFmt w:val="decimal"/>
      <w:lvlText w:val="%4."/>
      <w:lvlJc w:val="left"/>
      <w:pPr>
        <w:tabs>
          <w:tab w:val="left" w:pos="2100"/>
        </w:tabs>
        <w:ind w:left="2100" w:hanging="420"/>
      </w:pPr>
      <w:rPr>
        <w:rFonts w:hint="eastAsia" w:cs="Times New Roman"/>
      </w:rPr>
    </w:lvl>
    <w:lvl w:ilvl="4" w:tentative="0">
      <w:start w:val="1"/>
      <w:numFmt w:val="lowerLetter"/>
      <w:lvlText w:val="%5)"/>
      <w:lvlJc w:val="left"/>
      <w:pPr>
        <w:tabs>
          <w:tab w:val="left" w:pos="2520"/>
        </w:tabs>
        <w:ind w:left="2520" w:hanging="420"/>
      </w:pPr>
      <w:rPr>
        <w:rFonts w:hint="eastAsia" w:cs="Times New Roman"/>
      </w:rPr>
    </w:lvl>
    <w:lvl w:ilvl="5" w:tentative="0">
      <w:start w:val="1"/>
      <w:numFmt w:val="lowerRoman"/>
      <w:lvlText w:val="%6."/>
      <w:lvlJc w:val="right"/>
      <w:pPr>
        <w:tabs>
          <w:tab w:val="left" w:pos="2940"/>
        </w:tabs>
        <w:ind w:left="2940" w:hanging="420"/>
      </w:pPr>
      <w:rPr>
        <w:rFonts w:hint="eastAsia" w:cs="Times New Roman"/>
      </w:rPr>
    </w:lvl>
    <w:lvl w:ilvl="6" w:tentative="0">
      <w:start w:val="1"/>
      <w:numFmt w:val="decimal"/>
      <w:lvlText w:val="%7."/>
      <w:lvlJc w:val="left"/>
      <w:pPr>
        <w:tabs>
          <w:tab w:val="left" w:pos="3360"/>
        </w:tabs>
        <w:ind w:left="3360" w:hanging="420"/>
      </w:pPr>
      <w:rPr>
        <w:rFonts w:hint="eastAsia" w:cs="Times New Roman"/>
      </w:rPr>
    </w:lvl>
    <w:lvl w:ilvl="7" w:tentative="0">
      <w:start w:val="1"/>
      <w:numFmt w:val="lowerLetter"/>
      <w:lvlText w:val="%8)"/>
      <w:lvlJc w:val="left"/>
      <w:pPr>
        <w:tabs>
          <w:tab w:val="left" w:pos="3780"/>
        </w:tabs>
        <w:ind w:left="3780" w:hanging="420"/>
      </w:pPr>
      <w:rPr>
        <w:rFonts w:hint="eastAsia" w:cs="Times New Roman"/>
      </w:rPr>
    </w:lvl>
    <w:lvl w:ilvl="8" w:tentative="0">
      <w:start w:val="1"/>
      <w:numFmt w:val="lowerRoman"/>
      <w:lvlText w:val="%9."/>
      <w:lvlJc w:val="right"/>
      <w:pPr>
        <w:tabs>
          <w:tab w:val="left" w:pos="4200"/>
        </w:tabs>
        <w:ind w:left="4200" w:hanging="420"/>
      </w:pPr>
      <w:rPr>
        <w:rFonts w:hint="eastAsia" w:cs="Times New Roman"/>
      </w:rPr>
    </w:lvl>
  </w:abstractNum>
  <w:abstractNum w:abstractNumId="2">
    <w:nsid w:val="3B3473B7"/>
    <w:multiLevelType w:val="multilevel"/>
    <w:tmpl w:val="3B3473B7"/>
    <w:lvl w:ilvl="0" w:tentative="0">
      <w:start w:val="1"/>
      <w:numFmt w:val="decimal"/>
      <w:suff w:val="space"/>
      <w:lvlText w:val="%1."/>
      <w:lvlJc w:val="left"/>
      <w:pPr>
        <w:ind w:left="70" w:firstLine="0"/>
      </w:pPr>
      <w:rPr>
        <w:rFonts w:hint="default" w:ascii="Times New Roman" w:hAnsi="Times New Roman" w:cs="Times New Roman"/>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59D755D2"/>
    <w:multiLevelType w:val="multilevel"/>
    <w:tmpl w:val="59D755D2"/>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6A3253A7"/>
    <w:multiLevelType w:val="multilevel"/>
    <w:tmpl w:val="6A3253A7"/>
    <w:lvl w:ilvl="0" w:tentative="0">
      <w:start w:val="1"/>
      <w:numFmt w:val="japaneseCounting"/>
      <w:lvlText w:val="%1、"/>
      <w:lvlJc w:val="left"/>
      <w:pPr>
        <w:ind w:left="1258" w:hanging="720"/>
      </w:pPr>
      <w:rPr>
        <w:rFonts w:hint="default"/>
      </w:rPr>
    </w:lvl>
    <w:lvl w:ilvl="1" w:tentative="0">
      <w:start w:val="1"/>
      <w:numFmt w:val="lowerLetter"/>
      <w:lvlText w:val="%2)"/>
      <w:lvlJc w:val="left"/>
      <w:pPr>
        <w:ind w:left="1378" w:hanging="420"/>
      </w:pPr>
    </w:lvl>
    <w:lvl w:ilvl="2" w:tentative="0">
      <w:start w:val="1"/>
      <w:numFmt w:val="lowerRoman"/>
      <w:lvlText w:val="%3."/>
      <w:lvlJc w:val="right"/>
      <w:pPr>
        <w:ind w:left="1798" w:hanging="420"/>
      </w:pPr>
    </w:lvl>
    <w:lvl w:ilvl="3" w:tentative="0">
      <w:start w:val="1"/>
      <w:numFmt w:val="decimal"/>
      <w:lvlText w:val="%4."/>
      <w:lvlJc w:val="left"/>
      <w:pPr>
        <w:ind w:left="2218" w:hanging="420"/>
      </w:pPr>
    </w:lvl>
    <w:lvl w:ilvl="4" w:tentative="0">
      <w:start w:val="1"/>
      <w:numFmt w:val="lowerLetter"/>
      <w:lvlText w:val="%5)"/>
      <w:lvlJc w:val="left"/>
      <w:pPr>
        <w:ind w:left="2638" w:hanging="420"/>
      </w:pPr>
    </w:lvl>
    <w:lvl w:ilvl="5" w:tentative="0">
      <w:start w:val="1"/>
      <w:numFmt w:val="lowerRoman"/>
      <w:lvlText w:val="%6."/>
      <w:lvlJc w:val="right"/>
      <w:pPr>
        <w:ind w:left="3058" w:hanging="420"/>
      </w:pPr>
    </w:lvl>
    <w:lvl w:ilvl="6" w:tentative="0">
      <w:start w:val="1"/>
      <w:numFmt w:val="decimal"/>
      <w:lvlText w:val="%7."/>
      <w:lvlJc w:val="left"/>
      <w:pPr>
        <w:ind w:left="3478" w:hanging="420"/>
      </w:pPr>
    </w:lvl>
    <w:lvl w:ilvl="7" w:tentative="0">
      <w:start w:val="1"/>
      <w:numFmt w:val="lowerLetter"/>
      <w:lvlText w:val="%8)"/>
      <w:lvlJc w:val="left"/>
      <w:pPr>
        <w:ind w:left="3898" w:hanging="420"/>
      </w:pPr>
    </w:lvl>
    <w:lvl w:ilvl="8" w:tentative="0">
      <w:start w:val="1"/>
      <w:numFmt w:val="lowerRoman"/>
      <w:lvlText w:val="%9."/>
      <w:lvlJc w:val="right"/>
      <w:pPr>
        <w:ind w:left="4318" w:hanging="42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082"/>
    <w:rsid w:val="00000AF6"/>
    <w:rsid w:val="000019D9"/>
    <w:rsid w:val="00001C21"/>
    <w:rsid w:val="00001FAD"/>
    <w:rsid w:val="00002A78"/>
    <w:rsid w:val="000049BF"/>
    <w:rsid w:val="00005900"/>
    <w:rsid w:val="00005A09"/>
    <w:rsid w:val="00006536"/>
    <w:rsid w:val="000068D3"/>
    <w:rsid w:val="000110AB"/>
    <w:rsid w:val="00013CBC"/>
    <w:rsid w:val="00016831"/>
    <w:rsid w:val="00017EBE"/>
    <w:rsid w:val="000204CE"/>
    <w:rsid w:val="00024925"/>
    <w:rsid w:val="00024ED1"/>
    <w:rsid w:val="00026446"/>
    <w:rsid w:val="00026DA8"/>
    <w:rsid w:val="00027E3F"/>
    <w:rsid w:val="0003182C"/>
    <w:rsid w:val="00033D0E"/>
    <w:rsid w:val="000351BD"/>
    <w:rsid w:val="000362E4"/>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CC2"/>
    <w:rsid w:val="000551E9"/>
    <w:rsid w:val="00055A50"/>
    <w:rsid w:val="00057B3F"/>
    <w:rsid w:val="00057E4C"/>
    <w:rsid w:val="00060C90"/>
    <w:rsid w:val="00061E46"/>
    <w:rsid w:val="0006405D"/>
    <w:rsid w:val="0006537C"/>
    <w:rsid w:val="00065A71"/>
    <w:rsid w:val="00065F34"/>
    <w:rsid w:val="00066654"/>
    <w:rsid w:val="000669B5"/>
    <w:rsid w:val="00072721"/>
    <w:rsid w:val="0007432D"/>
    <w:rsid w:val="000743E1"/>
    <w:rsid w:val="0007448E"/>
    <w:rsid w:val="000745D5"/>
    <w:rsid w:val="00076983"/>
    <w:rsid w:val="00077CDA"/>
    <w:rsid w:val="00077D71"/>
    <w:rsid w:val="00080CE5"/>
    <w:rsid w:val="000858F9"/>
    <w:rsid w:val="000870DB"/>
    <w:rsid w:val="00087C87"/>
    <w:rsid w:val="000902FC"/>
    <w:rsid w:val="000911BC"/>
    <w:rsid w:val="00094044"/>
    <w:rsid w:val="00094FA1"/>
    <w:rsid w:val="00094FF6"/>
    <w:rsid w:val="000A27A8"/>
    <w:rsid w:val="000A2E9F"/>
    <w:rsid w:val="000A3494"/>
    <w:rsid w:val="000A3A67"/>
    <w:rsid w:val="000A3D3E"/>
    <w:rsid w:val="000A53FE"/>
    <w:rsid w:val="000A57F4"/>
    <w:rsid w:val="000A5E4C"/>
    <w:rsid w:val="000A7E92"/>
    <w:rsid w:val="000B14FB"/>
    <w:rsid w:val="000B1E00"/>
    <w:rsid w:val="000B2F92"/>
    <w:rsid w:val="000B30A2"/>
    <w:rsid w:val="000B60F6"/>
    <w:rsid w:val="000B700E"/>
    <w:rsid w:val="000B7ABA"/>
    <w:rsid w:val="000B7B69"/>
    <w:rsid w:val="000C0030"/>
    <w:rsid w:val="000C1FFD"/>
    <w:rsid w:val="000C2A3B"/>
    <w:rsid w:val="000C424E"/>
    <w:rsid w:val="000C4880"/>
    <w:rsid w:val="000C4FBB"/>
    <w:rsid w:val="000C52F3"/>
    <w:rsid w:val="000C5C59"/>
    <w:rsid w:val="000C6259"/>
    <w:rsid w:val="000C64C4"/>
    <w:rsid w:val="000D3A9B"/>
    <w:rsid w:val="000D5349"/>
    <w:rsid w:val="000D5BCC"/>
    <w:rsid w:val="000D5BE3"/>
    <w:rsid w:val="000E0B0E"/>
    <w:rsid w:val="000E0B49"/>
    <w:rsid w:val="000E1BCB"/>
    <w:rsid w:val="000E26F1"/>
    <w:rsid w:val="000E2A97"/>
    <w:rsid w:val="000E4619"/>
    <w:rsid w:val="000F0666"/>
    <w:rsid w:val="000F23F0"/>
    <w:rsid w:val="000F2946"/>
    <w:rsid w:val="000F3B19"/>
    <w:rsid w:val="000F5DE2"/>
    <w:rsid w:val="000F6F25"/>
    <w:rsid w:val="000F75AC"/>
    <w:rsid w:val="00101105"/>
    <w:rsid w:val="00103DB5"/>
    <w:rsid w:val="0010733C"/>
    <w:rsid w:val="00107628"/>
    <w:rsid w:val="00111E3D"/>
    <w:rsid w:val="00114168"/>
    <w:rsid w:val="00115CE3"/>
    <w:rsid w:val="00116823"/>
    <w:rsid w:val="00116FE0"/>
    <w:rsid w:val="00117854"/>
    <w:rsid w:val="001203FE"/>
    <w:rsid w:val="00120E2A"/>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1F3E"/>
    <w:rsid w:val="001447AF"/>
    <w:rsid w:val="00146A3F"/>
    <w:rsid w:val="00146FDB"/>
    <w:rsid w:val="00147A6B"/>
    <w:rsid w:val="00147D0A"/>
    <w:rsid w:val="00147F34"/>
    <w:rsid w:val="001503AF"/>
    <w:rsid w:val="0015042E"/>
    <w:rsid w:val="00151BB9"/>
    <w:rsid w:val="00151CEE"/>
    <w:rsid w:val="001522AC"/>
    <w:rsid w:val="00153E73"/>
    <w:rsid w:val="00154663"/>
    <w:rsid w:val="00156339"/>
    <w:rsid w:val="00156769"/>
    <w:rsid w:val="00156F92"/>
    <w:rsid w:val="0016011C"/>
    <w:rsid w:val="00160351"/>
    <w:rsid w:val="00162508"/>
    <w:rsid w:val="00163740"/>
    <w:rsid w:val="001663B8"/>
    <w:rsid w:val="00174F50"/>
    <w:rsid w:val="00175AB6"/>
    <w:rsid w:val="00175C4A"/>
    <w:rsid w:val="00177071"/>
    <w:rsid w:val="00181049"/>
    <w:rsid w:val="00182220"/>
    <w:rsid w:val="0018535E"/>
    <w:rsid w:val="00185B66"/>
    <w:rsid w:val="0018688D"/>
    <w:rsid w:val="00187D0F"/>
    <w:rsid w:val="00190166"/>
    <w:rsid w:val="00194350"/>
    <w:rsid w:val="00194C68"/>
    <w:rsid w:val="00194DBE"/>
    <w:rsid w:val="00195E8B"/>
    <w:rsid w:val="001A1704"/>
    <w:rsid w:val="001A1AB1"/>
    <w:rsid w:val="001A3440"/>
    <w:rsid w:val="001A4136"/>
    <w:rsid w:val="001A4D9B"/>
    <w:rsid w:val="001A745C"/>
    <w:rsid w:val="001A7B1E"/>
    <w:rsid w:val="001B1539"/>
    <w:rsid w:val="001B2307"/>
    <w:rsid w:val="001C0C5F"/>
    <w:rsid w:val="001C197B"/>
    <w:rsid w:val="001C2B61"/>
    <w:rsid w:val="001C30B5"/>
    <w:rsid w:val="001C40C9"/>
    <w:rsid w:val="001C4253"/>
    <w:rsid w:val="001C5631"/>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5698"/>
    <w:rsid w:val="001E67A4"/>
    <w:rsid w:val="001E7CED"/>
    <w:rsid w:val="001F024B"/>
    <w:rsid w:val="001F06E3"/>
    <w:rsid w:val="001F0C42"/>
    <w:rsid w:val="001F0CF9"/>
    <w:rsid w:val="001F29D0"/>
    <w:rsid w:val="001F3027"/>
    <w:rsid w:val="001F34E6"/>
    <w:rsid w:val="001F5444"/>
    <w:rsid w:val="001F649A"/>
    <w:rsid w:val="00200FD2"/>
    <w:rsid w:val="00201AE4"/>
    <w:rsid w:val="0020269C"/>
    <w:rsid w:val="002039D5"/>
    <w:rsid w:val="00203F9D"/>
    <w:rsid w:val="00205920"/>
    <w:rsid w:val="00206E72"/>
    <w:rsid w:val="0021181C"/>
    <w:rsid w:val="00214082"/>
    <w:rsid w:val="00214E06"/>
    <w:rsid w:val="00215073"/>
    <w:rsid w:val="00220E30"/>
    <w:rsid w:val="002219C2"/>
    <w:rsid w:val="00221D8A"/>
    <w:rsid w:val="00222B45"/>
    <w:rsid w:val="0022429F"/>
    <w:rsid w:val="002247E4"/>
    <w:rsid w:val="00225882"/>
    <w:rsid w:val="00225FF4"/>
    <w:rsid w:val="00226147"/>
    <w:rsid w:val="0022681E"/>
    <w:rsid w:val="00226A30"/>
    <w:rsid w:val="00227110"/>
    <w:rsid w:val="00231BD0"/>
    <w:rsid w:val="00231D20"/>
    <w:rsid w:val="0023233F"/>
    <w:rsid w:val="00232EE6"/>
    <w:rsid w:val="002338B5"/>
    <w:rsid w:val="00233D73"/>
    <w:rsid w:val="00234443"/>
    <w:rsid w:val="002353DA"/>
    <w:rsid w:val="00235A91"/>
    <w:rsid w:val="0023659D"/>
    <w:rsid w:val="00236BC7"/>
    <w:rsid w:val="00237C02"/>
    <w:rsid w:val="00237FD8"/>
    <w:rsid w:val="00241ED3"/>
    <w:rsid w:val="0024274B"/>
    <w:rsid w:val="002446DC"/>
    <w:rsid w:val="0024569F"/>
    <w:rsid w:val="00246671"/>
    <w:rsid w:val="002472A7"/>
    <w:rsid w:val="00247394"/>
    <w:rsid w:val="00247476"/>
    <w:rsid w:val="00247DB5"/>
    <w:rsid w:val="00250263"/>
    <w:rsid w:val="002520B0"/>
    <w:rsid w:val="00252554"/>
    <w:rsid w:val="0025366D"/>
    <w:rsid w:val="002601AC"/>
    <w:rsid w:val="00260FE4"/>
    <w:rsid w:val="00262390"/>
    <w:rsid w:val="002633B9"/>
    <w:rsid w:val="0026437E"/>
    <w:rsid w:val="00264804"/>
    <w:rsid w:val="00264B14"/>
    <w:rsid w:val="0026588D"/>
    <w:rsid w:val="002663C0"/>
    <w:rsid w:val="00270359"/>
    <w:rsid w:val="0027289B"/>
    <w:rsid w:val="00273CDF"/>
    <w:rsid w:val="00274783"/>
    <w:rsid w:val="00274969"/>
    <w:rsid w:val="00274E2F"/>
    <w:rsid w:val="002751F4"/>
    <w:rsid w:val="00276A7B"/>
    <w:rsid w:val="0028004F"/>
    <w:rsid w:val="00281372"/>
    <w:rsid w:val="00281FE5"/>
    <w:rsid w:val="00283412"/>
    <w:rsid w:val="002863A0"/>
    <w:rsid w:val="002864A6"/>
    <w:rsid w:val="00286559"/>
    <w:rsid w:val="002865C7"/>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A03"/>
    <w:rsid w:val="002B25B9"/>
    <w:rsid w:val="002B423B"/>
    <w:rsid w:val="002B565D"/>
    <w:rsid w:val="002B5D41"/>
    <w:rsid w:val="002C093A"/>
    <w:rsid w:val="002C1BBB"/>
    <w:rsid w:val="002C48D4"/>
    <w:rsid w:val="002C4BEF"/>
    <w:rsid w:val="002C6F20"/>
    <w:rsid w:val="002C7DBE"/>
    <w:rsid w:val="002D0AE4"/>
    <w:rsid w:val="002D145D"/>
    <w:rsid w:val="002D1C8B"/>
    <w:rsid w:val="002D206B"/>
    <w:rsid w:val="002D2A20"/>
    <w:rsid w:val="002D3A4D"/>
    <w:rsid w:val="002D77AE"/>
    <w:rsid w:val="002D7A2C"/>
    <w:rsid w:val="002E088A"/>
    <w:rsid w:val="002E19E4"/>
    <w:rsid w:val="002E30DF"/>
    <w:rsid w:val="002E5884"/>
    <w:rsid w:val="002E61DA"/>
    <w:rsid w:val="002E6A18"/>
    <w:rsid w:val="002E6FC8"/>
    <w:rsid w:val="002F1B71"/>
    <w:rsid w:val="002F1DF4"/>
    <w:rsid w:val="002F262C"/>
    <w:rsid w:val="002F36B9"/>
    <w:rsid w:val="002F3B12"/>
    <w:rsid w:val="002F487A"/>
    <w:rsid w:val="002F5CF6"/>
    <w:rsid w:val="002F6912"/>
    <w:rsid w:val="002F696C"/>
    <w:rsid w:val="00300181"/>
    <w:rsid w:val="003005AF"/>
    <w:rsid w:val="003006BE"/>
    <w:rsid w:val="00300CB9"/>
    <w:rsid w:val="003015FF"/>
    <w:rsid w:val="003033B9"/>
    <w:rsid w:val="00303605"/>
    <w:rsid w:val="00304FB2"/>
    <w:rsid w:val="00310921"/>
    <w:rsid w:val="00311144"/>
    <w:rsid w:val="003113F8"/>
    <w:rsid w:val="00311DD7"/>
    <w:rsid w:val="0031236F"/>
    <w:rsid w:val="00312BF2"/>
    <w:rsid w:val="0031396C"/>
    <w:rsid w:val="00313EC0"/>
    <w:rsid w:val="00313F27"/>
    <w:rsid w:val="00315D15"/>
    <w:rsid w:val="00317A94"/>
    <w:rsid w:val="00320DD4"/>
    <w:rsid w:val="00320F8A"/>
    <w:rsid w:val="0032197B"/>
    <w:rsid w:val="003238E3"/>
    <w:rsid w:val="003244D1"/>
    <w:rsid w:val="0032479B"/>
    <w:rsid w:val="00324B60"/>
    <w:rsid w:val="00325E1D"/>
    <w:rsid w:val="00332847"/>
    <w:rsid w:val="0033346A"/>
    <w:rsid w:val="00333AB8"/>
    <w:rsid w:val="00334321"/>
    <w:rsid w:val="00334911"/>
    <w:rsid w:val="00334A7D"/>
    <w:rsid w:val="003370BD"/>
    <w:rsid w:val="003375DE"/>
    <w:rsid w:val="00337FC0"/>
    <w:rsid w:val="00344151"/>
    <w:rsid w:val="003454DE"/>
    <w:rsid w:val="0035061A"/>
    <w:rsid w:val="003517C7"/>
    <w:rsid w:val="00352456"/>
    <w:rsid w:val="003544D4"/>
    <w:rsid w:val="00355D60"/>
    <w:rsid w:val="00355DFC"/>
    <w:rsid w:val="003567C6"/>
    <w:rsid w:val="003572BD"/>
    <w:rsid w:val="003605FA"/>
    <w:rsid w:val="003607EB"/>
    <w:rsid w:val="00360AC2"/>
    <w:rsid w:val="0036400A"/>
    <w:rsid w:val="00364861"/>
    <w:rsid w:val="003679C6"/>
    <w:rsid w:val="003703F4"/>
    <w:rsid w:val="00370A2F"/>
    <w:rsid w:val="00372EB8"/>
    <w:rsid w:val="00373708"/>
    <w:rsid w:val="00373FAA"/>
    <w:rsid w:val="003740ED"/>
    <w:rsid w:val="00375246"/>
    <w:rsid w:val="003753A9"/>
    <w:rsid w:val="00376035"/>
    <w:rsid w:val="003773FA"/>
    <w:rsid w:val="00377771"/>
    <w:rsid w:val="00377B76"/>
    <w:rsid w:val="0038001E"/>
    <w:rsid w:val="00380188"/>
    <w:rsid w:val="00380C29"/>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FC"/>
    <w:rsid w:val="003A4ECA"/>
    <w:rsid w:val="003A5F8E"/>
    <w:rsid w:val="003A6A16"/>
    <w:rsid w:val="003A6B35"/>
    <w:rsid w:val="003A7677"/>
    <w:rsid w:val="003B0013"/>
    <w:rsid w:val="003B08BD"/>
    <w:rsid w:val="003B1C63"/>
    <w:rsid w:val="003B42A5"/>
    <w:rsid w:val="003B4D2A"/>
    <w:rsid w:val="003B4DB4"/>
    <w:rsid w:val="003B56CF"/>
    <w:rsid w:val="003B5DBC"/>
    <w:rsid w:val="003C10D0"/>
    <w:rsid w:val="003C23EB"/>
    <w:rsid w:val="003C2528"/>
    <w:rsid w:val="003C2842"/>
    <w:rsid w:val="003C354F"/>
    <w:rsid w:val="003C40E7"/>
    <w:rsid w:val="003C411A"/>
    <w:rsid w:val="003C45B1"/>
    <w:rsid w:val="003C4902"/>
    <w:rsid w:val="003C532A"/>
    <w:rsid w:val="003D0F2B"/>
    <w:rsid w:val="003D24E4"/>
    <w:rsid w:val="003D38D9"/>
    <w:rsid w:val="003D396F"/>
    <w:rsid w:val="003D4829"/>
    <w:rsid w:val="003D5394"/>
    <w:rsid w:val="003D6ED2"/>
    <w:rsid w:val="003D6FA5"/>
    <w:rsid w:val="003E0549"/>
    <w:rsid w:val="003E0C4B"/>
    <w:rsid w:val="003E0C50"/>
    <w:rsid w:val="003E4EFA"/>
    <w:rsid w:val="003E6AE3"/>
    <w:rsid w:val="003E70E1"/>
    <w:rsid w:val="003E71C1"/>
    <w:rsid w:val="003E749D"/>
    <w:rsid w:val="003E79C4"/>
    <w:rsid w:val="003F2C45"/>
    <w:rsid w:val="003F2E60"/>
    <w:rsid w:val="003F32F9"/>
    <w:rsid w:val="003F5CDB"/>
    <w:rsid w:val="003F7AA4"/>
    <w:rsid w:val="00401756"/>
    <w:rsid w:val="004027F4"/>
    <w:rsid w:val="00403D54"/>
    <w:rsid w:val="004041AC"/>
    <w:rsid w:val="00404E6B"/>
    <w:rsid w:val="00407152"/>
    <w:rsid w:val="00410CC2"/>
    <w:rsid w:val="00410ED1"/>
    <w:rsid w:val="0041184E"/>
    <w:rsid w:val="004129EE"/>
    <w:rsid w:val="00413E6E"/>
    <w:rsid w:val="004140C6"/>
    <w:rsid w:val="004167D5"/>
    <w:rsid w:val="004171A2"/>
    <w:rsid w:val="00420066"/>
    <w:rsid w:val="0042161F"/>
    <w:rsid w:val="00422D4D"/>
    <w:rsid w:val="004248C0"/>
    <w:rsid w:val="004265E4"/>
    <w:rsid w:val="004272D3"/>
    <w:rsid w:val="0043095B"/>
    <w:rsid w:val="00430FF3"/>
    <w:rsid w:val="00431331"/>
    <w:rsid w:val="0043133B"/>
    <w:rsid w:val="004320CA"/>
    <w:rsid w:val="004321BE"/>
    <w:rsid w:val="0043224D"/>
    <w:rsid w:val="00435239"/>
    <w:rsid w:val="00436F1B"/>
    <w:rsid w:val="004371A8"/>
    <w:rsid w:val="0043752D"/>
    <w:rsid w:val="00440CB0"/>
    <w:rsid w:val="00441498"/>
    <w:rsid w:val="00442A7E"/>
    <w:rsid w:val="0044439D"/>
    <w:rsid w:val="00444D3E"/>
    <w:rsid w:val="004453F1"/>
    <w:rsid w:val="0044669A"/>
    <w:rsid w:val="00450741"/>
    <w:rsid w:val="00451B12"/>
    <w:rsid w:val="00452C43"/>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8120F"/>
    <w:rsid w:val="00481B6D"/>
    <w:rsid w:val="004824E2"/>
    <w:rsid w:val="0048308A"/>
    <w:rsid w:val="00483D28"/>
    <w:rsid w:val="00485AC6"/>
    <w:rsid w:val="00485F9B"/>
    <w:rsid w:val="0048628C"/>
    <w:rsid w:val="00486911"/>
    <w:rsid w:val="00490C5D"/>
    <w:rsid w:val="00490D8C"/>
    <w:rsid w:val="00492BC0"/>
    <w:rsid w:val="004939B1"/>
    <w:rsid w:val="00493A54"/>
    <w:rsid w:val="00495E89"/>
    <w:rsid w:val="004969C7"/>
    <w:rsid w:val="00497E0A"/>
    <w:rsid w:val="004A11AA"/>
    <w:rsid w:val="004A1A5D"/>
    <w:rsid w:val="004A233A"/>
    <w:rsid w:val="004A2641"/>
    <w:rsid w:val="004A45D0"/>
    <w:rsid w:val="004A4757"/>
    <w:rsid w:val="004A539D"/>
    <w:rsid w:val="004A7DAF"/>
    <w:rsid w:val="004B05A2"/>
    <w:rsid w:val="004B28F3"/>
    <w:rsid w:val="004B49EF"/>
    <w:rsid w:val="004B4A36"/>
    <w:rsid w:val="004C11C5"/>
    <w:rsid w:val="004C22DF"/>
    <w:rsid w:val="004D1DA0"/>
    <w:rsid w:val="004D2389"/>
    <w:rsid w:val="004D25E3"/>
    <w:rsid w:val="004D2ADB"/>
    <w:rsid w:val="004D2E5B"/>
    <w:rsid w:val="004D30F8"/>
    <w:rsid w:val="004D4FFF"/>
    <w:rsid w:val="004D69FB"/>
    <w:rsid w:val="004D6E89"/>
    <w:rsid w:val="004D7D5F"/>
    <w:rsid w:val="004E0661"/>
    <w:rsid w:val="004E5F69"/>
    <w:rsid w:val="004E749E"/>
    <w:rsid w:val="004F2694"/>
    <w:rsid w:val="004F4949"/>
    <w:rsid w:val="004F498F"/>
    <w:rsid w:val="004F50DC"/>
    <w:rsid w:val="004F51CC"/>
    <w:rsid w:val="004F59E1"/>
    <w:rsid w:val="004F66B4"/>
    <w:rsid w:val="004F66DA"/>
    <w:rsid w:val="004F67F4"/>
    <w:rsid w:val="004F69F4"/>
    <w:rsid w:val="00500955"/>
    <w:rsid w:val="0050281F"/>
    <w:rsid w:val="00503141"/>
    <w:rsid w:val="0050318B"/>
    <w:rsid w:val="005063CD"/>
    <w:rsid w:val="00506F48"/>
    <w:rsid w:val="005107F3"/>
    <w:rsid w:val="00510D5C"/>
    <w:rsid w:val="00511419"/>
    <w:rsid w:val="005138D1"/>
    <w:rsid w:val="00513A29"/>
    <w:rsid w:val="00513E9C"/>
    <w:rsid w:val="00515F2D"/>
    <w:rsid w:val="00524CC0"/>
    <w:rsid w:val="005253C9"/>
    <w:rsid w:val="00526A80"/>
    <w:rsid w:val="00527CC7"/>
    <w:rsid w:val="00531A76"/>
    <w:rsid w:val="0053312F"/>
    <w:rsid w:val="005349E5"/>
    <w:rsid w:val="005410C3"/>
    <w:rsid w:val="00544DB1"/>
    <w:rsid w:val="0054505F"/>
    <w:rsid w:val="005458B8"/>
    <w:rsid w:val="0054636A"/>
    <w:rsid w:val="00546BBA"/>
    <w:rsid w:val="00546D0C"/>
    <w:rsid w:val="00546FAD"/>
    <w:rsid w:val="00547F08"/>
    <w:rsid w:val="00553380"/>
    <w:rsid w:val="00554421"/>
    <w:rsid w:val="00554ED1"/>
    <w:rsid w:val="00554FB2"/>
    <w:rsid w:val="00555A23"/>
    <w:rsid w:val="0055732A"/>
    <w:rsid w:val="005608C5"/>
    <w:rsid w:val="00560D97"/>
    <w:rsid w:val="0056114F"/>
    <w:rsid w:val="00561A56"/>
    <w:rsid w:val="0056319D"/>
    <w:rsid w:val="00563A68"/>
    <w:rsid w:val="00564958"/>
    <w:rsid w:val="00564E12"/>
    <w:rsid w:val="005656CC"/>
    <w:rsid w:val="00565B73"/>
    <w:rsid w:val="00565C6E"/>
    <w:rsid w:val="00565F25"/>
    <w:rsid w:val="00567558"/>
    <w:rsid w:val="0057159C"/>
    <w:rsid w:val="005722EF"/>
    <w:rsid w:val="00573F7F"/>
    <w:rsid w:val="00575E98"/>
    <w:rsid w:val="005825B2"/>
    <w:rsid w:val="005845F7"/>
    <w:rsid w:val="00585734"/>
    <w:rsid w:val="0058698A"/>
    <w:rsid w:val="00587E71"/>
    <w:rsid w:val="005928CB"/>
    <w:rsid w:val="00595A67"/>
    <w:rsid w:val="00596568"/>
    <w:rsid w:val="005968F2"/>
    <w:rsid w:val="0059774C"/>
    <w:rsid w:val="005978C1"/>
    <w:rsid w:val="005A0E17"/>
    <w:rsid w:val="005A21ED"/>
    <w:rsid w:val="005A3613"/>
    <w:rsid w:val="005A43EB"/>
    <w:rsid w:val="005A5D5E"/>
    <w:rsid w:val="005A61A4"/>
    <w:rsid w:val="005A65B0"/>
    <w:rsid w:val="005A6F04"/>
    <w:rsid w:val="005A7CAA"/>
    <w:rsid w:val="005B2A47"/>
    <w:rsid w:val="005B3B2F"/>
    <w:rsid w:val="005B4A6C"/>
    <w:rsid w:val="005B5A26"/>
    <w:rsid w:val="005B5EA9"/>
    <w:rsid w:val="005B63B7"/>
    <w:rsid w:val="005B6ACC"/>
    <w:rsid w:val="005B78CB"/>
    <w:rsid w:val="005B79FA"/>
    <w:rsid w:val="005C0766"/>
    <w:rsid w:val="005C2033"/>
    <w:rsid w:val="005C3FB8"/>
    <w:rsid w:val="005C476A"/>
    <w:rsid w:val="005C54A5"/>
    <w:rsid w:val="005C75EE"/>
    <w:rsid w:val="005C7E12"/>
    <w:rsid w:val="005D0D12"/>
    <w:rsid w:val="005D2618"/>
    <w:rsid w:val="005D7843"/>
    <w:rsid w:val="005E2AB4"/>
    <w:rsid w:val="005E427E"/>
    <w:rsid w:val="005E446B"/>
    <w:rsid w:val="005E45E0"/>
    <w:rsid w:val="005E4EDF"/>
    <w:rsid w:val="005E5185"/>
    <w:rsid w:val="005E5B37"/>
    <w:rsid w:val="005E6685"/>
    <w:rsid w:val="005E6D14"/>
    <w:rsid w:val="005E72B4"/>
    <w:rsid w:val="005F0312"/>
    <w:rsid w:val="005F1D6F"/>
    <w:rsid w:val="005F1DE6"/>
    <w:rsid w:val="005F23FC"/>
    <w:rsid w:val="005F3525"/>
    <w:rsid w:val="005F4B80"/>
    <w:rsid w:val="005F6334"/>
    <w:rsid w:val="005F70AC"/>
    <w:rsid w:val="005F7754"/>
    <w:rsid w:val="006014E8"/>
    <w:rsid w:val="006040EF"/>
    <w:rsid w:val="0060415B"/>
    <w:rsid w:val="006060AA"/>
    <w:rsid w:val="00611192"/>
    <w:rsid w:val="0061165A"/>
    <w:rsid w:val="00611924"/>
    <w:rsid w:val="00612048"/>
    <w:rsid w:val="00612C9D"/>
    <w:rsid w:val="006132DD"/>
    <w:rsid w:val="0061345A"/>
    <w:rsid w:val="006136BB"/>
    <w:rsid w:val="00615081"/>
    <w:rsid w:val="00616C96"/>
    <w:rsid w:val="00616E09"/>
    <w:rsid w:val="006170A8"/>
    <w:rsid w:val="00617473"/>
    <w:rsid w:val="0061779D"/>
    <w:rsid w:val="00624515"/>
    <w:rsid w:val="006245F9"/>
    <w:rsid w:val="00624E38"/>
    <w:rsid w:val="006255C4"/>
    <w:rsid w:val="0063253B"/>
    <w:rsid w:val="00632788"/>
    <w:rsid w:val="006361AA"/>
    <w:rsid w:val="00637096"/>
    <w:rsid w:val="00640D7D"/>
    <w:rsid w:val="00641D98"/>
    <w:rsid w:val="00642484"/>
    <w:rsid w:val="0064314E"/>
    <w:rsid w:val="006435F3"/>
    <w:rsid w:val="0064373D"/>
    <w:rsid w:val="00643A9C"/>
    <w:rsid w:val="00644C03"/>
    <w:rsid w:val="006454E9"/>
    <w:rsid w:val="0064774C"/>
    <w:rsid w:val="00647BB1"/>
    <w:rsid w:val="00650EA5"/>
    <w:rsid w:val="00651277"/>
    <w:rsid w:val="00652A43"/>
    <w:rsid w:val="00655B8E"/>
    <w:rsid w:val="0065693A"/>
    <w:rsid w:val="006600EB"/>
    <w:rsid w:val="00660386"/>
    <w:rsid w:val="00661D50"/>
    <w:rsid w:val="00662186"/>
    <w:rsid w:val="00663271"/>
    <w:rsid w:val="0066332D"/>
    <w:rsid w:val="006653F7"/>
    <w:rsid w:val="00666DEE"/>
    <w:rsid w:val="00666E6A"/>
    <w:rsid w:val="00667FE1"/>
    <w:rsid w:val="006721FB"/>
    <w:rsid w:val="00672263"/>
    <w:rsid w:val="00672E6D"/>
    <w:rsid w:val="0067378B"/>
    <w:rsid w:val="0067493E"/>
    <w:rsid w:val="00674FDC"/>
    <w:rsid w:val="00676EF0"/>
    <w:rsid w:val="00677B5C"/>
    <w:rsid w:val="0068020D"/>
    <w:rsid w:val="00681047"/>
    <w:rsid w:val="006816A8"/>
    <w:rsid w:val="00681ED6"/>
    <w:rsid w:val="0068207E"/>
    <w:rsid w:val="00687089"/>
    <w:rsid w:val="00690AF3"/>
    <w:rsid w:val="006910D0"/>
    <w:rsid w:val="00692D14"/>
    <w:rsid w:val="00694103"/>
    <w:rsid w:val="006945C8"/>
    <w:rsid w:val="00695968"/>
    <w:rsid w:val="00695A94"/>
    <w:rsid w:val="00696B2A"/>
    <w:rsid w:val="0069763C"/>
    <w:rsid w:val="006A03E3"/>
    <w:rsid w:val="006A348B"/>
    <w:rsid w:val="006A4704"/>
    <w:rsid w:val="006B1FAF"/>
    <w:rsid w:val="006B20B2"/>
    <w:rsid w:val="006B5B62"/>
    <w:rsid w:val="006B5D9C"/>
    <w:rsid w:val="006B672C"/>
    <w:rsid w:val="006C1D6F"/>
    <w:rsid w:val="006C1EC4"/>
    <w:rsid w:val="006C219B"/>
    <w:rsid w:val="006C22EF"/>
    <w:rsid w:val="006C3290"/>
    <w:rsid w:val="006C3CD1"/>
    <w:rsid w:val="006C5930"/>
    <w:rsid w:val="006C650F"/>
    <w:rsid w:val="006C7927"/>
    <w:rsid w:val="006C7F20"/>
    <w:rsid w:val="006D0367"/>
    <w:rsid w:val="006D13DF"/>
    <w:rsid w:val="006D15E2"/>
    <w:rsid w:val="006D56E5"/>
    <w:rsid w:val="006D593B"/>
    <w:rsid w:val="006D5B20"/>
    <w:rsid w:val="006D7155"/>
    <w:rsid w:val="006E0F5F"/>
    <w:rsid w:val="006E1151"/>
    <w:rsid w:val="006E3BF3"/>
    <w:rsid w:val="006E488C"/>
    <w:rsid w:val="006F03E0"/>
    <w:rsid w:val="006F2542"/>
    <w:rsid w:val="006F3A8B"/>
    <w:rsid w:val="006F3B4B"/>
    <w:rsid w:val="006F6BC7"/>
    <w:rsid w:val="00700074"/>
    <w:rsid w:val="00701E33"/>
    <w:rsid w:val="007026A6"/>
    <w:rsid w:val="0070335C"/>
    <w:rsid w:val="00704877"/>
    <w:rsid w:val="00704BFB"/>
    <w:rsid w:val="0070610D"/>
    <w:rsid w:val="007063B7"/>
    <w:rsid w:val="00706780"/>
    <w:rsid w:val="00706A2B"/>
    <w:rsid w:val="00711E20"/>
    <w:rsid w:val="007125EA"/>
    <w:rsid w:val="007126EF"/>
    <w:rsid w:val="00713115"/>
    <w:rsid w:val="00713999"/>
    <w:rsid w:val="007142D6"/>
    <w:rsid w:val="0071530D"/>
    <w:rsid w:val="00716D3D"/>
    <w:rsid w:val="00717167"/>
    <w:rsid w:val="007174FA"/>
    <w:rsid w:val="00720502"/>
    <w:rsid w:val="007205C6"/>
    <w:rsid w:val="00720702"/>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380B"/>
    <w:rsid w:val="00745043"/>
    <w:rsid w:val="00747BA1"/>
    <w:rsid w:val="00750A21"/>
    <w:rsid w:val="00750BCA"/>
    <w:rsid w:val="00755592"/>
    <w:rsid w:val="00755953"/>
    <w:rsid w:val="00756F03"/>
    <w:rsid w:val="00757F4B"/>
    <w:rsid w:val="0076140C"/>
    <w:rsid w:val="00762781"/>
    <w:rsid w:val="00765E1B"/>
    <w:rsid w:val="007665F7"/>
    <w:rsid w:val="00766B52"/>
    <w:rsid w:val="00766E17"/>
    <w:rsid w:val="00767627"/>
    <w:rsid w:val="0077210B"/>
    <w:rsid w:val="007723D9"/>
    <w:rsid w:val="00772A25"/>
    <w:rsid w:val="007734D3"/>
    <w:rsid w:val="007759A9"/>
    <w:rsid w:val="00776C79"/>
    <w:rsid w:val="007802EC"/>
    <w:rsid w:val="0078091C"/>
    <w:rsid w:val="00781E4B"/>
    <w:rsid w:val="00782EA1"/>
    <w:rsid w:val="00784896"/>
    <w:rsid w:val="00790B9C"/>
    <w:rsid w:val="0079170F"/>
    <w:rsid w:val="00792C20"/>
    <w:rsid w:val="00793FF7"/>
    <w:rsid w:val="00795A96"/>
    <w:rsid w:val="00797980"/>
    <w:rsid w:val="007A0CAD"/>
    <w:rsid w:val="007A2834"/>
    <w:rsid w:val="007A5046"/>
    <w:rsid w:val="007A6C6C"/>
    <w:rsid w:val="007B0BB5"/>
    <w:rsid w:val="007B1341"/>
    <w:rsid w:val="007B1A9F"/>
    <w:rsid w:val="007B1E0E"/>
    <w:rsid w:val="007B34A4"/>
    <w:rsid w:val="007B46B4"/>
    <w:rsid w:val="007B5CC9"/>
    <w:rsid w:val="007B6D12"/>
    <w:rsid w:val="007B77F8"/>
    <w:rsid w:val="007C0485"/>
    <w:rsid w:val="007C0690"/>
    <w:rsid w:val="007C30DA"/>
    <w:rsid w:val="007C3990"/>
    <w:rsid w:val="007C3BEF"/>
    <w:rsid w:val="007C4897"/>
    <w:rsid w:val="007C7DD4"/>
    <w:rsid w:val="007D198B"/>
    <w:rsid w:val="007D2ADB"/>
    <w:rsid w:val="007D376F"/>
    <w:rsid w:val="007D4C99"/>
    <w:rsid w:val="007D59C4"/>
    <w:rsid w:val="007D5BE1"/>
    <w:rsid w:val="007E288A"/>
    <w:rsid w:val="007E53FD"/>
    <w:rsid w:val="007E6402"/>
    <w:rsid w:val="007E7074"/>
    <w:rsid w:val="007E7779"/>
    <w:rsid w:val="007F0CB1"/>
    <w:rsid w:val="007F20E0"/>
    <w:rsid w:val="007F249A"/>
    <w:rsid w:val="007F3A0A"/>
    <w:rsid w:val="007F5507"/>
    <w:rsid w:val="007F56AD"/>
    <w:rsid w:val="0080036F"/>
    <w:rsid w:val="0080052F"/>
    <w:rsid w:val="0080332E"/>
    <w:rsid w:val="008066BB"/>
    <w:rsid w:val="0080683D"/>
    <w:rsid w:val="00806951"/>
    <w:rsid w:val="00807AFD"/>
    <w:rsid w:val="008109F7"/>
    <w:rsid w:val="008110AA"/>
    <w:rsid w:val="008122EF"/>
    <w:rsid w:val="00812917"/>
    <w:rsid w:val="00813E0C"/>
    <w:rsid w:val="00814097"/>
    <w:rsid w:val="00815158"/>
    <w:rsid w:val="00815F1F"/>
    <w:rsid w:val="008178A5"/>
    <w:rsid w:val="008203B7"/>
    <w:rsid w:val="008214B1"/>
    <w:rsid w:val="00822389"/>
    <w:rsid w:val="008229B4"/>
    <w:rsid w:val="00823203"/>
    <w:rsid w:val="00825B9C"/>
    <w:rsid w:val="0082601E"/>
    <w:rsid w:val="00826741"/>
    <w:rsid w:val="008275FB"/>
    <w:rsid w:val="0083051D"/>
    <w:rsid w:val="00830A19"/>
    <w:rsid w:val="00831E72"/>
    <w:rsid w:val="0083397F"/>
    <w:rsid w:val="00834474"/>
    <w:rsid w:val="008348AE"/>
    <w:rsid w:val="00837C41"/>
    <w:rsid w:val="008401E6"/>
    <w:rsid w:val="00841773"/>
    <w:rsid w:val="00841B86"/>
    <w:rsid w:val="00846709"/>
    <w:rsid w:val="00846DE1"/>
    <w:rsid w:val="00847173"/>
    <w:rsid w:val="008473D2"/>
    <w:rsid w:val="008474AC"/>
    <w:rsid w:val="00853FC3"/>
    <w:rsid w:val="00855096"/>
    <w:rsid w:val="008552FF"/>
    <w:rsid w:val="00856079"/>
    <w:rsid w:val="00861D20"/>
    <w:rsid w:val="008633D9"/>
    <w:rsid w:val="00864045"/>
    <w:rsid w:val="00864E83"/>
    <w:rsid w:val="00865C43"/>
    <w:rsid w:val="00866A4F"/>
    <w:rsid w:val="00866B34"/>
    <w:rsid w:val="00866EAA"/>
    <w:rsid w:val="008670AA"/>
    <w:rsid w:val="0086761C"/>
    <w:rsid w:val="00870BC5"/>
    <w:rsid w:val="00873455"/>
    <w:rsid w:val="00873C39"/>
    <w:rsid w:val="008774D3"/>
    <w:rsid w:val="00880B2B"/>
    <w:rsid w:val="008817FE"/>
    <w:rsid w:val="008838E5"/>
    <w:rsid w:val="00884294"/>
    <w:rsid w:val="008854A7"/>
    <w:rsid w:val="0088562B"/>
    <w:rsid w:val="00885D52"/>
    <w:rsid w:val="00887199"/>
    <w:rsid w:val="008873CC"/>
    <w:rsid w:val="00887821"/>
    <w:rsid w:val="00887982"/>
    <w:rsid w:val="00890375"/>
    <w:rsid w:val="00890834"/>
    <w:rsid w:val="00890A3F"/>
    <w:rsid w:val="00891088"/>
    <w:rsid w:val="008919EB"/>
    <w:rsid w:val="00892C33"/>
    <w:rsid w:val="008931C4"/>
    <w:rsid w:val="00893DA1"/>
    <w:rsid w:val="0089584B"/>
    <w:rsid w:val="00895B9E"/>
    <w:rsid w:val="0089623E"/>
    <w:rsid w:val="008966B9"/>
    <w:rsid w:val="00896855"/>
    <w:rsid w:val="008A0D57"/>
    <w:rsid w:val="008A13D5"/>
    <w:rsid w:val="008A25B0"/>
    <w:rsid w:val="008A2D76"/>
    <w:rsid w:val="008A48B5"/>
    <w:rsid w:val="008A538F"/>
    <w:rsid w:val="008A7515"/>
    <w:rsid w:val="008A788C"/>
    <w:rsid w:val="008B2204"/>
    <w:rsid w:val="008B249E"/>
    <w:rsid w:val="008B2833"/>
    <w:rsid w:val="008B3C74"/>
    <w:rsid w:val="008B46A0"/>
    <w:rsid w:val="008B4F28"/>
    <w:rsid w:val="008B5519"/>
    <w:rsid w:val="008B661C"/>
    <w:rsid w:val="008B7563"/>
    <w:rsid w:val="008B7E0D"/>
    <w:rsid w:val="008C083A"/>
    <w:rsid w:val="008C0E4E"/>
    <w:rsid w:val="008C164D"/>
    <w:rsid w:val="008C19FE"/>
    <w:rsid w:val="008C1A5A"/>
    <w:rsid w:val="008C1A8D"/>
    <w:rsid w:val="008C21CB"/>
    <w:rsid w:val="008C3C61"/>
    <w:rsid w:val="008C44DE"/>
    <w:rsid w:val="008C7338"/>
    <w:rsid w:val="008D0EE1"/>
    <w:rsid w:val="008D2D4B"/>
    <w:rsid w:val="008D39C9"/>
    <w:rsid w:val="008D46B3"/>
    <w:rsid w:val="008D5114"/>
    <w:rsid w:val="008D58A4"/>
    <w:rsid w:val="008E02AD"/>
    <w:rsid w:val="008E172C"/>
    <w:rsid w:val="008E1B75"/>
    <w:rsid w:val="008E558B"/>
    <w:rsid w:val="008E674B"/>
    <w:rsid w:val="008E68B3"/>
    <w:rsid w:val="008F4DC2"/>
    <w:rsid w:val="008F5DDF"/>
    <w:rsid w:val="008F63A9"/>
    <w:rsid w:val="008F66CF"/>
    <w:rsid w:val="008F6B4D"/>
    <w:rsid w:val="008F7627"/>
    <w:rsid w:val="008F7C4A"/>
    <w:rsid w:val="00900DCA"/>
    <w:rsid w:val="00902A41"/>
    <w:rsid w:val="00903B3E"/>
    <w:rsid w:val="00904C0E"/>
    <w:rsid w:val="00904D46"/>
    <w:rsid w:val="00905098"/>
    <w:rsid w:val="0091016E"/>
    <w:rsid w:val="00910492"/>
    <w:rsid w:val="0091066F"/>
    <w:rsid w:val="00910707"/>
    <w:rsid w:val="009129FD"/>
    <w:rsid w:val="009144E0"/>
    <w:rsid w:val="00916288"/>
    <w:rsid w:val="00916C8A"/>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2148"/>
    <w:rsid w:val="00932B23"/>
    <w:rsid w:val="00932BA7"/>
    <w:rsid w:val="00933117"/>
    <w:rsid w:val="00933224"/>
    <w:rsid w:val="009338F1"/>
    <w:rsid w:val="009357E6"/>
    <w:rsid w:val="00936B75"/>
    <w:rsid w:val="00937770"/>
    <w:rsid w:val="009402AD"/>
    <w:rsid w:val="00940BE1"/>
    <w:rsid w:val="00944519"/>
    <w:rsid w:val="009460EC"/>
    <w:rsid w:val="00946946"/>
    <w:rsid w:val="00946AD8"/>
    <w:rsid w:val="0094769E"/>
    <w:rsid w:val="00947918"/>
    <w:rsid w:val="00947CE0"/>
    <w:rsid w:val="009546E2"/>
    <w:rsid w:val="00956CC1"/>
    <w:rsid w:val="00960D61"/>
    <w:rsid w:val="009634F7"/>
    <w:rsid w:val="0096415F"/>
    <w:rsid w:val="00964427"/>
    <w:rsid w:val="00965097"/>
    <w:rsid w:val="00965325"/>
    <w:rsid w:val="00965624"/>
    <w:rsid w:val="0096566E"/>
    <w:rsid w:val="009700FA"/>
    <w:rsid w:val="0097039A"/>
    <w:rsid w:val="009711FA"/>
    <w:rsid w:val="009718EC"/>
    <w:rsid w:val="00971A29"/>
    <w:rsid w:val="009744D1"/>
    <w:rsid w:val="00977C9F"/>
    <w:rsid w:val="00977D78"/>
    <w:rsid w:val="00980AE8"/>
    <w:rsid w:val="0098130B"/>
    <w:rsid w:val="00982BB9"/>
    <w:rsid w:val="009830D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B0A96"/>
    <w:rsid w:val="009B24DC"/>
    <w:rsid w:val="009B34F7"/>
    <w:rsid w:val="009B5519"/>
    <w:rsid w:val="009B63D6"/>
    <w:rsid w:val="009C03B1"/>
    <w:rsid w:val="009C04BA"/>
    <w:rsid w:val="009C2519"/>
    <w:rsid w:val="009C287D"/>
    <w:rsid w:val="009C3B0A"/>
    <w:rsid w:val="009C3FF6"/>
    <w:rsid w:val="009C474F"/>
    <w:rsid w:val="009C6A24"/>
    <w:rsid w:val="009D1818"/>
    <w:rsid w:val="009D70AF"/>
    <w:rsid w:val="009E0940"/>
    <w:rsid w:val="009E0A5C"/>
    <w:rsid w:val="009E0AA9"/>
    <w:rsid w:val="009E12A7"/>
    <w:rsid w:val="009E18F1"/>
    <w:rsid w:val="009E297A"/>
    <w:rsid w:val="009E2EAB"/>
    <w:rsid w:val="009E3E0C"/>
    <w:rsid w:val="009E5526"/>
    <w:rsid w:val="009E651B"/>
    <w:rsid w:val="009E6862"/>
    <w:rsid w:val="009E703F"/>
    <w:rsid w:val="009E789A"/>
    <w:rsid w:val="009F20E6"/>
    <w:rsid w:val="009F21E2"/>
    <w:rsid w:val="009F2231"/>
    <w:rsid w:val="009F36D4"/>
    <w:rsid w:val="009F4118"/>
    <w:rsid w:val="009F431C"/>
    <w:rsid w:val="009F4E11"/>
    <w:rsid w:val="00A00C8F"/>
    <w:rsid w:val="00A018CE"/>
    <w:rsid w:val="00A0286F"/>
    <w:rsid w:val="00A03B3D"/>
    <w:rsid w:val="00A063AF"/>
    <w:rsid w:val="00A10EE7"/>
    <w:rsid w:val="00A11BD1"/>
    <w:rsid w:val="00A11EAD"/>
    <w:rsid w:val="00A1271D"/>
    <w:rsid w:val="00A1488D"/>
    <w:rsid w:val="00A15F37"/>
    <w:rsid w:val="00A16DCF"/>
    <w:rsid w:val="00A20586"/>
    <w:rsid w:val="00A22438"/>
    <w:rsid w:val="00A22BD8"/>
    <w:rsid w:val="00A31546"/>
    <w:rsid w:val="00A327E6"/>
    <w:rsid w:val="00A3348B"/>
    <w:rsid w:val="00A34754"/>
    <w:rsid w:val="00A348D6"/>
    <w:rsid w:val="00A351EE"/>
    <w:rsid w:val="00A3575B"/>
    <w:rsid w:val="00A3581B"/>
    <w:rsid w:val="00A3587B"/>
    <w:rsid w:val="00A35A63"/>
    <w:rsid w:val="00A35D98"/>
    <w:rsid w:val="00A35F32"/>
    <w:rsid w:val="00A36474"/>
    <w:rsid w:val="00A40F19"/>
    <w:rsid w:val="00A41975"/>
    <w:rsid w:val="00A42999"/>
    <w:rsid w:val="00A43C66"/>
    <w:rsid w:val="00A44B35"/>
    <w:rsid w:val="00A458F9"/>
    <w:rsid w:val="00A45D83"/>
    <w:rsid w:val="00A46705"/>
    <w:rsid w:val="00A474F3"/>
    <w:rsid w:val="00A47B76"/>
    <w:rsid w:val="00A47F4D"/>
    <w:rsid w:val="00A5193D"/>
    <w:rsid w:val="00A531A8"/>
    <w:rsid w:val="00A53F9E"/>
    <w:rsid w:val="00A5480A"/>
    <w:rsid w:val="00A610FD"/>
    <w:rsid w:val="00A63E21"/>
    <w:rsid w:val="00A64D87"/>
    <w:rsid w:val="00A659E7"/>
    <w:rsid w:val="00A65E82"/>
    <w:rsid w:val="00A65F86"/>
    <w:rsid w:val="00A66845"/>
    <w:rsid w:val="00A6789F"/>
    <w:rsid w:val="00A67E4B"/>
    <w:rsid w:val="00A7069B"/>
    <w:rsid w:val="00A7188B"/>
    <w:rsid w:val="00A72067"/>
    <w:rsid w:val="00A734F6"/>
    <w:rsid w:val="00A7387D"/>
    <w:rsid w:val="00A80269"/>
    <w:rsid w:val="00A8074D"/>
    <w:rsid w:val="00A81A80"/>
    <w:rsid w:val="00A820DB"/>
    <w:rsid w:val="00A91517"/>
    <w:rsid w:val="00A91F9A"/>
    <w:rsid w:val="00A92B3C"/>
    <w:rsid w:val="00A92DCB"/>
    <w:rsid w:val="00A96D95"/>
    <w:rsid w:val="00A9785F"/>
    <w:rsid w:val="00AA0112"/>
    <w:rsid w:val="00AA073A"/>
    <w:rsid w:val="00AA32A0"/>
    <w:rsid w:val="00AA449C"/>
    <w:rsid w:val="00AA46DB"/>
    <w:rsid w:val="00AB2165"/>
    <w:rsid w:val="00AB2596"/>
    <w:rsid w:val="00AB43E5"/>
    <w:rsid w:val="00AB4BB1"/>
    <w:rsid w:val="00AB53E4"/>
    <w:rsid w:val="00AB5EE6"/>
    <w:rsid w:val="00AC17E1"/>
    <w:rsid w:val="00AC1F63"/>
    <w:rsid w:val="00AC3707"/>
    <w:rsid w:val="00AC5709"/>
    <w:rsid w:val="00AC77B6"/>
    <w:rsid w:val="00AC79EE"/>
    <w:rsid w:val="00AD1DD3"/>
    <w:rsid w:val="00AD2465"/>
    <w:rsid w:val="00AD301D"/>
    <w:rsid w:val="00AD4245"/>
    <w:rsid w:val="00AD5363"/>
    <w:rsid w:val="00AD5615"/>
    <w:rsid w:val="00AD7C91"/>
    <w:rsid w:val="00AD7CDD"/>
    <w:rsid w:val="00AE13AA"/>
    <w:rsid w:val="00AE1717"/>
    <w:rsid w:val="00AE1A21"/>
    <w:rsid w:val="00AE2F5C"/>
    <w:rsid w:val="00AE30DD"/>
    <w:rsid w:val="00AE569E"/>
    <w:rsid w:val="00AE64B0"/>
    <w:rsid w:val="00AF0DD0"/>
    <w:rsid w:val="00AF0F8B"/>
    <w:rsid w:val="00AF39E2"/>
    <w:rsid w:val="00AF4A57"/>
    <w:rsid w:val="00AF525C"/>
    <w:rsid w:val="00AF608A"/>
    <w:rsid w:val="00AF60D0"/>
    <w:rsid w:val="00AF787D"/>
    <w:rsid w:val="00AF7F41"/>
    <w:rsid w:val="00B01220"/>
    <w:rsid w:val="00B01462"/>
    <w:rsid w:val="00B01F3E"/>
    <w:rsid w:val="00B02AD1"/>
    <w:rsid w:val="00B02BB4"/>
    <w:rsid w:val="00B050BD"/>
    <w:rsid w:val="00B05C89"/>
    <w:rsid w:val="00B0697D"/>
    <w:rsid w:val="00B10231"/>
    <w:rsid w:val="00B11EC7"/>
    <w:rsid w:val="00B12FDB"/>
    <w:rsid w:val="00B132AF"/>
    <w:rsid w:val="00B16CBC"/>
    <w:rsid w:val="00B17720"/>
    <w:rsid w:val="00B178E7"/>
    <w:rsid w:val="00B17998"/>
    <w:rsid w:val="00B201F8"/>
    <w:rsid w:val="00B21502"/>
    <w:rsid w:val="00B21C2E"/>
    <w:rsid w:val="00B22F08"/>
    <w:rsid w:val="00B23164"/>
    <w:rsid w:val="00B247CE"/>
    <w:rsid w:val="00B24987"/>
    <w:rsid w:val="00B271A5"/>
    <w:rsid w:val="00B31897"/>
    <w:rsid w:val="00B33DCA"/>
    <w:rsid w:val="00B33FF7"/>
    <w:rsid w:val="00B3697A"/>
    <w:rsid w:val="00B36ADE"/>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72E8"/>
    <w:rsid w:val="00B60117"/>
    <w:rsid w:val="00B62515"/>
    <w:rsid w:val="00B6488E"/>
    <w:rsid w:val="00B656FB"/>
    <w:rsid w:val="00B6743C"/>
    <w:rsid w:val="00B70078"/>
    <w:rsid w:val="00B70891"/>
    <w:rsid w:val="00B708A7"/>
    <w:rsid w:val="00B709C6"/>
    <w:rsid w:val="00B72707"/>
    <w:rsid w:val="00B75612"/>
    <w:rsid w:val="00B757CE"/>
    <w:rsid w:val="00B760E5"/>
    <w:rsid w:val="00B763C2"/>
    <w:rsid w:val="00B81485"/>
    <w:rsid w:val="00B8172D"/>
    <w:rsid w:val="00B81E8E"/>
    <w:rsid w:val="00B83309"/>
    <w:rsid w:val="00B875CA"/>
    <w:rsid w:val="00B96952"/>
    <w:rsid w:val="00B96D86"/>
    <w:rsid w:val="00BA0330"/>
    <w:rsid w:val="00BA26CD"/>
    <w:rsid w:val="00BA301B"/>
    <w:rsid w:val="00BA4420"/>
    <w:rsid w:val="00BA4C05"/>
    <w:rsid w:val="00BA5741"/>
    <w:rsid w:val="00BA76BE"/>
    <w:rsid w:val="00BB08DB"/>
    <w:rsid w:val="00BB0CA2"/>
    <w:rsid w:val="00BB20BA"/>
    <w:rsid w:val="00BB42D1"/>
    <w:rsid w:val="00BB4731"/>
    <w:rsid w:val="00BB4BBE"/>
    <w:rsid w:val="00BB5746"/>
    <w:rsid w:val="00BB71F1"/>
    <w:rsid w:val="00BC1826"/>
    <w:rsid w:val="00BC3826"/>
    <w:rsid w:val="00BC73DA"/>
    <w:rsid w:val="00BC741D"/>
    <w:rsid w:val="00BC7524"/>
    <w:rsid w:val="00BD1452"/>
    <w:rsid w:val="00BD1909"/>
    <w:rsid w:val="00BD2BE1"/>
    <w:rsid w:val="00BD39B8"/>
    <w:rsid w:val="00BD448B"/>
    <w:rsid w:val="00BD48EA"/>
    <w:rsid w:val="00BD6587"/>
    <w:rsid w:val="00BE02B6"/>
    <w:rsid w:val="00BE0AB5"/>
    <w:rsid w:val="00BE0CAF"/>
    <w:rsid w:val="00BE1D25"/>
    <w:rsid w:val="00BE2026"/>
    <w:rsid w:val="00BE2D78"/>
    <w:rsid w:val="00BE4A74"/>
    <w:rsid w:val="00BE5123"/>
    <w:rsid w:val="00BF03C9"/>
    <w:rsid w:val="00BF0C1C"/>
    <w:rsid w:val="00BF0C98"/>
    <w:rsid w:val="00BF22E3"/>
    <w:rsid w:val="00BF2D33"/>
    <w:rsid w:val="00BF7300"/>
    <w:rsid w:val="00C02834"/>
    <w:rsid w:val="00C046E2"/>
    <w:rsid w:val="00C04A51"/>
    <w:rsid w:val="00C04B9F"/>
    <w:rsid w:val="00C05D1E"/>
    <w:rsid w:val="00C069CA"/>
    <w:rsid w:val="00C10563"/>
    <w:rsid w:val="00C105B9"/>
    <w:rsid w:val="00C10C7A"/>
    <w:rsid w:val="00C1100A"/>
    <w:rsid w:val="00C14BFB"/>
    <w:rsid w:val="00C204A2"/>
    <w:rsid w:val="00C2110F"/>
    <w:rsid w:val="00C22364"/>
    <w:rsid w:val="00C2276F"/>
    <w:rsid w:val="00C22CBD"/>
    <w:rsid w:val="00C23AD4"/>
    <w:rsid w:val="00C23C05"/>
    <w:rsid w:val="00C26F9F"/>
    <w:rsid w:val="00C277FD"/>
    <w:rsid w:val="00C32DD4"/>
    <w:rsid w:val="00C33181"/>
    <w:rsid w:val="00C343DB"/>
    <w:rsid w:val="00C350CA"/>
    <w:rsid w:val="00C35C6A"/>
    <w:rsid w:val="00C36236"/>
    <w:rsid w:val="00C40BAD"/>
    <w:rsid w:val="00C41440"/>
    <w:rsid w:val="00C420A0"/>
    <w:rsid w:val="00C424C6"/>
    <w:rsid w:val="00C42AAB"/>
    <w:rsid w:val="00C431F6"/>
    <w:rsid w:val="00C446D1"/>
    <w:rsid w:val="00C47BAB"/>
    <w:rsid w:val="00C50820"/>
    <w:rsid w:val="00C51568"/>
    <w:rsid w:val="00C52865"/>
    <w:rsid w:val="00C52CBB"/>
    <w:rsid w:val="00C52D24"/>
    <w:rsid w:val="00C52E98"/>
    <w:rsid w:val="00C55476"/>
    <w:rsid w:val="00C56B0A"/>
    <w:rsid w:val="00C574FF"/>
    <w:rsid w:val="00C576AB"/>
    <w:rsid w:val="00C61969"/>
    <w:rsid w:val="00C61A24"/>
    <w:rsid w:val="00C65E5A"/>
    <w:rsid w:val="00C65FDA"/>
    <w:rsid w:val="00C712B8"/>
    <w:rsid w:val="00C72D4D"/>
    <w:rsid w:val="00C73D0F"/>
    <w:rsid w:val="00C74626"/>
    <w:rsid w:val="00C8205A"/>
    <w:rsid w:val="00C8364C"/>
    <w:rsid w:val="00C84031"/>
    <w:rsid w:val="00C84303"/>
    <w:rsid w:val="00C847E4"/>
    <w:rsid w:val="00C8692B"/>
    <w:rsid w:val="00C86FDB"/>
    <w:rsid w:val="00C94B28"/>
    <w:rsid w:val="00C967F3"/>
    <w:rsid w:val="00C96872"/>
    <w:rsid w:val="00CA0784"/>
    <w:rsid w:val="00CA14F3"/>
    <w:rsid w:val="00CA1A56"/>
    <w:rsid w:val="00CA50CB"/>
    <w:rsid w:val="00CA7847"/>
    <w:rsid w:val="00CB05FD"/>
    <w:rsid w:val="00CB06E7"/>
    <w:rsid w:val="00CB33B1"/>
    <w:rsid w:val="00CB34F2"/>
    <w:rsid w:val="00CB4AC8"/>
    <w:rsid w:val="00CB5EBE"/>
    <w:rsid w:val="00CB7BA5"/>
    <w:rsid w:val="00CB7CFA"/>
    <w:rsid w:val="00CC0E40"/>
    <w:rsid w:val="00CC15CC"/>
    <w:rsid w:val="00CC2490"/>
    <w:rsid w:val="00CC312C"/>
    <w:rsid w:val="00CC33EC"/>
    <w:rsid w:val="00CC3AA9"/>
    <w:rsid w:val="00CC4457"/>
    <w:rsid w:val="00CC44E5"/>
    <w:rsid w:val="00CC4FE6"/>
    <w:rsid w:val="00CC5DA7"/>
    <w:rsid w:val="00CD0A39"/>
    <w:rsid w:val="00CD1686"/>
    <w:rsid w:val="00CD1742"/>
    <w:rsid w:val="00CD1F90"/>
    <w:rsid w:val="00CD2906"/>
    <w:rsid w:val="00CD2A00"/>
    <w:rsid w:val="00CD434C"/>
    <w:rsid w:val="00CD6D85"/>
    <w:rsid w:val="00CE02D9"/>
    <w:rsid w:val="00CE0652"/>
    <w:rsid w:val="00CE09DB"/>
    <w:rsid w:val="00CE11F0"/>
    <w:rsid w:val="00CE1291"/>
    <w:rsid w:val="00CE13B4"/>
    <w:rsid w:val="00CE144D"/>
    <w:rsid w:val="00CE1C23"/>
    <w:rsid w:val="00CE4745"/>
    <w:rsid w:val="00CE5B58"/>
    <w:rsid w:val="00CE5F1A"/>
    <w:rsid w:val="00CE74DA"/>
    <w:rsid w:val="00CE7635"/>
    <w:rsid w:val="00CF0788"/>
    <w:rsid w:val="00CF1912"/>
    <w:rsid w:val="00CF4349"/>
    <w:rsid w:val="00CF5199"/>
    <w:rsid w:val="00CF5B2F"/>
    <w:rsid w:val="00CF6462"/>
    <w:rsid w:val="00D0012F"/>
    <w:rsid w:val="00D02745"/>
    <w:rsid w:val="00D03535"/>
    <w:rsid w:val="00D04BC2"/>
    <w:rsid w:val="00D07C58"/>
    <w:rsid w:val="00D107C0"/>
    <w:rsid w:val="00D1540E"/>
    <w:rsid w:val="00D16921"/>
    <w:rsid w:val="00D169D4"/>
    <w:rsid w:val="00D21624"/>
    <w:rsid w:val="00D23EAC"/>
    <w:rsid w:val="00D2455C"/>
    <w:rsid w:val="00D24C40"/>
    <w:rsid w:val="00D25B65"/>
    <w:rsid w:val="00D26D30"/>
    <w:rsid w:val="00D26DB4"/>
    <w:rsid w:val="00D30F1C"/>
    <w:rsid w:val="00D31633"/>
    <w:rsid w:val="00D33622"/>
    <w:rsid w:val="00D34282"/>
    <w:rsid w:val="00D359A8"/>
    <w:rsid w:val="00D35F05"/>
    <w:rsid w:val="00D3674C"/>
    <w:rsid w:val="00D375AC"/>
    <w:rsid w:val="00D37887"/>
    <w:rsid w:val="00D37B20"/>
    <w:rsid w:val="00D433FA"/>
    <w:rsid w:val="00D44487"/>
    <w:rsid w:val="00D44CE0"/>
    <w:rsid w:val="00D461DD"/>
    <w:rsid w:val="00D46C5C"/>
    <w:rsid w:val="00D46EEB"/>
    <w:rsid w:val="00D475BD"/>
    <w:rsid w:val="00D476F6"/>
    <w:rsid w:val="00D500FE"/>
    <w:rsid w:val="00D50172"/>
    <w:rsid w:val="00D55980"/>
    <w:rsid w:val="00D55F7E"/>
    <w:rsid w:val="00D57A22"/>
    <w:rsid w:val="00D57F36"/>
    <w:rsid w:val="00D61F64"/>
    <w:rsid w:val="00D62233"/>
    <w:rsid w:val="00D6241A"/>
    <w:rsid w:val="00D630B0"/>
    <w:rsid w:val="00D63165"/>
    <w:rsid w:val="00D65C2A"/>
    <w:rsid w:val="00D66BF6"/>
    <w:rsid w:val="00D6795F"/>
    <w:rsid w:val="00D702AA"/>
    <w:rsid w:val="00D71086"/>
    <w:rsid w:val="00D74E3B"/>
    <w:rsid w:val="00D75DF1"/>
    <w:rsid w:val="00D75EA6"/>
    <w:rsid w:val="00D803C6"/>
    <w:rsid w:val="00D84165"/>
    <w:rsid w:val="00D84E9E"/>
    <w:rsid w:val="00D85897"/>
    <w:rsid w:val="00D86416"/>
    <w:rsid w:val="00D86BF4"/>
    <w:rsid w:val="00D95BE4"/>
    <w:rsid w:val="00D96C94"/>
    <w:rsid w:val="00DA01C2"/>
    <w:rsid w:val="00DA0295"/>
    <w:rsid w:val="00DA1266"/>
    <w:rsid w:val="00DA1BAF"/>
    <w:rsid w:val="00DA3433"/>
    <w:rsid w:val="00DA38B4"/>
    <w:rsid w:val="00DA4899"/>
    <w:rsid w:val="00DA4A3E"/>
    <w:rsid w:val="00DA5410"/>
    <w:rsid w:val="00DA6D32"/>
    <w:rsid w:val="00DA772A"/>
    <w:rsid w:val="00DB1DFF"/>
    <w:rsid w:val="00DB25F9"/>
    <w:rsid w:val="00DB2D9A"/>
    <w:rsid w:val="00DB2FA2"/>
    <w:rsid w:val="00DB61C4"/>
    <w:rsid w:val="00DB6294"/>
    <w:rsid w:val="00DC393C"/>
    <w:rsid w:val="00DC426F"/>
    <w:rsid w:val="00DC4494"/>
    <w:rsid w:val="00DC4AEC"/>
    <w:rsid w:val="00DC4FD4"/>
    <w:rsid w:val="00DC54DA"/>
    <w:rsid w:val="00DC6A6A"/>
    <w:rsid w:val="00DC74FB"/>
    <w:rsid w:val="00DD0EF0"/>
    <w:rsid w:val="00DD1281"/>
    <w:rsid w:val="00DD1586"/>
    <w:rsid w:val="00DD1D19"/>
    <w:rsid w:val="00DD2234"/>
    <w:rsid w:val="00DD2E02"/>
    <w:rsid w:val="00DD3DA4"/>
    <w:rsid w:val="00DD4CAF"/>
    <w:rsid w:val="00DD5BCE"/>
    <w:rsid w:val="00DE0216"/>
    <w:rsid w:val="00DE059A"/>
    <w:rsid w:val="00DE09F4"/>
    <w:rsid w:val="00DE1AEB"/>
    <w:rsid w:val="00DE1B5B"/>
    <w:rsid w:val="00DE32CA"/>
    <w:rsid w:val="00DE6685"/>
    <w:rsid w:val="00DE6913"/>
    <w:rsid w:val="00DE71B1"/>
    <w:rsid w:val="00DF311E"/>
    <w:rsid w:val="00DF4AE5"/>
    <w:rsid w:val="00DF56C4"/>
    <w:rsid w:val="00DF65DC"/>
    <w:rsid w:val="00DF72D9"/>
    <w:rsid w:val="00DF7528"/>
    <w:rsid w:val="00DF77A7"/>
    <w:rsid w:val="00DF7C11"/>
    <w:rsid w:val="00E031BE"/>
    <w:rsid w:val="00E03A59"/>
    <w:rsid w:val="00E03C4C"/>
    <w:rsid w:val="00E04E74"/>
    <w:rsid w:val="00E0532F"/>
    <w:rsid w:val="00E064DE"/>
    <w:rsid w:val="00E1077D"/>
    <w:rsid w:val="00E108DF"/>
    <w:rsid w:val="00E123B1"/>
    <w:rsid w:val="00E14072"/>
    <w:rsid w:val="00E166EF"/>
    <w:rsid w:val="00E16E21"/>
    <w:rsid w:val="00E17B65"/>
    <w:rsid w:val="00E22B3D"/>
    <w:rsid w:val="00E27171"/>
    <w:rsid w:val="00E27374"/>
    <w:rsid w:val="00E2768C"/>
    <w:rsid w:val="00E27AEF"/>
    <w:rsid w:val="00E27CE6"/>
    <w:rsid w:val="00E27D7A"/>
    <w:rsid w:val="00E30271"/>
    <w:rsid w:val="00E31865"/>
    <w:rsid w:val="00E32B97"/>
    <w:rsid w:val="00E330EA"/>
    <w:rsid w:val="00E3346C"/>
    <w:rsid w:val="00E33EE8"/>
    <w:rsid w:val="00E348AA"/>
    <w:rsid w:val="00E35FE9"/>
    <w:rsid w:val="00E3617C"/>
    <w:rsid w:val="00E40D77"/>
    <w:rsid w:val="00E44D91"/>
    <w:rsid w:val="00E51AB2"/>
    <w:rsid w:val="00E51CF1"/>
    <w:rsid w:val="00E51E2D"/>
    <w:rsid w:val="00E5301C"/>
    <w:rsid w:val="00E5514B"/>
    <w:rsid w:val="00E55EDB"/>
    <w:rsid w:val="00E632C3"/>
    <w:rsid w:val="00E64AA4"/>
    <w:rsid w:val="00E64F83"/>
    <w:rsid w:val="00E66248"/>
    <w:rsid w:val="00E66B2C"/>
    <w:rsid w:val="00E67701"/>
    <w:rsid w:val="00E67EC9"/>
    <w:rsid w:val="00E707D9"/>
    <w:rsid w:val="00E70FF7"/>
    <w:rsid w:val="00E711A4"/>
    <w:rsid w:val="00E71F68"/>
    <w:rsid w:val="00E73B44"/>
    <w:rsid w:val="00E77630"/>
    <w:rsid w:val="00E777C8"/>
    <w:rsid w:val="00E81D44"/>
    <w:rsid w:val="00E81EA7"/>
    <w:rsid w:val="00E83F65"/>
    <w:rsid w:val="00E840B5"/>
    <w:rsid w:val="00E84836"/>
    <w:rsid w:val="00E85EB8"/>
    <w:rsid w:val="00E86845"/>
    <w:rsid w:val="00E879E3"/>
    <w:rsid w:val="00E87FA2"/>
    <w:rsid w:val="00E91602"/>
    <w:rsid w:val="00E93DEA"/>
    <w:rsid w:val="00E959F9"/>
    <w:rsid w:val="00E968BB"/>
    <w:rsid w:val="00E96F98"/>
    <w:rsid w:val="00E97812"/>
    <w:rsid w:val="00EA3B57"/>
    <w:rsid w:val="00EA4AF9"/>
    <w:rsid w:val="00EA676C"/>
    <w:rsid w:val="00EA743D"/>
    <w:rsid w:val="00EB02F8"/>
    <w:rsid w:val="00EB035A"/>
    <w:rsid w:val="00EB15FF"/>
    <w:rsid w:val="00EB3398"/>
    <w:rsid w:val="00EB3A4E"/>
    <w:rsid w:val="00EB3E5D"/>
    <w:rsid w:val="00EB728E"/>
    <w:rsid w:val="00EC09D4"/>
    <w:rsid w:val="00EC1053"/>
    <w:rsid w:val="00EC1B27"/>
    <w:rsid w:val="00EC39F5"/>
    <w:rsid w:val="00EC3FFE"/>
    <w:rsid w:val="00EC6D6E"/>
    <w:rsid w:val="00ED0EC9"/>
    <w:rsid w:val="00ED1194"/>
    <w:rsid w:val="00ED1F40"/>
    <w:rsid w:val="00ED2459"/>
    <w:rsid w:val="00ED7806"/>
    <w:rsid w:val="00ED7DC5"/>
    <w:rsid w:val="00EE00F4"/>
    <w:rsid w:val="00EE04B6"/>
    <w:rsid w:val="00EE083D"/>
    <w:rsid w:val="00EE098E"/>
    <w:rsid w:val="00EE18BC"/>
    <w:rsid w:val="00EE1CC1"/>
    <w:rsid w:val="00EE27D6"/>
    <w:rsid w:val="00EE3536"/>
    <w:rsid w:val="00EE4DC9"/>
    <w:rsid w:val="00EE58BB"/>
    <w:rsid w:val="00EE60CD"/>
    <w:rsid w:val="00EE7221"/>
    <w:rsid w:val="00EE769B"/>
    <w:rsid w:val="00EE7864"/>
    <w:rsid w:val="00EF1629"/>
    <w:rsid w:val="00EF604C"/>
    <w:rsid w:val="00EF64DF"/>
    <w:rsid w:val="00EF67F2"/>
    <w:rsid w:val="00F01F85"/>
    <w:rsid w:val="00F04773"/>
    <w:rsid w:val="00F06A80"/>
    <w:rsid w:val="00F06F2A"/>
    <w:rsid w:val="00F07047"/>
    <w:rsid w:val="00F0784A"/>
    <w:rsid w:val="00F13815"/>
    <w:rsid w:val="00F15123"/>
    <w:rsid w:val="00F159C2"/>
    <w:rsid w:val="00F15F26"/>
    <w:rsid w:val="00F16CE5"/>
    <w:rsid w:val="00F177E7"/>
    <w:rsid w:val="00F209F7"/>
    <w:rsid w:val="00F21664"/>
    <w:rsid w:val="00F217D8"/>
    <w:rsid w:val="00F21996"/>
    <w:rsid w:val="00F21BA4"/>
    <w:rsid w:val="00F220E0"/>
    <w:rsid w:val="00F23DB3"/>
    <w:rsid w:val="00F242C3"/>
    <w:rsid w:val="00F247FE"/>
    <w:rsid w:val="00F253CE"/>
    <w:rsid w:val="00F26878"/>
    <w:rsid w:val="00F26926"/>
    <w:rsid w:val="00F30092"/>
    <w:rsid w:val="00F3130F"/>
    <w:rsid w:val="00F325FD"/>
    <w:rsid w:val="00F34EBD"/>
    <w:rsid w:val="00F35AEA"/>
    <w:rsid w:val="00F37C8C"/>
    <w:rsid w:val="00F37F27"/>
    <w:rsid w:val="00F416ED"/>
    <w:rsid w:val="00F42416"/>
    <w:rsid w:val="00F42753"/>
    <w:rsid w:val="00F42B32"/>
    <w:rsid w:val="00F42C80"/>
    <w:rsid w:val="00F431F7"/>
    <w:rsid w:val="00F460D6"/>
    <w:rsid w:val="00F4650E"/>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996"/>
    <w:rsid w:val="00F720AD"/>
    <w:rsid w:val="00F73593"/>
    <w:rsid w:val="00F74817"/>
    <w:rsid w:val="00F77491"/>
    <w:rsid w:val="00F800B3"/>
    <w:rsid w:val="00F8067B"/>
    <w:rsid w:val="00F81557"/>
    <w:rsid w:val="00F833C4"/>
    <w:rsid w:val="00F92B82"/>
    <w:rsid w:val="00F93A10"/>
    <w:rsid w:val="00F93B64"/>
    <w:rsid w:val="00F94F58"/>
    <w:rsid w:val="00F95994"/>
    <w:rsid w:val="00F96024"/>
    <w:rsid w:val="00FA0423"/>
    <w:rsid w:val="00FA1405"/>
    <w:rsid w:val="00FA20A9"/>
    <w:rsid w:val="00FA2964"/>
    <w:rsid w:val="00FA3701"/>
    <w:rsid w:val="00FA3D18"/>
    <w:rsid w:val="00FA4307"/>
    <w:rsid w:val="00FA50D6"/>
    <w:rsid w:val="00FA52C9"/>
    <w:rsid w:val="00FA5365"/>
    <w:rsid w:val="00FA5F35"/>
    <w:rsid w:val="00FA6AE8"/>
    <w:rsid w:val="00FA6D84"/>
    <w:rsid w:val="00FA738B"/>
    <w:rsid w:val="00FA78E1"/>
    <w:rsid w:val="00FB082F"/>
    <w:rsid w:val="00FB0875"/>
    <w:rsid w:val="00FB148E"/>
    <w:rsid w:val="00FB22FF"/>
    <w:rsid w:val="00FB3CF2"/>
    <w:rsid w:val="00FB6067"/>
    <w:rsid w:val="00FB69CC"/>
    <w:rsid w:val="00FB789D"/>
    <w:rsid w:val="00FC0039"/>
    <w:rsid w:val="00FC0A10"/>
    <w:rsid w:val="00FC2BBC"/>
    <w:rsid w:val="00FC2CFF"/>
    <w:rsid w:val="00FC53F5"/>
    <w:rsid w:val="00FC6681"/>
    <w:rsid w:val="00FC6A20"/>
    <w:rsid w:val="00FC72ED"/>
    <w:rsid w:val="00FC77B4"/>
    <w:rsid w:val="00FD4444"/>
    <w:rsid w:val="00FD73CB"/>
    <w:rsid w:val="00FE1B25"/>
    <w:rsid w:val="00FE34A5"/>
    <w:rsid w:val="00FE496B"/>
    <w:rsid w:val="00FE65C4"/>
    <w:rsid w:val="00FE7D1B"/>
    <w:rsid w:val="00FF0958"/>
    <w:rsid w:val="00FF0E92"/>
    <w:rsid w:val="00FF2A73"/>
    <w:rsid w:val="00FF32F5"/>
    <w:rsid w:val="00FF3EAD"/>
    <w:rsid w:val="00FF49D3"/>
    <w:rsid w:val="08EB1904"/>
    <w:rsid w:val="424718E9"/>
    <w:rsid w:val="516E3F7C"/>
    <w:rsid w:val="6B89056B"/>
    <w:rsid w:val="6EC842E3"/>
    <w:rsid w:val="775171D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99" w:semiHidden="0" w:name="annotation text"/>
    <w:lsdException w:qFormat="1"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99"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2">
    <w:name w:val="annotation text"/>
    <w:basedOn w:val="1"/>
    <w:link w:val="19"/>
    <w:unhideWhenUsed/>
    <w:uiPriority w:val="99"/>
    <w:pPr>
      <w:jc w:val="left"/>
    </w:pPr>
  </w:style>
  <w:style w:type="paragraph" w:styleId="3">
    <w:name w:val="Date"/>
    <w:basedOn w:val="1"/>
    <w:next w:val="1"/>
    <w:link w:val="18"/>
    <w:uiPriority w:val="0"/>
    <w:rPr>
      <w:rFonts w:ascii="CG Times" w:hAnsi="CG Times" w:eastAsia="楷体_GB2312"/>
      <w:sz w:val="28"/>
      <w:szCs w:val="20"/>
    </w:rPr>
  </w:style>
  <w:style w:type="paragraph" w:styleId="4">
    <w:name w:val="Balloon Text"/>
    <w:basedOn w:val="1"/>
    <w:link w:val="21"/>
    <w:unhideWhenUsed/>
    <w:uiPriority w:val="99"/>
    <w:rPr>
      <w:sz w:val="18"/>
      <w:szCs w:val="18"/>
    </w:rPr>
  </w:style>
  <w:style w:type="paragraph" w:styleId="5">
    <w:name w:val="footer"/>
    <w:basedOn w:val="1"/>
    <w:link w:val="23"/>
    <w:unhideWhenUsed/>
    <w:uiPriority w:val="99"/>
    <w:pPr>
      <w:tabs>
        <w:tab w:val="center" w:pos="4153"/>
        <w:tab w:val="right" w:pos="8306"/>
      </w:tabs>
      <w:snapToGrid w:val="0"/>
      <w:jc w:val="left"/>
    </w:pPr>
    <w:rPr>
      <w:sz w:val="18"/>
      <w:szCs w:val="18"/>
    </w:rPr>
  </w:style>
  <w:style w:type="paragraph" w:styleId="6">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20"/>
    <w:unhideWhenUsed/>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basedOn w:val="10"/>
    <w:qFormat/>
    <w:uiPriority w:val="22"/>
    <w:rPr>
      <w:b/>
      <w:bCs/>
    </w:rPr>
  </w:style>
  <w:style w:type="character" w:styleId="12">
    <w:name w:val="page number"/>
    <w:basedOn w:val="10"/>
    <w:unhideWhenUsed/>
    <w:qFormat/>
    <w:uiPriority w:val="0"/>
  </w:style>
  <w:style w:type="character" w:styleId="13">
    <w:name w:val="FollowedHyperlink"/>
    <w:basedOn w:val="10"/>
    <w:semiHidden/>
    <w:unhideWhenUsed/>
    <w:uiPriority w:val="0"/>
    <w:rPr>
      <w:color w:val="800080" w:themeColor="followedHyperlink"/>
      <w:u w:val="single"/>
      <w14:textFill>
        <w14:solidFill>
          <w14:schemeClr w14:val="folHlink"/>
        </w14:solidFill>
      </w14:textFill>
    </w:rPr>
  </w:style>
  <w:style w:type="character" w:styleId="14">
    <w:name w:val="Hyperlink"/>
    <w:basedOn w:val="10"/>
    <w:uiPriority w:val="0"/>
    <w:rPr>
      <w:color w:val="0000FF"/>
      <w:u w:val="single"/>
    </w:rPr>
  </w:style>
  <w:style w:type="character" w:styleId="15">
    <w:name w:val="annotation reference"/>
    <w:basedOn w:val="10"/>
    <w:unhideWhenUsed/>
    <w:uiPriority w:val="99"/>
    <w:rPr>
      <w:sz w:val="21"/>
      <w:szCs w:val="21"/>
    </w:rPr>
  </w:style>
  <w:style w:type="paragraph" w:customStyle="1" w:styleId="16">
    <w:name w:val="列出段落1"/>
    <w:basedOn w:val="1"/>
    <w:qFormat/>
    <w:uiPriority w:val="34"/>
    <w:pPr>
      <w:ind w:firstLine="420" w:firstLineChars="200"/>
    </w:pPr>
  </w:style>
  <w:style w:type="paragraph" w:customStyle="1" w:styleId="17">
    <w:name w:val="p0"/>
    <w:basedOn w:val="1"/>
    <w:qFormat/>
    <w:uiPriority w:val="0"/>
    <w:pPr>
      <w:widowControl/>
      <w:jc w:val="left"/>
    </w:pPr>
    <w:rPr>
      <w:rFonts w:ascii="宋体" w:hAnsi="宋体" w:cs="宋体"/>
      <w:kern w:val="0"/>
      <w:sz w:val="24"/>
    </w:rPr>
  </w:style>
  <w:style w:type="character" w:customStyle="1" w:styleId="18">
    <w:name w:val="日期 Char"/>
    <w:basedOn w:val="10"/>
    <w:link w:val="3"/>
    <w:uiPriority w:val="0"/>
    <w:rPr>
      <w:rFonts w:ascii="CG Times" w:hAnsi="CG Times" w:eastAsia="楷体_GB2312" w:cs="Times New Roman"/>
      <w:sz w:val="28"/>
      <w:szCs w:val="20"/>
    </w:rPr>
  </w:style>
  <w:style w:type="character" w:customStyle="1" w:styleId="19">
    <w:name w:val="批注文字 Char"/>
    <w:basedOn w:val="10"/>
    <w:link w:val="2"/>
    <w:semiHidden/>
    <w:qFormat/>
    <w:uiPriority w:val="99"/>
    <w:rPr>
      <w:rFonts w:ascii="Times New Roman" w:hAnsi="Times New Roman" w:eastAsia="宋体" w:cs="Times New Roman"/>
      <w:szCs w:val="24"/>
    </w:rPr>
  </w:style>
  <w:style w:type="character" w:customStyle="1" w:styleId="20">
    <w:name w:val="批注主题 Char"/>
    <w:basedOn w:val="19"/>
    <w:link w:val="7"/>
    <w:semiHidden/>
    <w:uiPriority w:val="99"/>
    <w:rPr>
      <w:rFonts w:ascii="Times New Roman" w:hAnsi="Times New Roman" w:eastAsia="宋体" w:cs="Times New Roman"/>
      <w:b/>
      <w:bCs/>
      <w:szCs w:val="24"/>
    </w:rPr>
  </w:style>
  <w:style w:type="character" w:customStyle="1" w:styleId="21">
    <w:name w:val="批注框文本 Char"/>
    <w:basedOn w:val="10"/>
    <w:link w:val="4"/>
    <w:semiHidden/>
    <w:uiPriority w:val="99"/>
    <w:rPr>
      <w:rFonts w:ascii="Times New Roman" w:hAnsi="Times New Roman" w:eastAsia="宋体" w:cs="Times New Roman"/>
      <w:sz w:val="18"/>
      <w:szCs w:val="18"/>
    </w:rPr>
  </w:style>
  <w:style w:type="character" w:customStyle="1" w:styleId="22">
    <w:name w:val="页眉 Char"/>
    <w:basedOn w:val="10"/>
    <w:link w:val="6"/>
    <w:uiPriority w:val="99"/>
    <w:rPr>
      <w:rFonts w:ascii="Times New Roman" w:hAnsi="Times New Roman" w:eastAsia="宋体" w:cs="Times New Roman"/>
      <w:sz w:val="18"/>
      <w:szCs w:val="18"/>
    </w:rPr>
  </w:style>
  <w:style w:type="character" w:customStyle="1" w:styleId="23">
    <w:name w:val="页脚 Char"/>
    <w:basedOn w:val="10"/>
    <w:link w:val="5"/>
    <w:uiPriority w:val="99"/>
    <w:rPr>
      <w:rFonts w:ascii="Times New Roman" w:hAnsi="Times New Roman" w:eastAsia="宋体" w:cs="Times New Roman"/>
      <w:sz w:val="18"/>
      <w:szCs w:val="18"/>
    </w:rPr>
  </w:style>
  <w:style w:type="paragraph" w:styleId="24">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0EF9DA-2AE7-49EC-9798-6A6DB3EDDFCB}">
  <ds:schemaRefs/>
</ds:datastoreItem>
</file>

<file path=customXml/itemProps3.xml><?xml version="1.0" encoding="utf-8"?>
<ds:datastoreItem xmlns:ds="http://schemas.openxmlformats.org/officeDocument/2006/customXml" ds:itemID="{6C05BEAC-8154-4189-A088-32B56E43F4AB}">
  <ds:schemaRefs/>
</ds:datastoreItem>
</file>

<file path=customXml/itemProps4.xml><?xml version="1.0" encoding="utf-8"?>
<ds:datastoreItem xmlns:ds="http://schemas.openxmlformats.org/officeDocument/2006/customXml" ds:itemID="{D6F6D9CF-A22B-4E31-AADD-E7318153BC36}">
  <ds:schemaRefs/>
</ds:datastoreItem>
</file>

<file path=customXml/itemProps5.xml><?xml version="1.0" encoding="utf-8"?>
<ds:datastoreItem xmlns:ds="http://schemas.openxmlformats.org/officeDocument/2006/customXml" ds:itemID="{AF72AC2A-000F-4C10-89F8-864D2CBE7C05}">
  <ds:schemaRefs/>
</ds:datastoreItem>
</file>

<file path=docProps/app.xml><?xml version="1.0" encoding="utf-8"?>
<Properties xmlns="http://schemas.openxmlformats.org/officeDocument/2006/extended-properties" xmlns:vt="http://schemas.openxmlformats.org/officeDocument/2006/docPropsVTypes">
  <Template>EC7CFE05.dotm</Template>
  <Company>Microsoft</Company>
  <Pages>14</Pages>
  <Words>1221</Words>
  <Characters>6965</Characters>
  <Lines>58</Lines>
  <Paragraphs>16</Paragraphs>
  <TotalTime>0</TotalTime>
  <ScaleCrop>false</ScaleCrop>
  <LinksUpToDate>false</LinksUpToDate>
  <CharactersWithSpaces>8170</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2019-11-02T10:15:00Z</dcterms:created>
  <dc:creator>LocalAccount</dc:creator>
  <cp:lastModifiedBy>jyyx</cp:lastModifiedBy>
  <dcterms:modified xsi:type="dcterms:W3CDTF">2020-11-24T04:25:23Z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2052-11.8.2.8555</vt:lpwstr>
  </property>
</Properties>
</file>