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5"/>
        <w:jc w:val="center"/>
        <w:rPr>
          <w:rFonts w:ascii="楷体_GB2312" w:eastAsia="楷体_GB2312"/>
          <w:b/>
          <w:color w:val="000000"/>
          <w:sz w:val="32"/>
          <w:szCs w:val="32"/>
        </w:rPr>
      </w:pPr>
      <w:bookmarkStart w:id="0" w:name="_Toc102489700"/>
      <w:r>
        <w:rPr>
          <w:rFonts w:hint="eastAsia" w:ascii="楷体_GB2312" w:eastAsia="楷体_GB2312"/>
          <w:b/>
          <w:color w:val="000000"/>
          <w:sz w:val="32"/>
          <w:szCs w:val="32"/>
        </w:rPr>
        <w:t>下调基金交易经手费收费标准暨港股交易印花税调整等业务2021年7月17日全网测试方案</w:t>
      </w:r>
    </w:p>
    <w:p>
      <w:pPr>
        <w:pStyle w:val="15"/>
        <w:jc w:val="center"/>
        <w:rPr>
          <w:rFonts w:ascii="楷体_GB2312" w:eastAsia="楷体_GB2312"/>
          <w:b/>
          <w:color w:val="000000"/>
          <w:sz w:val="36"/>
          <w:szCs w:val="36"/>
        </w:rPr>
      </w:pPr>
    </w:p>
    <w:p>
      <w:pPr>
        <w:pStyle w:val="15"/>
        <w:outlineLvl w:val="0"/>
        <w:rPr>
          <w:rFonts w:ascii="楷体_GB2312" w:eastAsia="楷体_GB2312"/>
          <w:b/>
          <w:color w:val="000000"/>
          <w:sz w:val="32"/>
          <w:szCs w:val="32"/>
        </w:rPr>
      </w:pPr>
      <w:r>
        <w:rPr>
          <w:rFonts w:hint="eastAsia" w:ascii="楷体_GB2312" w:eastAsia="楷体_GB2312"/>
          <w:b/>
          <w:color w:val="000000"/>
          <w:sz w:val="32"/>
          <w:szCs w:val="32"/>
        </w:rPr>
        <w:t>一、测试目的</w:t>
      </w:r>
      <w:bookmarkEnd w:id="0"/>
    </w:p>
    <w:p>
      <w:pPr>
        <w:ind w:firstLine="562" w:firstLineChars="201"/>
        <w:rPr>
          <w:color w:val="000000"/>
          <w:sz w:val="28"/>
          <w:szCs w:val="28"/>
        </w:rPr>
      </w:pPr>
      <w:r>
        <w:rPr>
          <w:rFonts w:hint="eastAsia"/>
          <w:color w:val="000000"/>
          <w:sz w:val="28"/>
          <w:szCs w:val="28"/>
        </w:rPr>
        <w:t>深圳证券交易所（以下简称“深交所”）已于2021年6月30日发布《关于下调基金交易经手费收费标准的通知》，为确保相关业务的顺利实施，深交所联合中国证券登记结算有限责任公司（以下简称“中国结算”）深圳分公司定于2021年7月17日组织全网测试，主要通过模拟基金交易的业务处理过程，检验市场参与各方技术系统的正确性。</w:t>
      </w:r>
    </w:p>
    <w:p>
      <w:pPr>
        <w:ind w:firstLine="562" w:firstLineChars="201"/>
        <w:rPr>
          <w:sz w:val="28"/>
          <w:szCs w:val="28"/>
        </w:rPr>
      </w:pPr>
      <w:r>
        <w:rPr>
          <w:rFonts w:hint="eastAsia"/>
          <w:sz w:val="28"/>
          <w:szCs w:val="28"/>
        </w:rPr>
        <w:t>中国结算已于2021年7月9日发布《关于减免部分登记结算业务收费的通知》，为确保相关业务的顺利开展，中国结算深圳分公司联合深交所定于</w:t>
      </w:r>
      <w:r>
        <w:rPr>
          <w:rFonts w:hint="eastAsia"/>
          <w:color w:val="000000"/>
          <w:sz w:val="28"/>
          <w:szCs w:val="28"/>
        </w:rPr>
        <w:t>2021年7月17日组织全网测试</w:t>
      </w:r>
      <w:r>
        <w:rPr>
          <w:rFonts w:hint="eastAsia"/>
          <w:sz w:val="28"/>
          <w:szCs w:val="28"/>
        </w:rPr>
        <w:t>，通过模拟优先股交易、</w:t>
      </w:r>
      <w:r>
        <w:rPr>
          <w:rFonts w:hint="eastAsia"/>
          <w:sz w:val="28"/>
          <w:szCs w:val="28"/>
        </w:rPr>
        <w:tab/>
      </w:r>
      <w:r>
        <w:rPr>
          <w:rFonts w:hint="eastAsia"/>
          <w:sz w:val="28"/>
          <w:szCs w:val="28"/>
        </w:rPr>
        <w:t>债券跨市场转托管（政府支持债券、企业债）、转托管(包含港股通转托管)、B股交易、B股一二类指令、B股要约收购等业务处理过程，检验市场参与各方技术系统的正确性。</w:t>
      </w:r>
    </w:p>
    <w:p>
      <w:pPr>
        <w:ind w:firstLine="562" w:firstLineChars="201"/>
        <w:rPr>
          <w:sz w:val="28"/>
          <w:szCs w:val="28"/>
        </w:rPr>
      </w:pPr>
      <w:r>
        <w:rPr>
          <w:rFonts w:hint="eastAsia"/>
          <w:sz w:val="28"/>
          <w:szCs w:val="28"/>
        </w:rPr>
        <w:t>中国结算深圳分公司已于2021年1月15日发布了《关于做好资金代收代付业务技术准备的通知》，为确保相关业务的顺利开展，中国结算深圳分公司联合深交所定于2021年7月17日组织全网测试，通过模拟资金代收代付业务D-COM相关文件及指令的申报、清算交收等业务处理过程，检验市场参与各方技术系统的正确性。</w:t>
      </w:r>
    </w:p>
    <w:p>
      <w:pPr>
        <w:ind w:firstLine="562" w:firstLineChars="201"/>
        <w:rPr>
          <w:color w:val="000000"/>
          <w:sz w:val="28"/>
          <w:szCs w:val="28"/>
        </w:rPr>
      </w:pPr>
      <w:r>
        <w:rPr>
          <w:rFonts w:hint="eastAsia"/>
          <w:color w:val="000000"/>
          <w:sz w:val="28"/>
          <w:szCs w:val="28"/>
        </w:rPr>
        <w:t>为了确保2021年8月1日港股交易印花税调整的顺利实施，深交所联合中国结算深圳分公司定于2021年7月17日组织全网测试，主要通过模拟港股通、B转H股、H股“全流通”日常交易以及相关结算的处理过程，检验市场参与各方技术系统的正确性。</w:t>
      </w:r>
    </w:p>
    <w:p>
      <w:pPr>
        <w:ind w:firstLine="562" w:firstLineChars="201"/>
        <w:rPr>
          <w:color w:val="000000"/>
          <w:sz w:val="28"/>
          <w:szCs w:val="28"/>
        </w:rPr>
      </w:pPr>
    </w:p>
    <w:p>
      <w:pPr>
        <w:pStyle w:val="15"/>
        <w:outlineLvl w:val="0"/>
        <w:rPr>
          <w:rFonts w:ascii="楷体_GB2312" w:eastAsia="楷体_GB2312"/>
          <w:b/>
          <w:color w:val="000000"/>
          <w:sz w:val="32"/>
          <w:szCs w:val="32"/>
        </w:rPr>
      </w:pPr>
      <w:bookmarkStart w:id="1" w:name="_Toc102489701"/>
      <w:r>
        <w:rPr>
          <w:rFonts w:hint="eastAsia" w:ascii="楷体_GB2312" w:eastAsia="楷体_GB2312"/>
          <w:b/>
          <w:color w:val="000000"/>
          <w:sz w:val="32"/>
          <w:szCs w:val="32"/>
        </w:rPr>
        <w:t>二、参测单位</w:t>
      </w:r>
      <w:bookmarkEnd w:id="1"/>
    </w:p>
    <w:p>
      <w:pPr>
        <w:numPr>
          <w:ilvl w:val="0"/>
          <w:numId w:val="2"/>
        </w:numPr>
        <w:rPr>
          <w:color w:val="000000"/>
          <w:sz w:val="28"/>
          <w:szCs w:val="28"/>
        </w:rPr>
      </w:pPr>
      <w:r>
        <w:rPr>
          <w:rFonts w:hint="eastAsia"/>
          <w:color w:val="000000"/>
          <w:sz w:val="28"/>
          <w:szCs w:val="28"/>
        </w:rPr>
        <w:t>深圳证券交易所</w:t>
      </w:r>
    </w:p>
    <w:p>
      <w:pPr>
        <w:numPr>
          <w:ilvl w:val="0"/>
          <w:numId w:val="2"/>
        </w:numPr>
        <w:rPr>
          <w:color w:val="000000"/>
          <w:sz w:val="28"/>
          <w:szCs w:val="28"/>
        </w:rPr>
      </w:pPr>
      <w:r>
        <w:rPr>
          <w:rFonts w:hint="eastAsia"/>
          <w:sz w:val="28"/>
          <w:szCs w:val="28"/>
        </w:rPr>
        <w:t>中国结算深圳分公司</w:t>
      </w:r>
    </w:p>
    <w:p>
      <w:pPr>
        <w:numPr>
          <w:ilvl w:val="0"/>
          <w:numId w:val="2"/>
        </w:numPr>
        <w:rPr>
          <w:color w:val="000000"/>
          <w:sz w:val="28"/>
          <w:szCs w:val="28"/>
        </w:rPr>
      </w:pPr>
      <w:r>
        <w:rPr>
          <w:rFonts w:hint="eastAsia"/>
          <w:color w:val="000000"/>
          <w:sz w:val="28"/>
          <w:szCs w:val="28"/>
        </w:rPr>
        <w:t>香港联交所</w:t>
      </w:r>
    </w:p>
    <w:p>
      <w:pPr>
        <w:numPr>
          <w:ilvl w:val="0"/>
          <w:numId w:val="2"/>
        </w:numPr>
        <w:rPr>
          <w:color w:val="000000"/>
          <w:sz w:val="28"/>
          <w:szCs w:val="28"/>
        </w:rPr>
      </w:pPr>
      <w:r>
        <w:rPr>
          <w:rFonts w:hint="eastAsia"/>
          <w:color w:val="000000"/>
          <w:sz w:val="28"/>
          <w:szCs w:val="28"/>
        </w:rPr>
        <w:t>深圳证券通信有限公司</w:t>
      </w:r>
    </w:p>
    <w:p>
      <w:pPr>
        <w:numPr>
          <w:ilvl w:val="0"/>
          <w:numId w:val="2"/>
        </w:numPr>
        <w:rPr>
          <w:color w:val="000000"/>
          <w:sz w:val="28"/>
          <w:szCs w:val="28"/>
        </w:rPr>
      </w:pPr>
      <w:r>
        <w:rPr>
          <w:rFonts w:hint="eastAsia"/>
          <w:color w:val="000000"/>
          <w:sz w:val="28"/>
          <w:szCs w:val="28"/>
        </w:rPr>
        <w:t>会员单位</w:t>
      </w:r>
    </w:p>
    <w:p>
      <w:pPr>
        <w:numPr>
          <w:ilvl w:val="0"/>
          <w:numId w:val="2"/>
        </w:numPr>
        <w:rPr>
          <w:color w:val="000000"/>
          <w:sz w:val="28"/>
          <w:szCs w:val="28"/>
        </w:rPr>
      </w:pPr>
      <w:r>
        <w:rPr>
          <w:rFonts w:hint="eastAsia"/>
          <w:color w:val="000000"/>
          <w:sz w:val="28"/>
          <w:szCs w:val="28"/>
        </w:rPr>
        <w:t>基金管理人</w:t>
      </w:r>
    </w:p>
    <w:p>
      <w:pPr>
        <w:numPr>
          <w:ilvl w:val="0"/>
          <w:numId w:val="2"/>
        </w:numPr>
        <w:rPr>
          <w:color w:val="000000"/>
          <w:sz w:val="28"/>
          <w:szCs w:val="28"/>
        </w:rPr>
      </w:pPr>
      <w:r>
        <w:rPr>
          <w:rFonts w:hint="eastAsia"/>
          <w:color w:val="000000"/>
          <w:sz w:val="28"/>
          <w:szCs w:val="28"/>
        </w:rPr>
        <w:t>开通港股通业务的会员及其他交易参与人</w:t>
      </w:r>
    </w:p>
    <w:p>
      <w:pPr>
        <w:numPr>
          <w:ilvl w:val="0"/>
          <w:numId w:val="2"/>
        </w:numPr>
        <w:rPr>
          <w:color w:val="000000"/>
          <w:sz w:val="28"/>
          <w:szCs w:val="28"/>
        </w:rPr>
      </w:pPr>
      <w:r>
        <w:rPr>
          <w:rFonts w:hint="eastAsia"/>
          <w:color w:val="000000"/>
          <w:sz w:val="28"/>
          <w:szCs w:val="28"/>
        </w:rPr>
        <w:t>B转H股境内、境外券商</w:t>
      </w:r>
    </w:p>
    <w:p>
      <w:pPr>
        <w:numPr>
          <w:ilvl w:val="0"/>
          <w:numId w:val="2"/>
        </w:numPr>
        <w:rPr>
          <w:color w:val="000000"/>
          <w:sz w:val="28"/>
          <w:szCs w:val="28"/>
        </w:rPr>
      </w:pPr>
      <w:r>
        <w:rPr>
          <w:rFonts w:hint="eastAsia"/>
          <w:color w:val="000000"/>
          <w:sz w:val="28"/>
          <w:szCs w:val="28"/>
        </w:rPr>
        <w:t>H股“全流通”境内、境外券商</w:t>
      </w:r>
    </w:p>
    <w:p>
      <w:pPr>
        <w:numPr>
          <w:ilvl w:val="0"/>
          <w:numId w:val="2"/>
        </w:numPr>
        <w:rPr>
          <w:color w:val="000000"/>
          <w:sz w:val="28"/>
          <w:szCs w:val="28"/>
        </w:rPr>
      </w:pPr>
      <w:r>
        <w:rPr>
          <w:rFonts w:hint="eastAsia" w:ascii="楷体" w:hAnsi="楷体" w:eastAsia="楷体"/>
          <w:sz w:val="28"/>
          <w:szCs w:val="28"/>
        </w:rPr>
        <w:t>境外B股券商</w:t>
      </w:r>
    </w:p>
    <w:p>
      <w:pPr>
        <w:numPr>
          <w:ilvl w:val="0"/>
          <w:numId w:val="2"/>
        </w:numPr>
        <w:rPr>
          <w:color w:val="000000"/>
          <w:sz w:val="28"/>
          <w:szCs w:val="28"/>
        </w:rPr>
      </w:pPr>
      <w:r>
        <w:rPr>
          <w:rFonts w:hint="eastAsia"/>
          <w:color w:val="000000"/>
          <w:sz w:val="28"/>
          <w:szCs w:val="28"/>
        </w:rPr>
        <w:t>结算参与机构</w:t>
      </w:r>
    </w:p>
    <w:p>
      <w:pPr>
        <w:numPr>
          <w:ilvl w:val="0"/>
          <w:numId w:val="2"/>
        </w:numPr>
        <w:rPr>
          <w:color w:val="000000"/>
          <w:sz w:val="28"/>
          <w:szCs w:val="28"/>
        </w:rPr>
      </w:pPr>
      <w:r>
        <w:rPr>
          <w:rFonts w:hint="eastAsia"/>
          <w:color w:val="000000"/>
          <w:sz w:val="28"/>
          <w:szCs w:val="28"/>
        </w:rPr>
        <w:t>其他相关单位</w:t>
      </w:r>
    </w:p>
    <w:p>
      <w:pPr>
        <w:tabs>
          <w:tab w:val="left" w:pos="420"/>
        </w:tabs>
        <w:rPr>
          <w:color w:val="000000"/>
          <w:sz w:val="28"/>
          <w:szCs w:val="28"/>
        </w:rPr>
      </w:pPr>
    </w:p>
    <w:p>
      <w:pPr>
        <w:pStyle w:val="15"/>
        <w:outlineLvl w:val="0"/>
        <w:rPr>
          <w:rFonts w:ascii="楷体_GB2312" w:eastAsia="楷体_GB2312"/>
          <w:b/>
          <w:color w:val="000000"/>
          <w:sz w:val="32"/>
          <w:szCs w:val="32"/>
        </w:rPr>
      </w:pPr>
      <w:bookmarkStart w:id="2" w:name="_Toc102489702"/>
      <w:r>
        <w:rPr>
          <w:rFonts w:hint="eastAsia" w:ascii="楷体_GB2312" w:eastAsia="楷体_GB2312"/>
          <w:b/>
          <w:color w:val="000000"/>
          <w:sz w:val="32"/>
          <w:szCs w:val="32"/>
        </w:rPr>
        <w:t>三、测试内容</w:t>
      </w:r>
      <w:bookmarkEnd w:id="2"/>
    </w:p>
    <w:p>
      <w:pPr>
        <w:ind w:firstLine="562" w:firstLineChars="201"/>
        <w:rPr>
          <w:sz w:val="28"/>
          <w:szCs w:val="28"/>
        </w:rPr>
      </w:pPr>
      <w:r>
        <w:rPr>
          <w:rFonts w:hint="eastAsia"/>
          <w:sz w:val="28"/>
          <w:szCs w:val="28"/>
        </w:rPr>
        <w:t>深市证券交易系统、结算系统、B转H系统、易境通系统模拟1个业务日的交易、结算（即模拟T日2021年7月17日），港股通证券模拟半日市交易和1个结算日的结算（即模拟T日2021年7月17日）。</w:t>
      </w:r>
    </w:p>
    <w:p>
      <w:pPr>
        <w:ind w:firstLine="562" w:firstLineChars="201"/>
        <w:rPr>
          <w:sz w:val="28"/>
          <w:szCs w:val="28"/>
        </w:rPr>
      </w:pPr>
      <w:r>
        <w:rPr>
          <w:rFonts w:hint="eastAsia"/>
          <w:sz w:val="28"/>
          <w:szCs w:val="28"/>
        </w:rPr>
        <w:t>本次测试重点包括以下内容：</w:t>
      </w:r>
    </w:p>
    <w:p>
      <w:pPr>
        <w:pStyle w:val="72"/>
        <w:numPr>
          <w:ilvl w:val="0"/>
          <w:numId w:val="3"/>
        </w:numPr>
        <w:ind w:left="0" w:firstLine="567" w:firstLineChars="0"/>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下调基金交易经手费收费标准</w:t>
      </w:r>
    </w:p>
    <w:p>
      <w:pPr>
        <w:pStyle w:val="72"/>
        <w:numPr>
          <w:ilvl w:val="0"/>
          <w:numId w:val="4"/>
        </w:numPr>
        <w:ind w:firstLineChars="0"/>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基金（封闭式基金、ETF、LOF等）的集中竞价交易、协议大宗交易、约定购回等业务的委托申报、成交回报、行情接收与展示；</w:t>
      </w:r>
    </w:p>
    <w:p>
      <w:pPr>
        <w:pStyle w:val="72"/>
        <w:numPr>
          <w:ilvl w:val="0"/>
          <w:numId w:val="4"/>
        </w:numPr>
        <w:ind w:firstLineChars="0"/>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基金（封闭式基金、ETF、LOF等）的集中竞价交易、协议大宗交易、约定购回等业务的清算交收。</w:t>
      </w:r>
    </w:p>
    <w:p>
      <w:pPr>
        <w:pStyle w:val="72"/>
        <w:numPr>
          <w:ilvl w:val="0"/>
          <w:numId w:val="3"/>
        </w:numPr>
        <w:ind w:left="0" w:firstLine="567" w:firstLineChars="0"/>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减免部分登记结算业务收费</w:t>
      </w:r>
    </w:p>
    <w:p>
      <w:pPr>
        <w:pStyle w:val="72"/>
        <w:numPr>
          <w:ilvl w:val="0"/>
          <w:numId w:val="5"/>
        </w:numPr>
        <w:ind w:firstLineChars="0"/>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优先股交易；</w:t>
      </w:r>
    </w:p>
    <w:p>
      <w:pPr>
        <w:pStyle w:val="72"/>
        <w:numPr>
          <w:ilvl w:val="0"/>
          <w:numId w:val="5"/>
        </w:numPr>
        <w:ind w:firstLineChars="0"/>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债券跨市场转托管（政府支持债券、企业债）；</w:t>
      </w:r>
    </w:p>
    <w:p>
      <w:pPr>
        <w:pStyle w:val="72"/>
        <w:numPr>
          <w:ilvl w:val="0"/>
          <w:numId w:val="5"/>
        </w:numPr>
        <w:ind w:firstLineChars="0"/>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转托管(包含港股通转托管)；</w:t>
      </w:r>
    </w:p>
    <w:p>
      <w:pPr>
        <w:pStyle w:val="72"/>
        <w:numPr>
          <w:ilvl w:val="0"/>
          <w:numId w:val="5"/>
        </w:numPr>
        <w:ind w:firstLineChars="0"/>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B股的交易、一二类指令、要约收购等业务。</w:t>
      </w:r>
    </w:p>
    <w:p>
      <w:pPr>
        <w:pStyle w:val="72"/>
        <w:numPr>
          <w:ilvl w:val="0"/>
          <w:numId w:val="3"/>
        </w:numPr>
        <w:ind w:left="0" w:firstLine="567" w:firstLineChars="0"/>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资金代收代付业务</w:t>
      </w:r>
    </w:p>
    <w:p>
      <w:pPr>
        <w:pStyle w:val="72"/>
        <w:numPr>
          <w:ilvl w:val="0"/>
          <w:numId w:val="6"/>
        </w:numPr>
        <w:ind w:firstLineChars="0"/>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通过D-COM系统上传实时代收代付清算文件；</w:t>
      </w:r>
    </w:p>
    <w:p>
      <w:pPr>
        <w:pStyle w:val="72"/>
        <w:numPr>
          <w:ilvl w:val="0"/>
          <w:numId w:val="6"/>
        </w:numPr>
        <w:ind w:firstLineChars="0"/>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接收代收代付勾单数据并在D-COM系统进行勾单；</w:t>
      </w:r>
    </w:p>
    <w:p>
      <w:pPr>
        <w:pStyle w:val="72"/>
        <w:numPr>
          <w:ilvl w:val="0"/>
          <w:numId w:val="6"/>
        </w:numPr>
        <w:ind w:firstLineChars="0"/>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接收日终代收代付明细文件。</w:t>
      </w:r>
    </w:p>
    <w:p>
      <w:pPr>
        <w:pStyle w:val="72"/>
        <w:numPr>
          <w:ilvl w:val="0"/>
          <w:numId w:val="3"/>
        </w:numPr>
        <w:ind w:left="0" w:firstLine="567" w:firstLineChars="0"/>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港股交易印花税调整</w:t>
      </w:r>
    </w:p>
    <w:p>
      <w:pPr>
        <w:pStyle w:val="72"/>
        <w:numPr>
          <w:ilvl w:val="0"/>
          <w:numId w:val="7"/>
        </w:numPr>
        <w:ind w:firstLineChars="0"/>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港股通交易印花税按清算本金0.1%双边收取调整为按清算本金0.13%双边收取；</w:t>
      </w:r>
    </w:p>
    <w:p>
      <w:pPr>
        <w:pStyle w:val="72"/>
        <w:numPr>
          <w:ilvl w:val="0"/>
          <w:numId w:val="7"/>
        </w:numPr>
        <w:ind w:firstLineChars="0"/>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H股“全流通”交易印花税按清算本金0.1%双边收取调整为按清算本金0.13%双边收取；</w:t>
      </w:r>
    </w:p>
    <w:p>
      <w:pPr>
        <w:pStyle w:val="72"/>
        <w:numPr>
          <w:ilvl w:val="0"/>
          <w:numId w:val="7"/>
        </w:numPr>
        <w:ind w:firstLineChars="0"/>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B转H股印花税（境外券商清算）按清算本金0.1%双边收取调整为按清算本金0.13%双边收取；</w:t>
      </w:r>
    </w:p>
    <w:p>
      <w:pPr>
        <w:pStyle w:val="72"/>
        <w:numPr>
          <w:ilvl w:val="0"/>
          <w:numId w:val="7"/>
        </w:numPr>
        <w:ind w:firstLineChars="0"/>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港股通成交单据文件的接收与处理。</w:t>
      </w:r>
    </w:p>
    <w:p>
      <w:pPr>
        <w:pStyle w:val="30"/>
        <w:rPr>
          <w:b/>
          <w:color w:val="000000"/>
          <w:szCs w:val="28"/>
        </w:rPr>
      </w:pPr>
      <w:r>
        <w:rPr>
          <w:rFonts w:hint="eastAsia"/>
          <w:color w:val="000000"/>
          <w:szCs w:val="28"/>
        </w:rPr>
        <w:t>（一）</w:t>
      </w:r>
      <w:r>
        <w:rPr>
          <w:rFonts w:hint="eastAsia"/>
          <w:b/>
          <w:color w:val="000000"/>
          <w:szCs w:val="28"/>
        </w:rPr>
        <w:t>T日（模拟2021年7月17日）测试内容</w:t>
      </w:r>
    </w:p>
    <w:p>
      <w:pPr>
        <w:pStyle w:val="30"/>
        <w:rPr>
          <w:color w:val="000000"/>
          <w:szCs w:val="28"/>
        </w:rPr>
      </w:pPr>
      <w:r>
        <w:rPr>
          <w:rFonts w:hint="eastAsia"/>
          <w:b/>
          <w:color w:val="000000"/>
          <w:szCs w:val="28"/>
        </w:rPr>
        <w:t>市场参与人技术系统：</w:t>
      </w:r>
      <w:r>
        <w:rPr>
          <w:rFonts w:hint="eastAsia"/>
          <w:color w:val="000000"/>
          <w:szCs w:val="28"/>
        </w:rPr>
        <w:t>模拟深市证券日常交易、非交易等业务的委托申报（重点测试基金的集中竞价交易、协议大宗交易、约定购回，优先股交易，B股交易、要约收购，转托管等业务），接收成交回报与实时行情。</w:t>
      </w:r>
    </w:p>
    <w:p>
      <w:pPr>
        <w:pStyle w:val="30"/>
        <w:spacing w:line="240" w:lineRule="auto"/>
        <w:ind w:firstLine="560" w:firstLineChars="200"/>
        <w:rPr>
          <w:color w:val="000000"/>
          <w:szCs w:val="28"/>
        </w:rPr>
      </w:pPr>
      <w:r>
        <w:rPr>
          <w:rFonts w:hint="eastAsia"/>
          <w:color w:val="000000"/>
          <w:szCs w:val="28"/>
        </w:rPr>
        <w:t>模拟港股通证券日常交易、非交易业务的委托申报，接收成交回报与实时行情。</w:t>
      </w:r>
    </w:p>
    <w:p>
      <w:pPr>
        <w:pStyle w:val="30"/>
        <w:spacing w:line="240" w:lineRule="auto"/>
        <w:ind w:firstLine="560" w:firstLineChars="200"/>
        <w:rPr>
          <w:color w:val="000000"/>
          <w:szCs w:val="28"/>
        </w:rPr>
      </w:pPr>
      <w:r>
        <w:rPr>
          <w:rFonts w:hint="eastAsia"/>
          <w:color w:val="000000"/>
          <w:szCs w:val="28"/>
        </w:rPr>
        <w:t>模拟B转H股、H股“全流通”日常交易的委托申报、成交回报。</w:t>
      </w:r>
    </w:p>
    <w:p>
      <w:pPr>
        <w:pStyle w:val="30"/>
        <w:spacing w:line="240" w:lineRule="auto"/>
        <w:ind w:firstLine="560" w:firstLineChars="200"/>
        <w:rPr>
          <w:color w:val="000000"/>
          <w:szCs w:val="28"/>
        </w:rPr>
      </w:pPr>
      <w:r>
        <w:rPr>
          <w:rFonts w:hint="eastAsia"/>
          <w:color w:val="000000"/>
          <w:szCs w:val="28"/>
        </w:rPr>
        <w:t>模拟深市证券、港股通证券、B转H股、H股“全流通”的股份及资金清算交收等业务处理。</w:t>
      </w:r>
    </w:p>
    <w:p>
      <w:pPr>
        <w:pStyle w:val="30"/>
        <w:spacing w:line="240" w:lineRule="auto"/>
        <w:ind w:firstLine="560" w:firstLineChars="200"/>
        <w:rPr>
          <w:color w:val="000000"/>
          <w:szCs w:val="28"/>
        </w:rPr>
      </w:pPr>
      <w:r>
        <w:rPr>
          <w:rFonts w:hint="eastAsia"/>
          <w:color w:val="000000"/>
          <w:szCs w:val="28"/>
        </w:rPr>
        <w:t>模拟资金代收代付业务的清算数据上传、接收反馈和勾单数据。</w:t>
      </w:r>
    </w:p>
    <w:p>
      <w:pPr>
        <w:pStyle w:val="30"/>
        <w:rPr>
          <w:color w:val="000000"/>
          <w:szCs w:val="28"/>
        </w:rPr>
      </w:pPr>
    </w:p>
    <w:p>
      <w:pPr>
        <w:pStyle w:val="15"/>
        <w:outlineLvl w:val="0"/>
        <w:rPr>
          <w:rFonts w:ascii="楷体_GB2312" w:eastAsia="楷体_GB2312"/>
          <w:b/>
          <w:color w:val="000000"/>
          <w:sz w:val="32"/>
          <w:szCs w:val="32"/>
        </w:rPr>
      </w:pPr>
      <w:bookmarkStart w:id="3" w:name="_Toc102489703"/>
      <w:r>
        <w:rPr>
          <w:rFonts w:hint="eastAsia" w:ascii="楷体_GB2312" w:eastAsia="楷体_GB2312"/>
          <w:b/>
          <w:color w:val="000000"/>
          <w:sz w:val="32"/>
          <w:szCs w:val="32"/>
        </w:rPr>
        <w:t>四、测试</w:t>
      </w:r>
      <w:r>
        <w:rPr>
          <w:rFonts w:hint="eastAsia" w:ascii="楷体_GB2312" w:eastAsia="楷体_GB2312"/>
          <w:b/>
          <w:color w:val="000000"/>
          <w:sz w:val="32"/>
          <w:szCs w:val="28"/>
        </w:rPr>
        <w:t>时间</w:t>
      </w:r>
      <w:r>
        <w:rPr>
          <w:rFonts w:hint="eastAsia" w:ascii="楷体_GB2312" w:eastAsia="楷体_GB2312"/>
          <w:b/>
          <w:color w:val="000000"/>
          <w:sz w:val="32"/>
          <w:szCs w:val="32"/>
        </w:rPr>
        <w:t>安排</w:t>
      </w:r>
      <w:bookmarkEnd w:id="3"/>
    </w:p>
    <w:p>
      <w:pPr>
        <w:ind w:firstLine="562" w:firstLineChars="200"/>
        <w:rPr>
          <w:b/>
          <w:color w:val="000000"/>
          <w:sz w:val="28"/>
          <w:szCs w:val="28"/>
          <w:shd w:val="clear" w:color="auto" w:fill="FFFF00"/>
        </w:rPr>
      </w:pPr>
      <w:r>
        <w:rPr>
          <w:rFonts w:hint="eastAsia"/>
          <w:b/>
          <w:color w:val="000000"/>
          <w:sz w:val="28"/>
          <w:szCs w:val="28"/>
        </w:rPr>
        <w:t>测试时间为2021年7月17日（星期六）8:30至14:00。</w:t>
      </w:r>
    </w:p>
    <w:p>
      <w:pPr>
        <w:ind w:firstLine="560" w:firstLineChars="200"/>
        <w:jc w:val="left"/>
        <w:rPr>
          <w:bCs/>
          <w:color w:val="000000"/>
          <w:sz w:val="28"/>
          <w:szCs w:val="28"/>
        </w:rPr>
      </w:pPr>
      <w:r>
        <w:rPr>
          <w:rFonts w:hint="eastAsia"/>
          <w:bCs/>
          <w:color w:val="000000"/>
          <w:sz w:val="28"/>
          <w:szCs w:val="28"/>
        </w:rPr>
        <w:t>深交所交易系统T日接收交易委托的时间为9:15至11:30，协议交易时段为9:15至12:00；其中10:30-10:35模拟中午休市。</w:t>
      </w:r>
    </w:p>
    <w:p>
      <w:pPr>
        <w:ind w:firstLine="480"/>
        <w:rPr>
          <w:color w:val="000000"/>
          <w:sz w:val="28"/>
          <w:szCs w:val="28"/>
        </w:rPr>
      </w:pPr>
      <w:r>
        <w:rPr>
          <w:rFonts w:hint="eastAsia"/>
          <w:color w:val="000000"/>
          <w:sz w:val="28"/>
          <w:szCs w:val="28"/>
        </w:rPr>
        <w:t>深市证券交易业务、结算业务的具体安排请见下表：</w:t>
      </w:r>
    </w:p>
    <w:tbl>
      <w:tblPr>
        <w:tblStyle w:val="36"/>
        <w:tblW w:w="8909"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9"/>
        <w:gridCol w:w="3315"/>
        <w:gridCol w:w="2661"/>
        <w:gridCol w:w="13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599" w:type="dxa"/>
            <w:tcBorders>
              <w:top w:val="single" w:color="auto" w:sz="4" w:space="0"/>
              <w:left w:val="single" w:color="auto" w:sz="4" w:space="0"/>
              <w:bottom w:val="single" w:color="auto" w:sz="4" w:space="0"/>
              <w:right w:val="single" w:color="auto" w:sz="4" w:space="0"/>
            </w:tcBorders>
            <w:shd w:val="clear" w:color="auto" w:fill="E0E0E0"/>
            <w:vAlign w:val="center"/>
          </w:tcPr>
          <w:p>
            <w:pPr>
              <w:spacing w:line="300" w:lineRule="exact"/>
              <w:jc w:val="center"/>
              <w:rPr>
                <w:b/>
                <w:color w:val="000000"/>
                <w:sz w:val="21"/>
                <w:szCs w:val="21"/>
              </w:rPr>
            </w:pPr>
            <w:r>
              <w:rPr>
                <w:rFonts w:hint="eastAsia"/>
                <w:b/>
                <w:color w:val="000000"/>
                <w:sz w:val="21"/>
                <w:szCs w:val="21"/>
              </w:rPr>
              <w:t>实际时间</w:t>
            </w:r>
          </w:p>
          <w:p>
            <w:pPr>
              <w:spacing w:line="300" w:lineRule="exact"/>
              <w:jc w:val="center"/>
              <w:rPr>
                <w:b/>
                <w:color w:val="000000"/>
                <w:sz w:val="21"/>
                <w:szCs w:val="21"/>
              </w:rPr>
            </w:pPr>
            <w:r>
              <w:rPr>
                <w:rFonts w:hint="eastAsia"/>
                <w:color w:val="000000"/>
                <w:sz w:val="21"/>
                <w:szCs w:val="21"/>
              </w:rPr>
              <w:t>(7月17日)</w:t>
            </w:r>
          </w:p>
        </w:tc>
        <w:tc>
          <w:tcPr>
            <w:tcW w:w="3315" w:type="dxa"/>
            <w:tcBorders>
              <w:top w:val="single" w:color="auto" w:sz="4" w:space="0"/>
              <w:left w:val="single" w:color="auto" w:sz="4" w:space="0"/>
              <w:bottom w:val="single" w:color="auto" w:sz="4" w:space="0"/>
              <w:right w:val="single" w:color="auto" w:sz="4" w:space="0"/>
            </w:tcBorders>
            <w:shd w:val="clear" w:color="auto" w:fill="E0E0E0"/>
            <w:vAlign w:val="center"/>
          </w:tcPr>
          <w:p>
            <w:pPr>
              <w:spacing w:line="300" w:lineRule="exact"/>
              <w:jc w:val="center"/>
              <w:rPr>
                <w:b/>
                <w:color w:val="000000"/>
                <w:sz w:val="21"/>
                <w:szCs w:val="21"/>
              </w:rPr>
            </w:pPr>
            <w:r>
              <w:rPr>
                <w:rFonts w:hint="eastAsia"/>
                <w:b/>
                <w:color w:val="000000"/>
                <w:sz w:val="21"/>
                <w:szCs w:val="21"/>
              </w:rPr>
              <w:t>主要测试事项</w:t>
            </w:r>
          </w:p>
        </w:tc>
        <w:tc>
          <w:tcPr>
            <w:tcW w:w="2661" w:type="dxa"/>
            <w:tcBorders>
              <w:top w:val="single" w:color="auto" w:sz="4" w:space="0"/>
              <w:left w:val="single" w:color="auto" w:sz="4" w:space="0"/>
              <w:bottom w:val="single" w:color="auto" w:sz="4" w:space="0"/>
              <w:right w:val="single" w:color="auto" w:sz="4" w:space="0"/>
            </w:tcBorders>
            <w:shd w:val="clear" w:color="auto" w:fill="E0E0E0"/>
            <w:vAlign w:val="center"/>
          </w:tcPr>
          <w:p>
            <w:pPr>
              <w:spacing w:line="300" w:lineRule="exact"/>
              <w:jc w:val="center"/>
              <w:rPr>
                <w:b/>
                <w:color w:val="000000"/>
                <w:sz w:val="21"/>
                <w:szCs w:val="21"/>
              </w:rPr>
            </w:pPr>
            <w:r>
              <w:rPr>
                <w:rFonts w:hint="eastAsia"/>
                <w:b/>
                <w:color w:val="000000"/>
                <w:sz w:val="21"/>
                <w:szCs w:val="21"/>
              </w:rPr>
              <w:t>参测单位</w:t>
            </w:r>
          </w:p>
          <w:p>
            <w:pPr>
              <w:spacing w:line="300" w:lineRule="exact"/>
              <w:jc w:val="center"/>
              <w:rPr>
                <w:b/>
                <w:color w:val="000000"/>
                <w:sz w:val="21"/>
                <w:szCs w:val="21"/>
              </w:rPr>
            </w:pPr>
            <w:r>
              <w:rPr>
                <w:rFonts w:hint="eastAsia"/>
                <w:b/>
                <w:color w:val="000000"/>
                <w:sz w:val="21"/>
                <w:szCs w:val="21"/>
              </w:rPr>
              <w:t>重点测试内容</w:t>
            </w:r>
          </w:p>
        </w:tc>
        <w:tc>
          <w:tcPr>
            <w:tcW w:w="1334" w:type="dxa"/>
            <w:tcBorders>
              <w:top w:val="single" w:color="auto" w:sz="4" w:space="0"/>
              <w:left w:val="single" w:color="auto" w:sz="4" w:space="0"/>
              <w:bottom w:val="single" w:color="auto" w:sz="4" w:space="0"/>
              <w:right w:val="single" w:color="auto" w:sz="4" w:space="0"/>
            </w:tcBorders>
            <w:shd w:val="clear" w:color="auto" w:fill="E0E0E0"/>
            <w:vAlign w:val="center"/>
          </w:tcPr>
          <w:p>
            <w:pPr>
              <w:spacing w:line="300" w:lineRule="exact"/>
              <w:jc w:val="center"/>
              <w:rPr>
                <w:b/>
                <w:color w:val="000000"/>
                <w:sz w:val="21"/>
                <w:szCs w:val="21"/>
              </w:rPr>
            </w:pPr>
            <w:r>
              <w:rPr>
                <w:rFonts w:hint="eastAsia"/>
                <w:b/>
                <w:color w:val="000000"/>
                <w:sz w:val="21"/>
                <w:szCs w:val="21"/>
              </w:rPr>
              <w:t>模拟日期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1" w:hRule="atLeast"/>
          <w:jc w:val="center"/>
        </w:trPr>
        <w:tc>
          <w:tcPr>
            <w:tcW w:w="159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sz w:val="21"/>
                <w:szCs w:val="21"/>
              </w:rPr>
            </w:pPr>
            <w:r>
              <w:rPr>
                <w:rFonts w:hint="eastAsia"/>
                <w:sz w:val="21"/>
                <w:szCs w:val="21"/>
              </w:rPr>
              <w:t>9:00前</w:t>
            </w:r>
          </w:p>
        </w:tc>
        <w:tc>
          <w:tcPr>
            <w:tcW w:w="331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color w:val="000000"/>
                <w:sz w:val="21"/>
                <w:szCs w:val="21"/>
              </w:rPr>
            </w:pPr>
            <w:r>
              <w:rPr>
                <w:rFonts w:hint="eastAsia"/>
                <w:color w:val="000000"/>
                <w:sz w:val="21"/>
                <w:szCs w:val="21"/>
              </w:rPr>
              <w:t>早间下发T日静态交易参考信息文件、PCF文件、信息公告、股东大会信息文件</w:t>
            </w:r>
          </w:p>
        </w:tc>
        <w:tc>
          <w:tcPr>
            <w:tcW w:w="2661" w:type="dxa"/>
            <w:tcBorders>
              <w:top w:val="single" w:color="auto" w:sz="4" w:space="0"/>
              <w:left w:val="single" w:color="auto" w:sz="4" w:space="0"/>
              <w:bottom w:val="single" w:color="auto" w:sz="4" w:space="0"/>
              <w:right w:val="single" w:color="auto" w:sz="4" w:space="0"/>
            </w:tcBorders>
            <w:shd w:val="clear" w:color="auto" w:fill="auto"/>
          </w:tcPr>
          <w:p>
            <w:pPr>
              <w:spacing w:line="300" w:lineRule="exact"/>
              <w:rPr>
                <w:color w:val="000000"/>
                <w:sz w:val="21"/>
                <w:szCs w:val="21"/>
              </w:rPr>
            </w:pPr>
            <w:r>
              <w:rPr>
                <w:rFonts w:hint="eastAsia"/>
                <w:color w:val="000000"/>
                <w:sz w:val="21"/>
                <w:szCs w:val="21"/>
              </w:rPr>
              <w:t>接收并加载静态交易参考信息文件、PCF文件、信息公告、股东大会信息文件</w:t>
            </w:r>
          </w:p>
        </w:tc>
        <w:tc>
          <w:tcPr>
            <w:tcW w:w="1334"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color w:val="000000"/>
                <w:sz w:val="21"/>
                <w:szCs w:val="21"/>
              </w:rPr>
            </w:pPr>
            <w:r>
              <w:rPr>
                <w:rFonts w:hint="eastAsia"/>
                <w:color w:val="000000"/>
                <w:sz w:val="21"/>
                <w:szCs w:val="21"/>
              </w:rPr>
              <w:t>T日：2021年7月17日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59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color w:val="000000"/>
                <w:sz w:val="21"/>
                <w:szCs w:val="21"/>
              </w:rPr>
            </w:pPr>
            <w:r>
              <w:rPr>
                <w:rFonts w:hint="eastAsia"/>
                <w:color w:val="000000"/>
                <w:sz w:val="21"/>
                <w:szCs w:val="21"/>
              </w:rPr>
              <w:t>9:15-12:00</w:t>
            </w:r>
          </w:p>
        </w:tc>
        <w:tc>
          <w:tcPr>
            <w:tcW w:w="3315" w:type="dxa"/>
            <w:tcBorders>
              <w:top w:val="single" w:color="auto" w:sz="4" w:space="0"/>
              <w:left w:val="single" w:color="auto" w:sz="4" w:space="0"/>
              <w:bottom w:val="single" w:color="auto" w:sz="4" w:space="0"/>
              <w:right w:val="single" w:color="auto" w:sz="4" w:space="0"/>
            </w:tcBorders>
            <w:shd w:val="clear" w:color="auto" w:fill="auto"/>
          </w:tcPr>
          <w:p>
            <w:pPr>
              <w:spacing w:line="300" w:lineRule="exact"/>
              <w:rPr>
                <w:color w:val="000000"/>
                <w:sz w:val="21"/>
                <w:szCs w:val="21"/>
              </w:rPr>
            </w:pPr>
            <w:r>
              <w:rPr>
                <w:rFonts w:hint="eastAsia"/>
                <w:color w:val="000000"/>
                <w:sz w:val="21"/>
                <w:szCs w:val="21"/>
              </w:rPr>
              <w:t>设置南方中心为主中心、福田中心为备中心运行，接收日常交易、非交易等委托，10:30-10:35中午休市。其中：</w:t>
            </w:r>
          </w:p>
          <w:p>
            <w:pPr>
              <w:spacing w:line="300" w:lineRule="exact"/>
              <w:rPr>
                <w:rFonts w:ascii="Times New Roman"/>
                <w:b/>
                <w:sz w:val="21"/>
                <w:szCs w:val="21"/>
              </w:rPr>
            </w:pPr>
            <w:r>
              <w:rPr>
                <w:rFonts w:hint="eastAsia" w:ascii="Times New Roman"/>
                <w:b/>
                <w:sz w:val="21"/>
                <w:szCs w:val="21"/>
              </w:rPr>
              <w:t>现货集中竞价交易平台</w:t>
            </w:r>
          </w:p>
          <w:p>
            <w:pPr>
              <w:spacing w:line="300" w:lineRule="exact"/>
              <w:rPr>
                <w:color w:val="000000"/>
                <w:sz w:val="21"/>
                <w:szCs w:val="21"/>
              </w:rPr>
            </w:pPr>
            <w:r>
              <w:rPr>
                <w:rFonts w:hint="eastAsia"/>
                <w:color w:val="000000"/>
                <w:sz w:val="21"/>
                <w:szCs w:val="21"/>
              </w:rPr>
              <w:t>9:15-11:30（9:25开盘，9:30开始连续竞价，11:30平台闭市）</w:t>
            </w:r>
          </w:p>
          <w:p>
            <w:pPr>
              <w:spacing w:line="300" w:lineRule="exact"/>
              <w:rPr>
                <w:rFonts w:ascii="Times New Roman"/>
                <w:b/>
                <w:sz w:val="21"/>
                <w:szCs w:val="21"/>
              </w:rPr>
            </w:pPr>
            <w:r>
              <w:rPr>
                <w:rFonts w:hint="eastAsia" w:ascii="Times New Roman"/>
                <w:b/>
                <w:sz w:val="21"/>
                <w:szCs w:val="21"/>
              </w:rPr>
              <w:t>综合金融服务平台</w:t>
            </w:r>
          </w:p>
          <w:p>
            <w:pPr>
              <w:spacing w:line="300" w:lineRule="exact"/>
              <w:rPr>
                <w:color w:val="000000"/>
                <w:sz w:val="21"/>
                <w:szCs w:val="21"/>
              </w:rPr>
            </w:pPr>
            <w:r>
              <w:rPr>
                <w:rFonts w:hint="eastAsia"/>
                <w:color w:val="000000"/>
                <w:sz w:val="21"/>
                <w:szCs w:val="21"/>
              </w:rPr>
              <w:t>9:15-12:00</w:t>
            </w:r>
          </w:p>
          <w:p>
            <w:pPr>
              <w:spacing w:line="300" w:lineRule="exact"/>
              <w:rPr>
                <w:rFonts w:ascii="Times New Roman"/>
                <w:b/>
                <w:sz w:val="21"/>
                <w:szCs w:val="21"/>
              </w:rPr>
            </w:pPr>
            <w:r>
              <w:rPr>
                <w:rFonts w:hint="eastAsia" w:ascii="Times New Roman"/>
                <w:b/>
                <w:sz w:val="21"/>
                <w:szCs w:val="21"/>
              </w:rPr>
              <w:t>衍生品集中竞价交易平台</w:t>
            </w:r>
          </w:p>
          <w:p>
            <w:pPr>
              <w:spacing w:line="300" w:lineRule="exact"/>
              <w:rPr>
                <w:rFonts w:ascii="Times New Roman"/>
                <w:sz w:val="21"/>
                <w:szCs w:val="21"/>
              </w:rPr>
            </w:pPr>
            <w:r>
              <w:rPr>
                <w:rFonts w:hint="eastAsia" w:ascii="Times New Roman"/>
                <w:sz w:val="21"/>
                <w:szCs w:val="21"/>
              </w:rPr>
              <w:t>与现货集中竞价交易平台相同（期权组合策略保证金、普通仓与备兑仓</w:t>
            </w:r>
            <w:r>
              <w:rPr>
                <w:rFonts w:hint="eastAsia"/>
                <w:color w:val="000000"/>
                <w:sz w:val="21"/>
                <w:szCs w:val="21"/>
              </w:rPr>
              <w:t>互转业务申报截止时间为11:45）</w:t>
            </w:r>
          </w:p>
          <w:p>
            <w:pPr>
              <w:spacing w:line="300" w:lineRule="exact"/>
              <w:rPr>
                <w:rFonts w:ascii="Times New Roman"/>
                <w:b/>
                <w:sz w:val="21"/>
                <w:szCs w:val="21"/>
              </w:rPr>
            </w:pPr>
            <w:r>
              <w:rPr>
                <w:rFonts w:hint="eastAsia" w:ascii="Times New Roman"/>
                <w:b/>
                <w:sz w:val="21"/>
                <w:szCs w:val="21"/>
              </w:rPr>
              <w:t>非交易处理平台</w:t>
            </w:r>
          </w:p>
          <w:p>
            <w:pPr>
              <w:spacing w:line="300" w:lineRule="exact"/>
              <w:rPr>
                <w:color w:val="000000"/>
                <w:sz w:val="21"/>
                <w:szCs w:val="21"/>
              </w:rPr>
            </w:pPr>
            <w:r>
              <w:rPr>
                <w:rFonts w:hint="eastAsia"/>
                <w:color w:val="000000"/>
                <w:sz w:val="21"/>
                <w:szCs w:val="21"/>
              </w:rPr>
              <w:t>9:15-12:00（期权、质押式回购之外的其他非交易申报截止时间为11:30）</w:t>
            </w:r>
          </w:p>
          <w:p>
            <w:pPr>
              <w:spacing w:line="300" w:lineRule="exact"/>
              <w:rPr>
                <w:rFonts w:ascii="Times New Roman"/>
                <w:b/>
                <w:sz w:val="21"/>
                <w:szCs w:val="21"/>
              </w:rPr>
            </w:pPr>
            <w:r>
              <w:rPr>
                <w:rFonts w:hint="eastAsia" w:ascii="Times New Roman"/>
                <w:b/>
                <w:sz w:val="21"/>
                <w:szCs w:val="21"/>
              </w:rPr>
              <w:t>固定收益交易平台</w:t>
            </w:r>
          </w:p>
          <w:p>
            <w:pPr>
              <w:spacing w:line="300" w:lineRule="exact"/>
              <w:rPr>
                <w:rFonts w:ascii="Times New Roman"/>
                <w:sz w:val="21"/>
                <w:szCs w:val="21"/>
              </w:rPr>
            </w:pPr>
            <w:r>
              <w:rPr>
                <w:rFonts w:hint="eastAsia"/>
                <w:color w:val="000000"/>
                <w:sz w:val="21"/>
                <w:szCs w:val="21"/>
              </w:rPr>
              <w:t>9:15-12:00（债券质押式协议回购业务）</w:t>
            </w:r>
          </w:p>
        </w:tc>
        <w:tc>
          <w:tcPr>
            <w:tcW w:w="2661" w:type="dxa"/>
            <w:tcBorders>
              <w:top w:val="single" w:color="auto" w:sz="4" w:space="0"/>
              <w:left w:val="single" w:color="auto" w:sz="4" w:space="0"/>
              <w:bottom w:val="single" w:color="auto" w:sz="4" w:space="0"/>
              <w:right w:val="single" w:color="auto" w:sz="4" w:space="0"/>
            </w:tcBorders>
            <w:shd w:val="clear" w:color="auto" w:fill="auto"/>
          </w:tcPr>
          <w:p>
            <w:pPr>
              <w:spacing w:line="300" w:lineRule="exact"/>
              <w:rPr>
                <w:color w:val="000000"/>
                <w:sz w:val="21"/>
                <w:szCs w:val="21"/>
              </w:rPr>
            </w:pPr>
          </w:p>
          <w:p>
            <w:pPr>
              <w:spacing w:line="300" w:lineRule="exact"/>
              <w:rPr>
                <w:color w:val="000000"/>
                <w:sz w:val="21"/>
                <w:szCs w:val="21"/>
              </w:rPr>
            </w:pPr>
            <w:r>
              <w:rPr>
                <w:rFonts w:hint="eastAsia"/>
                <w:color w:val="000000"/>
                <w:sz w:val="21"/>
                <w:szCs w:val="21"/>
              </w:rPr>
              <w:t>重点测试基金的集中竞价交易、协议大宗交易、约定购回，优先股交易，B股交易、要约收购，转托管，B转H股、H股“全流通”的交易等业务。</w:t>
            </w:r>
          </w:p>
          <w:p>
            <w:pPr>
              <w:spacing w:line="300" w:lineRule="exact"/>
              <w:rPr>
                <w:color w:val="000000"/>
                <w:sz w:val="21"/>
                <w:szCs w:val="21"/>
              </w:rPr>
            </w:pPr>
          </w:p>
          <w:p>
            <w:pPr>
              <w:spacing w:line="300" w:lineRule="exact"/>
              <w:rPr>
                <w:color w:val="000000"/>
                <w:sz w:val="21"/>
                <w:szCs w:val="21"/>
              </w:rPr>
            </w:pPr>
          </w:p>
        </w:tc>
        <w:tc>
          <w:tcPr>
            <w:tcW w:w="1334"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rPr>
                <w:rFonts w:ascii="Calibri" w:hAnsi="Calibri"/>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59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sz w:val="21"/>
                <w:szCs w:val="21"/>
              </w:rPr>
            </w:pPr>
            <w:r>
              <w:rPr>
                <w:rFonts w:hint="eastAsia"/>
                <w:color w:val="000000"/>
                <w:sz w:val="21"/>
                <w:szCs w:val="21"/>
              </w:rPr>
              <w:t>12:00-14:00</w:t>
            </w:r>
          </w:p>
        </w:tc>
        <w:tc>
          <w:tcPr>
            <w:tcW w:w="3315" w:type="dxa"/>
            <w:tcBorders>
              <w:top w:val="single" w:color="auto" w:sz="4" w:space="0"/>
              <w:left w:val="single" w:color="auto" w:sz="4" w:space="0"/>
              <w:bottom w:val="single" w:color="auto" w:sz="4" w:space="0"/>
              <w:right w:val="single" w:color="auto" w:sz="4" w:space="0"/>
            </w:tcBorders>
            <w:shd w:val="clear" w:color="auto" w:fill="auto"/>
            <w:vAlign w:val="center"/>
          </w:tcPr>
          <w:p>
            <w:pPr>
              <w:snapToGrid w:val="0"/>
              <w:jc w:val="left"/>
              <w:rPr>
                <w:sz w:val="21"/>
                <w:szCs w:val="21"/>
              </w:rPr>
            </w:pPr>
            <w:r>
              <w:rPr>
                <w:rFonts w:hint="eastAsia"/>
                <w:sz w:val="21"/>
                <w:szCs w:val="21"/>
              </w:rPr>
              <w:t>中国结算深圳分公司模拟T日股份资金清算交收</w:t>
            </w:r>
          </w:p>
        </w:tc>
        <w:tc>
          <w:tcPr>
            <w:tcW w:w="2661" w:type="dxa"/>
            <w:tcBorders>
              <w:top w:val="single" w:color="auto" w:sz="4" w:space="0"/>
              <w:left w:val="single" w:color="auto" w:sz="4" w:space="0"/>
              <w:bottom w:val="single" w:color="auto" w:sz="4" w:space="0"/>
              <w:right w:val="single" w:color="auto" w:sz="4" w:space="0"/>
            </w:tcBorders>
            <w:shd w:val="clear" w:color="auto" w:fill="auto"/>
            <w:vAlign w:val="center"/>
          </w:tcPr>
          <w:p>
            <w:pPr>
              <w:snapToGrid w:val="0"/>
              <w:rPr>
                <w:sz w:val="21"/>
                <w:szCs w:val="21"/>
              </w:rPr>
            </w:pPr>
          </w:p>
        </w:tc>
        <w:tc>
          <w:tcPr>
            <w:tcW w:w="1334"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rPr>
                <w:rFonts w:ascii="Calibri" w:hAnsi="Calibri"/>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59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sz w:val="21"/>
                <w:szCs w:val="21"/>
              </w:rPr>
            </w:pPr>
            <w:r>
              <w:rPr>
                <w:rFonts w:hint="eastAsia"/>
                <w:sz w:val="21"/>
                <w:szCs w:val="21"/>
              </w:rPr>
              <w:t>14:00后</w:t>
            </w:r>
          </w:p>
        </w:tc>
        <w:tc>
          <w:tcPr>
            <w:tcW w:w="331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color w:val="000000"/>
                <w:sz w:val="21"/>
                <w:szCs w:val="21"/>
              </w:rPr>
            </w:pPr>
            <w:r>
              <w:rPr>
                <w:rFonts w:hint="eastAsia"/>
                <w:color w:val="000000"/>
                <w:sz w:val="21"/>
                <w:szCs w:val="21"/>
              </w:rPr>
              <w:t>T日结算数据发送</w:t>
            </w:r>
          </w:p>
        </w:tc>
        <w:tc>
          <w:tcPr>
            <w:tcW w:w="2661" w:type="dxa"/>
            <w:tcBorders>
              <w:top w:val="single" w:color="auto" w:sz="4" w:space="0"/>
              <w:left w:val="single" w:color="auto" w:sz="4" w:space="0"/>
              <w:bottom w:val="single" w:color="auto" w:sz="4" w:space="0"/>
              <w:right w:val="single" w:color="auto" w:sz="4" w:space="0"/>
            </w:tcBorders>
            <w:shd w:val="clear" w:color="auto" w:fill="auto"/>
          </w:tcPr>
          <w:p>
            <w:pPr>
              <w:snapToGrid w:val="0"/>
              <w:rPr>
                <w:color w:val="000000"/>
                <w:sz w:val="21"/>
                <w:szCs w:val="21"/>
              </w:rPr>
            </w:pPr>
            <w:r>
              <w:rPr>
                <w:rFonts w:hint="eastAsia" w:hAnsi="宋体"/>
                <w:sz w:val="21"/>
                <w:szCs w:val="21"/>
              </w:rPr>
              <w:t>接收结算数据,进行核对及交收处理。</w:t>
            </w:r>
          </w:p>
        </w:tc>
        <w:tc>
          <w:tcPr>
            <w:tcW w:w="1334"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rPr>
                <w:rFonts w:ascii="Calibri" w:hAnsi="Calibri"/>
                <w:sz w:val="20"/>
              </w:rPr>
            </w:pPr>
          </w:p>
        </w:tc>
      </w:tr>
    </w:tbl>
    <w:p>
      <w:pPr>
        <w:ind w:firstLine="480"/>
        <w:rPr>
          <w:color w:val="000000"/>
          <w:sz w:val="28"/>
          <w:szCs w:val="28"/>
        </w:rPr>
      </w:pPr>
      <w:bookmarkStart w:id="4" w:name="_Toc102489705"/>
      <w:r>
        <w:rPr>
          <w:rFonts w:hint="eastAsia"/>
          <w:color w:val="000000"/>
          <w:sz w:val="28"/>
          <w:szCs w:val="28"/>
        </w:rPr>
        <w:t>港股通交易结算业务测试的具体安排请见下表：</w:t>
      </w:r>
    </w:p>
    <w:tbl>
      <w:tblPr>
        <w:tblStyle w:val="36"/>
        <w:tblW w:w="8875" w:type="dxa"/>
        <w:jc w:val="center"/>
        <w:tblInd w:w="0" w:type="dxa"/>
        <w:tblLayout w:type="fixed"/>
        <w:tblCellMar>
          <w:top w:w="0" w:type="dxa"/>
          <w:left w:w="108" w:type="dxa"/>
          <w:bottom w:w="0" w:type="dxa"/>
          <w:right w:w="108" w:type="dxa"/>
        </w:tblCellMar>
      </w:tblPr>
      <w:tblGrid>
        <w:gridCol w:w="753"/>
        <w:gridCol w:w="1700"/>
        <w:gridCol w:w="3402"/>
        <w:gridCol w:w="3020"/>
      </w:tblGrid>
      <w:tr>
        <w:tblPrEx>
          <w:tblLayout w:type="fixed"/>
          <w:tblCellMar>
            <w:top w:w="0" w:type="dxa"/>
            <w:left w:w="108" w:type="dxa"/>
            <w:bottom w:w="0" w:type="dxa"/>
            <w:right w:w="108" w:type="dxa"/>
          </w:tblCellMar>
        </w:tblPrEx>
        <w:trPr>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20" w:lineRule="exact"/>
              <w:rPr>
                <w:rFonts w:hAnsi="Calibri" w:cs="宋体"/>
                <w:b/>
                <w:bCs/>
                <w:szCs w:val="24"/>
              </w:rPr>
            </w:pPr>
            <w:r>
              <w:rPr>
                <w:rFonts w:hint="eastAsia"/>
                <w:b/>
                <w:bCs/>
              </w:rPr>
              <w:t>步骤</w:t>
            </w:r>
          </w:p>
        </w:tc>
        <w:tc>
          <w:tcPr>
            <w:tcW w:w="1700" w:type="dxa"/>
            <w:tcBorders>
              <w:top w:val="single" w:color="auto" w:sz="4" w:space="0"/>
              <w:left w:val="nil"/>
              <w:bottom w:val="single" w:color="auto" w:sz="4" w:space="0"/>
              <w:right w:val="single" w:color="auto" w:sz="4" w:space="0"/>
            </w:tcBorders>
            <w:vAlign w:val="center"/>
          </w:tcPr>
          <w:p>
            <w:pPr>
              <w:spacing w:line="320" w:lineRule="exact"/>
              <w:jc w:val="center"/>
              <w:rPr>
                <w:rFonts w:hAnsi="Calibri" w:cs="宋体"/>
                <w:b/>
                <w:bCs/>
                <w:szCs w:val="24"/>
              </w:rPr>
            </w:pPr>
            <w:r>
              <w:rPr>
                <w:rFonts w:hint="eastAsia"/>
                <w:b/>
                <w:bCs/>
              </w:rPr>
              <w:t>时间段</w:t>
            </w:r>
          </w:p>
        </w:tc>
        <w:tc>
          <w:tcPr>
            <w:tcW w:w="6422" w:type="dxa"/>
            <w:gridSpan w:val="2"/>
            <w:tcBorders>
              <w:top w:val="single" w:color="auto" w:sz="4" w:space="0"/>
              <w:left w:val="nil"/>
              <w:bottom w:val="single" w:color="auto" w:sz="4" w:space="0"/>
              <w:right w:val="single" w:color="auto" w:sz="4" w:space="0"/>
            </w:tcBorders>
          </w:tcPr>
          <w:p>
            <w:pPr>
              <w:spacing w:line="320" w:lineRule="exact"/>
              <w:jc w:val="center"/>
              <w:rPr>
                <w:rFonts w:hAnsi="Calibri" w:cs="宋体"/>
                <w:b/>
                <w:bCs/>
                <w:szCs w:val="24"/>
              </w:rPr>
            </w:pPr>
            <w:r>
              <w:rPr>
                <w:rFonts w:hint="eastAsia"/>
                <w:b/>
                <w:bCs/>
              </w:rPr>
              <w:t>测试内容</w:t>
            </w:r>
          </w:p>
        </w:tc>
      </w:tr>
      <w:tr>
        <w:tblPrEx>
          <w:tblLayout w:type="fixed"/>
          <w:tblCellMar>
            <w:top w:w="0" w:type="dxa"/>
            <w:left w:w="108" w:type="dxa"/>
            <w:bottom w:w="0" w:type="dxa"/>
            <w:right w:w="108" w:type="dxa"/>
          </w:tblCellMar>
        </w:tblPrEx>
        <w:trPr>
          <w:jc w:val="center"/>
        </w:trPr>
        <w:tc>
          <w:tcPr>
            <w:tcW w:w="8875" w:type="dxa"/>
            <w:gridSpan w:val="4"/>
            <w:tcBorders>
              <w:top w:val="single" w:color="auto" w:sz="4" w:space="0"/>
              <w:left w:val="single" w:color="auto" w:sz="4" w:space="0"/>
              <w:bottom w:val="single" w:color="auto" w:sz="4" w:space="0"/>
              <w:right w:val="single" w:color="auto" w:sz="4" w:space="0"/>
            </w:tcBorders>
            <w:vAlign w:val="center"/>
          </w:tcPr>
          <w:p>
            <w:pPr>
              <w:pStyle w:val="21"/>
              <w:spacing w:line="320" w:lineRule="exact"/>
              <w:rPr>
                <w:rFonts w:ascii="楷体_GB2312" w:hAnsi="Calibri" w:cs="宋体"/>
                <w:b/>
                <w:bCs/>
                <w:szCs w:val="24"/>
              </w:rPr>
            </w:pPr>
            <w:r>
              <w:rPr>
                <w:rFonts w:hint="eastAsia" w:ascii="楷体_GB2312"/>
                <w:b/>
                <w:bCs/>
                <w:sz w:val="24"/>
                <w:szCs w:val="24"/>
              </w:rPr>
              <w:t>深交所港股通T日测试安排（模拟T日2021年7月17日的交易）</w:t>
            </w:r>
          </w:p>
        </w:tc>
      </w:tr>
      <w:tr>
        <w:tblPrEx>
          <w:tblLayout w:type="fixed"/>
          <w:tblCellMar>
            <w:top w:w="0" w:type="dxa"/>
            <w:left w:w="108" w:type="dxa"/>
            <w:bottom w:w="0" w:type="dxa"/>
            <w:right w:w="108" w:type="dxa"/>
          </w:tblCellMar>
        </w:tblPrEx>
        <w:trPr>
          <w:trHeight w:val="301"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1</w:t>
            </w:r>
          </w:p>
        </w:tc>
        <w:tc>
          <w:tcPr>
            <w:tcW w:w="8122" w:type="dxa"/>
            <w:gridSpan w:val="3"/>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9:00开始</w:t>
            </w:r>
          </w:p>
        </w:tc>
      </w:tr>
      <w:tr>
        <w:tblPrEx>
          <w:tblLayout w:type="fixed"/>
          <w:tblCellMar>
            <w:top w:w="0" w:type="dxa"/>
            <w:left w:w="108" w:type="dxa"/>
            <w:bottom w:w="0" w:type="dxa"/>
            <w:right w:w="108" w:type="dxa"/>
          </w:tblCellMar>
        </w:tblPrEx>
        <w:trPr>
          <w:trHeight w:val="211"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2</w:t>
            </w:r>
          </w:p>
        </w:tc>
        <w:tc>
          <w:tcPr>
            <w:tcW w:w="1700"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9:00-9:30</w:t>
            </w:r>
          </w:p>
        </w:tc>
        <w:tc>
          <w:tcPr>
            <w:tcW w:w="3402"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开市前时段</w:t>
            </w:r>
          </w:p>
        </w:tc>
        <w:tc>
          <w:tcPr>
            <w:tcW w:w="3020" w:type="dxa"/>
            <w:vMerge w:val="restart"/>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参测单位模拟港股通证券交易业务的委托申报，并接收成交回报；实时行情的接收与展示</w:t>
            </w:r>
          </w:p>
        </w:tc>
      </w:tr>
      <w:tr>
        <w:tblPrEx>
          <w:tblLayout w:type="fixed"/>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3</w:t>
            </w:r>
          </w:p>
        </w:tc>
        <w:tc>
          <w:tcPr>
            <w:tcW w:w="1700"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9:30-12:00</w:t>
            </w:r>
          </w:p>
        </w:tc>
        <w:tc>
          <w:tcPr>
            <w:tcW w:w="3402"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持续交易时段</w:t>
            </w:r>
          </w:p>
        </w:tc>
        <w:tc>
          <w:tcPr>
            <w:tcW w:w="3020" w:type="dxa"/>
            <w:vMerge w:val="continue"/>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p>
        </w:tc>
      </w:tr>
      <w:tr>
        <w:tblPrEx>
          <w:tblLayout w:type="fixed"/>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4</w:t>
            </w:r>
          </w:p>
        </w:tc>
        <w:tc>
          <w:tcPr>
            <w:tcW w:w="1700"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12:00-12:10</w:t>
            </w:r>
          </w:p>
        </w:tc>
        <w:tc>
          <w:tcPr>
            <w:tcW w:w="3402"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收市竞价交易时段</w:t>
            </w:r>
          </w:p>
        </w:tc>
        <w:tc>
          <w:tcPr>
            <w:tcW w:w="3020" w:type="dxa"/>
            <w:vMerge w:val="continue"/>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p>
        </w:tc>
      </w:tr>
      <w:tr>
        <w:tblPrEx>
          <w:tblLayout w:type="fixed"/>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5</w:t>
            </w:r>
          </w:p>
        </w:tc>
        <w:tc>
          <w:tcPr>
            <w:tcW w:w="1700"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12:10-12:45</w:t>
            </w:r>
          </w:p>
        </w:tc>
        <w:tc>
          <w:tcPr>
            <w:tcW w:w="3402"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发布港股收盘价格文件</w:t>
            </w:r>
          </w:p>
        </w:tc>
        <w:tc>
          <w:tcPr>
            <w:tcW w:w="3020"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接收港股收盘价格文件</w:t>
            </w:r>
          </w:p>
        </w:tc>
      </w:tr>
      <w:tr>
        <w:tblPrEx>
          <w:tblLayout w:type="fixed"/>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6</w:t>
            </w:r>
          </w:p>
        </w:tc>
        <w:tc>
          <w:tcPr>
            <w:tcW w:w="1700"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sz w:val="21"/>
                <w:szCs w:val="21"/>
              </w:rPr>
              <w:t>14:30后</w:t>
            </w:r>
          </w:p>
        </w:tc>
        <w:tc>
          <w:tcPr>
            <w:tcW w:w="3402"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发送港股成交单据文件</w:t>
            </w:r>
          </w:p>
        </w:tc>
        <w:tc>
          <w:tcPr>
            <w:tcW w:w="3020" w:type="dxa"/>
            <w:tcBorders>
              <w:top w:val="single" w:color="auto" w:sz="4" w:space="0"/>
              <w:left w:val="nil"/>
              <w:bottom w:val="single" w:color="auto" w:sz="4" w:space="0"/>
              <w:right w:val="single" w:color="auto" w:sz="4" w:space="0"/>
            </w:tcBorders>
          </w:tcPr>
          <w:p>
            <w:pPr>
              <w:spacing w:line="300" w:lineRule="exact"/>
              <w:rPr>
                <w:color w:val="000000"/>
                <w:sz w:val="21"/>
                <w:szCs w:val="21"/>
              </w:rPr>
            </w:pPr>
            <w:r>
              <w:rPr>
                <w:rFonts w:hint="eastAsia"/>
                <w:color w:val="000000"/>
                <w:sz w:val="21"/>
                <w:szCs w:val="21"/>
              </w:rPr>
              <w:t>开通深港通下港股通业务的交易参与人接收并处理港股成交单据文件</w:t>
            </w:r>
          </w:p>
        </w:tc>
      </w:tr>
      <w:tr>
        <w:tblPrEx>
          <w:tblLayout w:type="fixed"/>
          <w:tblCellMar>
            <w:top w:w="0" w:type="dxa"/>
            <w:left w:w="108" w:type="dxa"/>
            <w:bottom w:w="0" w:type="dxa"/>
            <w:right w:w="108" w:type="dxa"/>
          </w:tblCellMar>
        </w:tblPrEx>
        <w:trPr>
          <w:trHeight w:val="70" w:hRule="atLeast"/>
          <w:jc w:val="center"/>
        </w:trPr>
        <w:tc>
          <w:tcPr>
            <w:tcW w:w="8875" w:type="dxa"/>
            <w:gridSpan w:val="4"/>
            <w:tcBorders>
              <w:top w:val="single" w:color="auto" w:sz="4" w:space="0"/>
              <w:left w:val="single" w:color="auto" w:sz="4" w:space="0"/>
              <w:bottom w:val="single" w:color="auto" w:sz="4" w:space="0"/>
              <w:right w:val="single" w:color="auto" w:sz="4" w:space="0"/>
            </w:tcBorders>
            <w:vAlign w:val="center"/>
          </w:tcPr>
          <w:p>
            <w:pPr>
              <w:rPr>
                <w:rFonts w:cs="宋体"/>
                <w:color w:val="2E2E2E"/>
                <w:kern w:val="0"/>
                <w:szCs w:val="24"/>
              </w:rPr>
            </w:pPr>
            <w:r>
              <w:rPr>
                <w:rFonts w:hint="eastAsia"/>
                <w:b/>
                <w:bCs/>
                <w:szCs w:val="24"/>
              </w:rPr>
              <w:t>中国结算深圳分公司T日测试安排（模拟T日2021年7月17日的交易）</w:t>
            </w:r>
          </w:p>
        </w:tc>
      </w:tr>
      <w:tr>
        <w:tblPrEx>
          <w:tblLayout w:type="fixed"/>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1</w:t>
            </w:r>
          </w:p>
        </w:tc>
        <w:tc>
          <w:tcPr>
            <w:tcW w:w="1700"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8:30-12:00</w:t>
            </w:r>
          </w:p>
        </w:tc>
        <w:tc>
          <w:tcPr>
            <w:tcW w:w="3402" w:type="dxa"/>
            <w:tcBorders>
              <w:top w:val="single" w:color="auto" w:sz="4" w:space="0"/>
              <w:left w:val="nil"/>
              <w:bottom w:val="single" w:color="auto" w:sz="4" w:space="0"/>
              <w:right w:val="single" w:color="auto" w:sz="4" w:space="0"/>
            </w:tcBorders>
          </w:tcPr>
          <w:p>
            <w:pPr>
              <w:spacing w:line="300" w:lineRule="exact"/>
              <w:rPr>
                <w:color w:val="000000"/>
                <w:sz w:val="21"/>
                <w:szCs w:val="21"/>
              </w:rPr>
            </w:pPr>
            <w:r>
              <w:rPr>
                <w:rFonts w:hint="eastAsia"/>
                <w:color w:val="000000"/>
                <w:sz w:val="21"/>
                <w:szCs w:val="21"/>
              </w:rPr>
              <w:t>D-COM业务申报（港股通公司行为及非交易业务等）。</w:t>
            </w:r>
          </w:p>
        </w:tc>
        <w:tc>
          <w:tcPr>
            <w:tcW w:w="3020"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p>
        </w:tc>
      </w:tr>
      <w:tr>
        <w:tblPrEx>
          <w:tblLayout w:type="fixed"/>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2</w:t>
            </w:r>
          </w:p>
        </w:tc>
        <w:tc>
          <w:tcPr>
            <w:tcW w:w="1700"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12:10-14:00</w:t>
            </w:r>
          </w:p>
        </w:tc>
        <w:tc>
          <w:tcPr>
            <w:tcW w:w="3402" w:type="dxa"/>
            <w:tcBorders>
              <w:top w:val="single" w:color="auto" w:sz="4" w:space="0"/>
              <w:left w:val="nil"/>
              <w:bottom w:val="single" w:color="auto" w:sz="4" w:space="0"/>
              <w:right w:val="single" w:color="auto" w:sz="4" w:space="0"/>
            </w:tcBorders>
          </w:tcPr>
          <w:p>
            <w:pPr>
              <w:spacing w:line="300" w:lineRule="exact"/>
              <w:rPr>
                <w:color w:val="000000"/>
                <w:sz w:val="21"/>
                <w:szCs w:val="21"/>
              </w:rPr>
            </w:pPr>
            <w:r>
              <w:rPr>
                <w:rFonts w:hint="eastAsia"/>
                <w:color w:val="000000"/>
                <w:sz w:val="21"/>
                <w:szCs w:val="21"/>
              </w:rPr>
              <w:t>港股通结算日终处理。</w:t>
            </w:r>
          </w:p>
        </w:tc>
        <w:tc>
          <w:tcPr>
            <w:tcW w:w="3020"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p>
        </w:tc>
      </w:tr>
      <w:tr>
        <w:tblPrEx>
          <w:tblLayout w:type="fixed"/>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3</w:t>
            </w:r>
          </w:p>
        </w:tc>
        <w:tc>
          <w:tcPr>
            <w:tcW w:w="1700"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14:00后</w:t>
            </w:r>
          </w:p>
        </w:tc>
        <w:tc>
          <w:tcPr>
            <w:tcW w:w="3402" w:type="dxa"/>
            <w:tcBorders>
              <w:top w:val="single" w:color="auto" w:sz="4" w:space="0"/>
              <w:left w:val="nil"/>
              <w:bottom w:val="single" w:color="auto" w:sz="4" w:space="0"/>
              <w:right w:val="single" w:color="auto" w:sz="4" w:space="0"/>
            </w:tcBorders>
          </w:tcPr>
          <w:p>
            <w:pPr>
              <w:spacing w:line="300" w:lineRule="exact"/>
              <w:rPr>
                <w:color w:val="000000"/>
                <w:sz w:val="21"/>
                <w:szCs w:val="21"/>
              </w:rPr>
            </w:pPr>
            <w:r>
              <w:rPr>
                <w:rFonts w:hint="eastAsia"/>
                <w:color w:val="000000"/>
                <w:sz w:val="21"/>
                <w:szCs w:val="21"/>
              </w:rPr>
              <w:t>中国结算深圳分公司发送T日的港股通结算数据。</w:t>
            </w:r>
          </w:p>
        </w:tc>
        <w:tc>
          <w:tcPr>
            <w:tcW w:w="3020"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p>
        </w:tc>
      </w:tr>
    </w:tbl>
    <w:p>
      <w:pPr>
        <w:ind w:firstLine="480"/>
        <w:rPr>
          <w:color w:val="000000"/>
          <w:sz w:val="28"/>
          <w:szCs w:val="28"/>
        </w:rPr>
      </w:pPr>
      <w:r>
        <w:rPr>
          <w:rFonts w:hint="eastAsia"/>
          <w:color w:val="000000"/>
          <w:sz w:val="28"/>
          <w:szCs w:val="28"/>
        </w:rPr>
        <w:t>资金代收代付业务测试的具体安排请见下表：</w:t>
      </w:r>
    </w:p>
    <w:tbl>
      <w:tblPr>
        <w:tblStyle w:val="37"/>
        <w:tblW w:w="8789"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57"/>
        <w:gridCol w:w="64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0" w:hRule="atLeast"/>
        </w:trPr>
        <w:tc>
          <w:tcPr>
            <w:tcW w:w="2357" w:type="dxa"/>
            <w:shd w:val="clear" w:color="auto" w:fill="BEBEBE" w:themeFill="background1" w:themeFillShade="BF"/>
            <w:vAlign w:val="center"/>
          </w:tcPr>
          <w:p>
            <w:pPr>
              <w:spacing w:line="300" w:lineRule="exact"/>
              <w:rPr>
                <w:rFonts w:ascii="Times New Roman"/>
                <w:color w:val="000000"/>
                <w:sz w:val="21"/>
                <w:szCs w:val="21"/>
              </w:rPr>
            </w:pPr>
            <w:r>
              <w:rPr>
                <w:rFonts w:hint="eastAsia" w:ascii="Times New Roman"/>
                <w:color w:val="000000"/>
                <w:sz w:val="21"/>
                <w:szCs w:val="21"/>
              </w:rPr>
              <w:t>实际</w:t>
            </w:r>
            <w:r>
              <w:rPr>
                <w:rFonts w:ascii="Times New Roman"/>
                <w:color w:val="000000"/>
                <w:sz w:val="21"/>
                <w:szCs w:val="21"/>
              </w:rPr>
              <w:t>时间</w:t>
            </w:r>
          </w:p>
          <w:p>
            <w:pPr>
              <w:spacing w:line="300" w:lineRule="exact"/>
              <w:rPr>
                <w:rFonts w:ascii="Times New Roman"/>
                <w:color w:val="000000"/>
                <w:sz w:val="21"/>
                <w:szCs w:val="21"/>
              </w:rPr>
            </w:pPr>
            <w:r>
              <w:rPr>
                <w:rFonts w:ascii="Times New Roman"/>
                <w:color w:val="000000"/>
                <w:sz w:val="21"/>
                <w:szCs w:val="21"/>
              </w:rPr>
              <w:t>(</w:t>
            </w:r>
            <w:r>
              <w:rPr>
                <w:rFonts w:hint="eastAsia" w:ascii="Times New Roman"/>
                <w:color w:val="000000"/>
                <w:sz w:val="21"/>
                <w:szCs w:val="21"/>
              </w:rPr>
              <w:t>7月17日</w:t>
            </w:r>
            <w:r>
              <w:rPr>
                <w:rFonts w:ascii="Times New Roman"/>
                <w:color w:val="000000"/>
                <w:sz w:val="21"/>
                <w:szCs w:val="21"/>
              </w:rPr>
              <w:t>)</w:t>
            </w:r>
          </w:p>
        </w:tc>
        <w:tc>
          <w:tcPr>
            <w:tcW w:w="6432" w:type="dxa"/>
            <w:shd w:val="clear" w:color="auto" w:fill="BEBEBE" w:themeFill="background1" w:themeFillShade="BF"/>
            <w:vAlign w:val="center"/>
          </w:tcPr>
          <w:p>
            <w:pPr>
              <w:spacing w:line="300" w:lineRule="exact"/>
              <w:rPr>
                <w:rFonts w:ascii="Times New Roman"/>
                <w:color w:val="000000"/>
                <w:sz w:val="21"/>
                <w:szCs w:val="21"/>
              </w:rPr>
            </w:pPr>
            <w:r>
              <w:rPr>
                <w:rFonts w:ascii="Times New Roman"/>
                <w:color w:val="000000"/>
                <w:sz w:val="21"/>
                <w:szCs w:val="21"/>
              </w:rPr>
              <w:t>测试内容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58" w:hRule="atLeast"/>
        </w:trPr>
        <w:tc>
          <w:tcPr>
            <w:tcW w:w="2357" w:type="dxa"/>
            <w:vAlign w:val="center"/>
          </w:tcPr>
          <w:p>
            <w:pPr>
              <w:spacing w:line="300" w:lineRule="exact"/>
              <w:rPr>
                <w:rFonts w:ascii="Times New Roman"/>
                <w:color w:val="000000"/>
                <w:sz w:val="21"/>
                <w:szCs w:val="21"/>
              </w:rPr>
            </w:pPr>
            <w:r>
              <w:rPr>
                <w:rFonts w:hint="eastAsia" w:ascii="Times New Roman"/>
                <w:color w:val="000000"/>
                <w:sz w:val="21"/>
                <w:szCs w:val="21"/>
              </w:rPr>
              <w:t>9:00-1</w:t>
            </w:r>
            <w:r>
              <w:rPr>
                <w:rFonts w:ascii="Times New Roman"/>
                <w:color w:val="000000"/>
                <w:sz w:val="21"/>
                <w:szCs w:val="21"/>
              </w:rPr>
              <w:t>2</w:t>
            </w:r>
            <w:r>
              <w:rPr>
                <w:rFonts w:hint="eastAsia" w:ascii="Times New Roman"/>
                <w:color w:val="000000"/>
                <w:sz w:val="21"/>
                <w:szCs w:val="21"/>
              </w:rPr>
              <w:t>:</w:t>
            </w:r>
            <w:r>
              <w:rPr>
                <w:rFonts w:ascii="Times New Roman"/>
                <w:color w:val="000000"/>
                <w:sz w:val="21"/>
                <w:szCs w:val="21"/>
              </w:rPr>
              <w:t>0</w:t>
            </w:r>
            <w:r>
              <w:rPr>
                <w:rFonts w:hint="eastAsia" w:ascii="Times New Roman"/>
                <w:color w:val="000000"/>
                <w:sz w:val="21"/>
                <w:szCs w:val="21"/>
              </w:rPr>
              <w:t>0</w:t>
            </w:r>
          </w:p>
        </w:tc>
        <w:tc>
          <w:tcPr>
            <w:tcW w:w="6432" w:type="dxa"/>
            <w:vAlign w:val="center"/>
          </w:tcPr>
          <w:p>
            <w:pPr>
              <w:spacing w:line="300" w:lineRule="exact"/>
              <w:rPr>
                <w:rFonts w:ascii="Times New Roman"/>
                <w:color w:val="000000"/>
                <w:sz w:val="21"/>
                <w:szCs w:val="21"/>
              </w:rPr>
            </w:pPr>
            <w:r>
              <w:rPr>
                <w:rFonts w:hint="eastAsia" w:ascii="Times New Roman"/>
                <w:color w:val="000000"/>
                <w:sz w:val="21"/>
                <w:szCs w:val="21"/>
              </w:rPr>
              <w:t>证券公司：</w:t>
            </w:r>
          </w:p>
          <w:p>
            <w:pPr>
              <w:spacing w:line="300" w:lineRule="exact"/>
              <w:rPr>
                <w:rFonts w:ascii="Times New Roman"/>
                <w:color w:val="000000"/>
                <w:sz w:val="21"/>
                <w:szCs w:val="21"/>
              </w:rPr>
            </w:pPr>
            <w:r>
              <w:rPr>
                <w:rFonts w:hint="eastAsia" w:ascii="Times New Roman"/>
                <w:color w:val="000000"/>
                <w:sz w:val="21"/>
                <w:szCs w:val="21"/>
              </w:rPr>
              <w:t>上传CDS保费支付代收代付数据；在D</w:t>
            </w:r>
            <w:r>
              <w:rPr>
                <w:rFonts w:ascii="Times New Roman"/>
                <w:color w:val="000000"/>
                <w:sz w:val="21"/>
                <w:szCs w:val="21"/>
              </w:rPr>
              <w:t>-</w:t>
            </w:r>
            <w:r>
              <w:rPr>
                <w:rFonts w:hint="eastAsia" w:ascii="Times New Roman"/>
                <w:color w:val="000000"/>
                <w:sz w:val="21"/>
                <w:szCs w:val="21"/>
              </w:rPr>
              <w:t>COM系统上接收代收代付数据并勾单；</w:t>
            </w:r>
          </w:p>
          <w:p>
            <w:pPr>
              <w:spacing w:line="300" w:lineRule="exact"/>
              <w:rPr>
                <w:rFonts w:ascii="Times New Roman"/>
                <w:color w:val="000000"/>
                <w:sz w:val="21"/>
                <w:szCs w:val="21"/>
              </w:rPr>
            </w:pPr>
            <w:r>
              <w:rPr>
                <w:rFonts w:hint="eastAsia" w:ascii="Times New Roman"/>
                <w:color w:val="000000"/>
                <w:sz w:val="21"/>
                <w:szCs w:val="21"/>
              </w:rPr>
              <w:t>基金管理人：</w:t>
            </w:r>
          </w:p>
          <w:p>
            <w:pPr>
              <w:spacing w:line="300" w:lineRule="exact"/>
              <w:rPr>
                <w:rFonts w:ascii="Times New Roman"/>
                <w:color w:val="000000"/>
                <w:sz w:val="21"/>
                <w:szCs w:val="21"/>
              </w:rPr>
            </w:pPr>
            <w:r>
              <w:rPr>
                <w:rFonts w:hint="eastAsia" w:ascii="Times New Roman"/>
                <w:color w:val="000000"/>
                <w:sz w:val="21"/>
                <w:szCs w:val="21"/>
              </w:rPr>
              <w:t>上传ETF代收代付数据；在D</w:t>
            </w:r>
            <w:r>
              <w:rPr>
                <w:rFonts w:ascii="Times New Roman"/>
                <w:color w:val="000000"/>
                <w:sz w:val="21"/>
                <w:szCs w:val="21"/>
              </w:rPr>
              <w:t>-</w:t>
            </w:r>
            <w:r>
              <w:rPr>
                <w:rFonts w:hint="eastAsia" w:ascii="Times New Roman"/>
                <w:color w:val="000000"/>
                <w:sz w:val="21"/>
                <w:szCs w:val="21"/>
              </w:rPr>
              <w:t>COM系统上接收代收代付数据；</w:t>
            </w:r>
          </w:p>
          <w:p>
            <w:pPr>
              <w:spacing w:line="300" w:lineRule="exact"/>
              <w:rPr>
                <w:rFonts w:ascii="Times New Roman"/>
                <w:color w:val="000000"/>
                <w:sz w:val="21"/>
                <w:szCs w:val="21"/>
              </w:rPr>
            </w:pPr>
            <w:r>
              <w:rPr>
                <w:rFonts w:hint="eastAsia" w:ascii="Times New Roman"/>
                <w:color w:val="000000"/>
                <w:sz w:val="21"/>
                <w:szCs w:val="21"/>
              </w:rPr>
              <w:t>ETF托管行：</w:t>
            </w:r>
          </w:p>
          <w:p>
            <w:pPr>
              <w:spacing w:line="300" w:lineRule="exact"/>
              <w:rPr>
                <w:rFonts w:ascii="Times New Roman"/>
                <w:color w:val="000000"/>
                <w:sz w:val="21"/>
                <w:szCs w:val="21"/>
              </w:rPr>
            </w:pPr>
            <w:r>
              <w:rPr>
                <w:rFonts w:hint="eastAsia" w:ascii="Times New Roman"/>
                <w:color w:val="000000"/>
                <w:sz w:val="21"/>
                <w:szCs w:val="21"/>
              </w:rPr>
              <w:t>在D</w:t>
            </w:r>
            <w:r>
              <w:rPr>
                <w:rFonts w:ascii="Times New Roman"/>
                <w:color w:val="000000"/>
                <w:sz w:val="21"/>
                <w:szCs w:val="21"/>
              </w:rPr>
              <w:t>-</w:t>
            </w:r>
            <w:r>
              <w:rPr>
                <w:rFonts w:hint="eastAsia" w:ascii="Times New Roman"/>
                <w:color w:val="000000"/>
                <w:sz w:val="21"/>
                <w:szCs w:val="21"/>
              </w:rPr>
              <w:t>COM系统上接收代收代付数据并勾单；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57" w:type="dxa"/>
            <w:vAlign w:val="center"/>
          </w:tcPr>
          <w:p>
            <w:pPr>
              <w:spacing w:line="300" w:lineRule="exact"/>
              <w:rPr>
                <w:rFonts w:ascii="Times New Roman"/>
                <w:color w:val="000000"/>
                <w:sz w:val="21"/>
                <w:szCs w:val="21"/>
              </w:rPr>
            </w:pPr>
            <w:r>
              <w:rPr>
                <w:rFonts w:hint="eastAsia" w:ascii="Times New Roman"/>
                <w:color w:val="000000"/>
                <w:sz w:val="21"/>
                <w:szCs w:val="21"/>
              </w:rPr>
              <w:t>1</w:t>
            </w:r>
            <w:r>
              <w:rPr>
                <w:rFonts w:ascii="Times New Roman"/>
                <w:color w:val="000000"/>
                <w:sz w:val="21"/>
                <w:szCs w:val="21"/>
              </w:rPr>
              <w:t>2</w:t>
            </w:r>
            <w:r>
              <w:rPr>
                <w:rFonts w:hint="eastAsia" w:ascii="Times New Roman"/>
                <w:color w:val="000000"/>
                <w:sz w:val="21"/>
                <w:szCs w:val="21"/>
              </w:rPr>
              <w:t>:00</w:t>
            </w:r>
            <w:r>
              <w:rPr>
                <w:rFonts w:ascii="Times New Roman"/>
                <w:color w:val="000000"/>
                <w:sz w:val="21"/>
                <w:szCs w:val="21"/>
              </w:rPr>
              <w:t>-</w:t>
            </w:r>
            <w:r>
              <w:rPr>
                <w:rFonts w:hint="eastAsia" w:ascii="Times New Roman"/>
                <w:color w:val="000000"/>
                <w:sz w:val="21"/>
                <w:szCs w:val="21"/>
              </w:rPr>
              <w:t>1</w:t>
            </w:r>
            <w:r>
              <w:rPr>
                <w:rFonts w:ascii="Times New Roman"/>
                <w:color w:val="000000"/>
                <w:sz w:val="21"/>
                <w:szCs w:val="21"/>
              </w:rPr>
              <w:t>2</w:t>
            </w:r>
            <w:r>
              <w:rPr>
                <w:rFonts w:hint="eastAsia" w:ascii="Times New Roman"/>
                <w:color w:val="000000"/>
                <w:sz w:val="21"/>
                <w:szCs w:val="21"/>
              </w:rPr>
              <w:t>:30</w:t>
            </w:r>
          </w:p>
        </w:tc>
        <w:tc>
          <w:tcPr>
            <w:tcW w:w="6432" w:type="dxa"/>
            <w:vAlign w:val="center"/>
          </w:tcPr>
          <w:p>
            <w:pPr>
              <w:spacing w:line="300" w:lineRule="exact"/>
              <w:rPr>
                <w:rFonts w:ascii="Times New Roman"/>
                <w:color w:val="000000"/>
                <w:sz w:val="21"/>
                <w:szCs w:val="21"/>
              </w:rPr>
            </w:pPr>
            <w:r>
              <w:rPr>
                <w:rFonts w:hint="eastAsia" w:ascii="Times New Roman"/>
                <w:color w:val="000000"/>
                <w:sz w:val="21"/>
                <w:szCs w:val="21"/>
              </w:rPr>
              <w:t>中国结算深圳分公司发送当日最终交收结果</w:t>
            </w:r>
            <w:r>
              <w:rPr>
                <w:rFonts w:ascii="Times New Roman"/>
                <w:color w:val="000000"/>
                <w:sz w:val="21"/>
                <w:szCs w:val="21"/>
              </w:rPr>
              <w:t>数据</w:t>
            </w:r>
          </w:p>
        </w:tc>
      </w:tr>
    </w:tbl>
    <w:p/>
    <w:p>
      <w:pPr>
        <w:ind w:firstLine="560" w:firstLineChars="200"/>
        <w:rPr>
          <w:color w:val="000000"/>
          <w:sz w:val="28"/>
          <w:szCs w:val="28"/>
        </w:rPr>
      </w:pPr>
    </w:p>
    <w:p>
      <w:pPr>
        <w:pStyle w:val="15"/>
        <w:outlineLvl w:val="0"/>
        <w:rPr>
          <w:rFonts w:ascii="楷体_GB2312" w:eastAsia="楷体_GB2312"/>
          <w:b/>
          <w:color w:val="000000"/>
          <w:sz w:val="32"/>
          <w:szCs w:val="28"/>
        </w:rPr>
      </w:pPr>
      <w:r>
        <w:rPr>
          <w:rFonts w:hint="eastAsia" w:ascii="楷体_GB2312" w:eastAsia="楷体_GB2312"/>
          <w:b/>
          <w:color w:val="000000"/>
          <w:sz w:val="32"/>
          <w:szCs w:val="28"/>
        </w:rPr>
        <w:t>五、</w:t>
      </w:r>
      <w:r>
        <w:rPr>
          <w:rFonts w:hint="eastAsia" w:ascii="楷体_GB2312" w:eastAsia="楷体_GB2312"/>
          <w:b/>
          <w:color w:val="000000"/>
          <w:sz w:val="32"/>
          <w:szCs w:val="32"/>
        </w:rPr>
        <w:t>测试数据</w:t>
      </w:r>
      <w:bookmarkEnd w:id="4"/>
      <w:r>
        <w:rPr>
          <w:rFonts w:hint="eastAsia" w:ascii="楷体_GB2312" w:eastAsia="楷体_GB2312"/>
          <w:b/>
          <w:color w:val="000000"/>
          <w:sz w:val="32"/>
          <w:szCs w:val="28"/>
        </w:rPr>
        <w:t>准备</w:t>
      </w:r>
    </w:p>
    <w:p>
      <w:pPr>
        <w:pStyle w:val="72"/>
        <w:numPr>
          <w:ilvl w:val="0"/>
          <w:numId w:val="8"/>
        </w:numPr>
        <w:spacing w:line="560" w:lineRule="exact"/>
        <w:ind w:firstLine="560"/>
        <w:outlineLvl w:val="1"/>
        <w:rPr>
          <w:rFonts w:ascii="楷体_GB2312" w:eastAsia="楷体_GB2312"/>
          <w:color w:val="000000"/>
          <w:sz w:val="28"/>
          <w:szCs w:val="28"/>
        </w:rPr>
      </w:pPr>
      <w:r>
        <w:rPr>
          <w:rFonts w:hint="eastAsia" w:ascii="楷体_GB2312" w:eastAsia="楷体_GB2312"/>
          <w:color w:val="000000"/>
          <w:sz w:val="28"/>
          <w:szCs w:val="28"/>
        </w:rPr>
        <w:t>T日测试以2021年7月16日（星期五）深市所有证券的收盘行情、收市后的股份数据作为交易的起始数据。</w:t>
      </w:r>
    </w:p>
    <w:p>
      <w:pPr>
        <w:pStyle w:val="72"/>
        <w:numPr>
          <w:ilvl w:val="0"/>
          <w:numId w:val="8"/>
        </w:numPr>
        <w:spacing w:line="560" w:lineRule="exact"/>
        <w:ind w:firstLine="560"/>
        <w:outlineLvl w:val="1"/>
        <w:rPr>
          <w:rFonts w:ascii="楷体_GB2312" w:eastAsia="楷体_GB2312"/>
          <w:color w:val="000000"/>
          <w:sz w:val="28"/>
          <w:szCs w:val="28"/>
        </w:rPr>
      </w:pPr>
      <w:r>
        <w:rPr>
          <w:rFonts w:hint="eastAsia" w:ascii="楷体_GB2312" w:eastAsia="楷体_GB2312"/>
          <w:color w:val="000000"/>
          <w:sz w:val="28"/>
          <w:szCs w:val="28"/>
        </w:rPr>
        <w:t>测试使用的交易网关、交易单元、交易单元与交易网关绑定关系、衍生品结算账号、衍生品合约账户、做市商相关信息、ETF的PD券商名单、交易商代码、交易主体代码、交易员代码均与2021年7月19日（星期一）生产系统保持一致。</w:t>
      </w:r>
    </w:p>
    <w:p>
      <w:pPr>
        <w:pStyle w:val="72"/>
        <w:numPr>
          <w:ilvl w:val="0"/>
          <w:numId w:val="8"/>
        </w:numPr>
        <w:spacing w:line="560" w:lineRule="exact"/>
        <w:ind w:firstLine="560"/>
        <w:outlineLvl w:val="1"/>
        <w:rPr>
          <w:rFonts w:ascii="楷体_GB2312" w:eastAsia="楷体_GB2312"/>
          <w:color w:val="000000"/>
          <w:sz w:val="28"/>
          <w:szCs w:val="28"/>
        </w:rPr>
      </w:pPr>
      <w:r>
        <w:rPr>
          <w:rFonts w:hint="eastAsia" w:ascii="楷体_GB2312" w:eastAsia="楷体_GB2312"/>
          <w:color w:val="000000"/>
          <w:sz w:val="28"/>
          <w:szCs w:val="28"/>
        </w:rPr>
        <w:t>ETF的PCF/IOPV文件</w:t>
      </w:r>
    </w:p>
    <w:p>
      <w:pPr>
        <w:ind w:firstLine="560" w:firstLineChars="200"/>
        <w:rPr>
          <w:color w:val="000000"/>
          <w:sz w:val="28"/>
          <w:szCs w:val="28"/>
        </w:rPr>
      </w:pPr>
      <w:r>
        <w:rPr>
          <w:rFonts w:hint="eastAsia"/>
          <w:color w:val="000000"/>
          <w:sz w:val="28"/>
          <w:szCs w:val="28"/>
        </w:rPr>
        <w:t>所有ETF测试使用的PCF/IOPV文件与2021年7月16日（星期五）交易生产系统保持一致，所有基金管理人均无需上传全网测试使用的PCF/IOPV文件。</w:t>
      </w:r>
    </w:p>
    <w:p>
      <w:pPr>
        <w:pStyle w:val="72"/>
        <w:numPr>
          <w:ilvl w:val="0"/>
          <w:numId w:val="8"/>
        </w:numPr>
        <w:spacing w:line="560" w:lineRule="exact"/>
        <w:ind w:firstLine="560"/>
        <w:rPr>
          <w:rFonts w:ascii="楷体_GB2312"/>
          <w:color w:val="000000"/>
          <w:sz w:val="28"/>
          <w:szCs w:val="28"/>
        </w:rPr>
      </w:pPr>
      <w:r>
        <w:rPr>
          <w:rFonts w:hint="eastAsia" w:ascii="楷体_GB2312" w:eastAsia="楷体_GB2312"/>
          <w:color w:val="000000"/>
          <w:sz w:val="28"/>
          <w:szCs w:val="28"/>
        </w:rPr>
        <w:t>新增测试专用证券账户</w:t>
      </w:r>
    </w:p>
    <w:p>
      <w:pPr>
        <w:ind w:firstLine="560" w:firstLineChars="200"/>
        <w:rPr>
          <w:rFonts w:ascii="Times New Roman"/>
          <w:color w:val="000000"/>
          <w:sz w:val="28"/>
          <w:szCs w:val="28"/>
        </w:rPr>
      </w:pPr>
      <w:r>
        <w:rPr>
          <w:rFonts w:hint="eastAsia" w:ascii="Times New Roman"/>
          <w:color w:val="000000"/>
          <w:sz w:val="28"/>
          <w:szCs w:val="28"/>
        </w:rPr>
        <w:t>新增测试专用A股证券账户0199900000—0199900001（A股个人）、0809900000—0809900001（A股法人）；B股证券账户代码为2089900000—2089900001（境内个人），2879900000—2879900001（境外法人）。</w:t>
      </w:r>
    </w:p>
    <w:p>
      <w:pPr>
        <w:ind w:firstLine="560" w:firstLineChars="200"/>
        <w:rPr>
          <w:rFonts w:ascii="Times New Roman"/>
          <w:sz w:val="28"/>
          <w:szCs w:val="28"/>
        </w:rPr>
      </w:pPr>
      <w:r>
        <w:rPr>
          <w:rFonts w:hint="eastAsia" w:ascii="Times New Roman"/>
          <w:sz w:val="28"/>
          <w:szCs w:val="28"/>
        </w:rPr>
        <w:t>上述测试专用证券账户无需向中国结算报送，可直接开通相关权限，但不适用于发行、增发、网络投票业务测试。</w:t>
      </w:r>
    </w:p>
    <w:p>
      <w:pPr>
        <w:pStyle w:val="72"/>
        <w:numPr>
          <w:ilvl w:val="0"/>
          <w:numId w:val="8"/>
        </w:numPr>
        <w:spacing w:line="560" w:lineRule="exact"/>
        <w:ind w:firstLine="560"/>
        <w:rPr>
          <w:rFonts w:ascii="楷体" w:hAnsi="楷体" w:eastAsia="楷体"/>
          <w:sz w:val="28"/>
          <w:szCs w:val="28"/>
        </w:rPr>
      </w:pPr>
      <w:r>
        <w:rPr>
          <w:rFonts w:hint="eastAsia" w:ascii="楷体" w:hAnsi="楷体" w:eastAsia="楷体"/>
          <w:sz w:val="28"/>
          <w:szCs w:val="28"/>
        </w:rPr>
        <w:t>交易业务安排如下</w:t>
      </w:r>
    </w:p>
    <w:p>
      <w:pPr>
        <w:pStyle w:val="72"/>
        <w:ind w:firstLine="560"/>
        <w:rPr>
          <w:rFonts w:ascii="楷体" w:hAnsi="楷体" w:eastAsia="楷体"/>
          <w:sz w:val="28"/>
          <w:szCs w:val="28"/>
        </w:rPr>
      </w:pPr>
      <w:r>
        <w:rPr>
          <w:rFonts w:hint="eastAsia" w:ascii="楷体" w:hAnsi="楷体" w:eastAsia="楷体"/>
          <w:sz w:val="28"/>
          <w:szCs w:val="28"/>
        </w:rPr>
        <w:t>（1）优先股交易业务安排</w:t>
      </w:r>
    </w:p>
    <w:p>
      <w:pPr>
        <w:tabs>
          <w:tab w:val="left" w:pos="420"/>
        </w:tabs>
        <w:ind w:firstLine="565" w:firstLineChars="202"/>
        <w:rPr>
          <w:rFonts w:ascii="楷体" w:hAnsi="楷体" w:eastAsia="楷体"/>
          <w:color w:val="2E2E2E"/>
          <w:kern w:val="0"/>
          <w:sz w:val="28"/>
          <w:szCs w:val="28"/>
        </w:rPr>
      </w:pPr>
      <w:r>
        <w:rPr>
          <w:rFonts w:hint="eastAsia" w:ascii="楷体" w:hAnsi="楷体" w:eastAsia="楷体"/>
          <w:color w:val="2E2E2E"/>
          <w:kern w:val="0"/>
          <w:sz w:val="28"/>
          <w:szCs w:val="28"/>
        </w:rPr>
        <w:t>中国结算深圳分公司为0199900000、0199900001、0809900000、0809900001测试证券账户在每个有效的A股托管单元新增登记140001，140002证券的无限售流通股（以下简称“00股份”）各1</w:t>
      </w:r>
      <w:r>
        <w:rPr>
          <w:rFonts w:ascii="楷体" w:hAnsi="楷体" w:eastAsia="楷体"/>
          <w:color w:val="2E2E2E"/>
          <w:kern w:val="0"/>
          <w:sz w:val="28"/>
          <w:szCs w:val="28"/>
        </w:rPr>
        <w:t>00</w:t>
      </w:r>
      <w:r>
        <w:rPr>
          <w:rFonts w:hint="eastAsia" w:ascii="楷体" w:hAnsi="楷体" w:eastAsia="楷体"/>
          <w:color w:val="2E2E2E"/>
          <w:kern w:val="0"/>
          <w:sz w:val="28"/>
          <w:szCs w:val="28"/>
        </w:rPr>
        <w:t>,000份。</w:t>
      </w:r>
      <w:bookmarkStart w:id="5" w:name="OLE_LINK4"/>
    </w:p>
    <w:bookmarkEnd w:id="5"/>
    <w:p>
      <w:pPr>
        <w:pStyle w:val="72"/>
        <w:ind w:firstLine="560"/>
        <w:rPr>
          <w:rFonts w:ascii="楷体" w:hAnsi="楷体" w:eastAsia="楷体"/>
          <w:sz w:val="28"/>
          <w:szCs w:val="28"/>
        </w:rPr>
      </w:pPr>
      <w:r>
        <w:rPr>
          <w:rFonts w:hint="eastAsia" w:ascii="楷体" w:hAnsi="楷体" w:eastAsia="楷体"/>
          <w:sz w:val="28"/>
          <w:szCs w:val="28"/>
        </w:rPr>
        <w:t>（2</w:t>
      </w:r>
      <w:r>
        <w:rPr>
          <w:rFonts w:ascii="楷体" w:hAnsi="楷体" w:eastAsia="楷体"/>
          <w:sz w:val="28"/>
          <w:szCs w:val="28"/>
        </w:rPr>
        <w:t>）</w:t>
      </w:r>
      <w:r>
        <w:rPr>
          <w:rFonts w:hint="eastAsia" w:ascii="楷体" w:hAnsi="楷体" w:eastAsia="楷体"/>
          <w:sz w:val="28"/>
          <w:szCs w:val="28"/>
        </w:rPr>
        <w:t>债券</w:t>
      </w:r>
      <w:r>
        <w:rPr>
          <w:rFonts w:ascii="楷体" w:hAnsi="楷体" w:eastAsia="楷体"/>
          <w:sz w:val="28"/>
          <w:szCs w:val="28"/>
        </w:rPr>
        <w:t>跨市场转托管</w:t>
      </w:r>
      <w:r>
        <w:rPr>
          <w:rFonts w:hint="eastAsia" w:ascii="楷体" w:hAnsi="楷体" w:eastAsia="楷体"/>
          <w:sz w:val="28"/>
          <w:szCs w:val="28"/>
        </w:rPr>
        <w:t>（政府支持债券</w:t>
      </w:r>
      <w:r>
        <w:rPr>
          <w:rFonts w:ascii="楷体" w:hAnsi="楷体" w:eastAsia="楷体"/>
          <w:sz w:val="28"/>
          <w:szCs w:val="28"/>
        </w:rPr>
        <w:t>、企业债）</w:t>
      </w:r>
    </w:p>
    <w:p>
      <w:pPr>
        <w:tabs>
          <w:tab w:val="left" w:pos="420"/>
        </w:tabs>
        <w:ind w:firstLine="565" w:firstLineChars="202"/>
        <w:rPr>
          <w:rFonts w:ascii="楷体" w:hAnsi="楷体" w:eastAsia="楷体"/>
          <w:color w:val="2E2E2E"/>
          <w:kern w:val="0"/>
          <w:sz w:val="28"/>
          <w:szCs w:val="28"/>
        </w:rPr>
      </w:pPr>
      <w:r>
        <w:rPr>
          <w:rFonts w:hint="eastAsia" w:ascii="楷体" w:hAnsi="楷体" w:eastAsia="楷体"/>
          <w:color w:val="2E2E2E"/>
          <w:kern w:val="0"/>
          <w:sz w:val="28"/>
          <w:szCs w:val="28"/>
        </w:rPr>
        <w:t>中国结算深圳分公司为0199900000、0199900001、0809900000、0809900001测试证券账户在每个有效的A股托管单元新增登记</w:t>
      </w:r>
      <w:r>
        <w:rPr>
          <w:rFonts w:ascii="楷体" w:hAnsi="楷体" w:eastAsia="楷体"/>
          <w:color w:val="2E2E2E"/>
          <w:kern w:val="0"/>
          <w:sz w:val="28"/>
          <w:szCs w:val="28"/>
        </w:rPr>
        <w:t>111940</w:t>
      </w:r>
      <w:r>
        <w:rPr>
          <w:rFonts w:hint="eastAsia" w:ascii="楷体" w:hAnsi="楷体" w:eastAsia="楷体"/>
          <w:color w:val="2E2E2E"/>
          <w:kern w:val="0"/>
          <w:sz w:val="28"/>
          <w:szCs w:val="28"/>
        </w:rPr>
        <w:t>、</w:t>
      </w:r>
      <w:r>
        <w:rPr>
          <w:rFonts w:ascii="楷体" w:hAnsi="楷体" w:eastAsia="楷体"/>
          <w:color w:val="2E2E2E"/>
          <w:kern w:val="0"/>
          <w:sz w:val="28"/>
          <w:szCs w:val="28"/>
        </w:rPr>
        <w:t>111085</w:t>
      </w:r>
      <w:r>
        <w:rPr>
          <w:rFonts w:hint="eastAsia" w:ascii="楷体" w:hAnsi="楷体" w:eastAsia="楷体"/>
          <w:color w:val="2E2E2E"/>
          <w:kern w:val="0"/>
          <w:sz w:val="28"/>
          <w:szCs w:val="28"/>
        </w:rPr>
        <w:t>证券的00股份各1</w:t>
      </w:r>
      <w:r>
        <w:rPr>
          <w:rFonts w:ascii="楷体" w:hAnsi="楷体" w:eastAsia="楷体"/>
          <w:color w:val="2E2E2E"/>
          <w:kern w:val="0"/>
          <w:sz w:val="28"/>
          <w:szCs w:val="28"/>
        </w:rPr>
        <w:t>00</w:t>
      </w:r>
      <w:r>
        <w:rPr>
          <w:rFonts w:hint="eastAsia" w:ascii="楷体" w:hAnsi="楷体" w:eastAsia="楷体"/>
          <w:color w:val="2E2E2E"/>
          <w:kern w:val="0"/>
          <w:sz w:val="28"/>
          <w:szCs w:val="28"/>
        </w:rPr>
        <w:t>,000张。</w:t>
      </w:r>
    </w:p>
    <w:p>
      <w:pPr>
        <w:pStyle w:val="72"/>
        <w:ind w:firstLine="560"/>
        <w:rPr>
          <w:rFonts w:ascii="楷体" w:hAnsi="楷体" w:eastAsia="楷体"/>
          <w:sz w:val="28"/>
          <w:szCs w:val="28"/>
        </w:rPr>
      </w:pPr>
      <w:r>
        <w:rPr>
          <w:rFonts w:hint="eastAsia" w:ascii="楷体" w:hAnsi="楷体" w:eastAsia="楷体"/>
          <w:sz w:val="28"/>
          <w:szCs w:val="28"/>
        </w:rPr>
        <w:t>（3）B股的交易、一二类指令</w:t>
      </w:r>
    </w:p>
    <w:p>
      <w:pPr>
        <w:pStyle w:val="72"/>
        <w:ind w:firstLine="560"/>
        <w:rPr>
          <w:rFonts w:ascii="楷体" w:hAnsi="楷体" w:eastAsia="楷体"/>
          <w:color w:val="2E2E2E"/>
          <w:kern w:val="0"/>
          <w:sz w:val="28"/>
          <w:szCs w:val="28"/>
        </w:rPr>
      </w:pPr>
      <w:r>
        <w:rPr>
          <w:rFonts w:hint="eastAsia" w:ascii="楷体" w:hAnsi="楷体" w:eastAsia="楷体"/>
          <w:color w:val="2E2E2E"/>
          <w:kern w:val="0"/>
          <w:sz w:val="28"/>
          <w:szCs w:val="28"/>
        </w:rPr>
        <w:t>中国结算深圳分公司为</w:t>
      </w:r>
      <w:r>
        <w:rPr>
          <w:rFonts w:hint="eastAsia"/>
          <w:color w:val="000000"/>
          <w:sz w:val="28"/>
          <w:szCs w:val="28"/>
        </w:rPr>
        <w:t>2089900000、2089900001、2879900000、2879900001</w:t>
      </w:r>
      <w:r>
        <w:rPr>
          <w:rFonts w:hint="eastAsia" w:ascii="楷体" w:hAnsi="楷体" w:eastAsia="楷体"/>
          <w:color w:val="2E2E2E"/>
          <w:kern w:val="0"/>
          <w:sz w:val="28"/>
          <w:szCs w:val="28"/>
        </w:rPr>
        <w:t>测试证券账户在每个有效的B股托管单元新增登记</w:t>
      </w:r>
      <w:r>
        <w:rPr>
          <w:rFonts w:hint="eastAsia"/>
          <w:sz w:val="28"/>
          <w:szCs w:val="28"/>
        </w:rPr>
        <w:t>200011、200012</w:t>
      </w:r>
      <w:r>
        <w:rPr>
          <w:rFonts w:hint="eastAsia" w:ascii="楷体" w:hAnsi="楷体" w:eastAsia="楷体"/>
          <w:kern w:val="0"/>
          <w:sz w:val="28"/>
          <w:szCs w:val="28"/>
        </w:rPr>
        <w:t>、</w:t>
      </w:r>
      <w:r>
        <w:rPr>
          <w:rFonts w:hint="eastAsia"/>
          <w:sz w:val="28"/>
          <w:szCs w:val="28"/>
        </w:rPr>
        <w:t>200016</w:t>
      </w:r>
      <w:r>
        <w:rPr>
          <w:rFonts w:hint="eastAsia" w:ascii="楷体" w:hAnsi="楷体" w:eastAsia="楷体"/>
          <w:color w:val="2E2E2E"/>
          <w:kern w:val="0"/>
          <w:sz w:val="28"/>
          <w:szCs w:val="28"/>
        </w:rPr>
        <w:t>证券的00股份各1</w:t>
      </w:r>
      <w:r>
        <w:rPr>
          <w:rFonts w:ascii="楷体" w:hAnsi="楷体" w:eastAsia="楷体"/>
          <w:color w:val="2E2E2E"/>
          <w:kern w:val="0"/>
          <w:sz w:val="28"/>
          <w:szCs w:val="28"/>
        </w:rPr>
        <w:t>00</w:t>
      </w:r>
      <w:r>
        <w:rPr>
          <w:rFonts w:hint="eastAsia" w:ascii="楷体" w:hAnsi="楷体" w:eastAsia="楷体"/>
          <w:color w:val="2E2E2E"/>
          <w:kern w:val="0"/>
          <w:sz w:val="28"/>
          <w:szCs w:val="28"/>
        </w:rPr>
        <w:t>,000股。</w:t>
      </w:r>
    </w:p>
    <w:p>
      <w:pPr>
        <w:pStyle w:val="72"/>
        <w:ind w:firstLine="560"/>
        <w:rPr>
          <w:rFonts w:ascii="楷体" w:hAnsi="楷体" w:eastAsia="楷体"/>
          <w:sz w:val="28"/>
          <w:szCs w:val="28"/>
        </w:rPr>
      </w:pPr>
      <w:r>
        <w:rPr>
          <w:rFonts w:hint="eastAsia" w:ascii="楷体" w:hAnsi="楷体" w:eastAsia="楷体"/>
          <w:sz w:val="28"/>
          <w:szCs w:val="28"/>
        </w:rPr>
        <w:t>（4）B股要约收购业务安排</w:t>
      </w:r>
    </w:p>
    <w:tbl>
      <w:tblPr>
        <w:tblStyle w:val="37"/>
        <w:tblW w:w="6705"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78"/>
        <w:gridCol w:w="792"/>
        <w:gridCol w:w="850"/>
        <w:gridCol w:w="754"/>
        <w:gridCol w:w="691"/>
        <w:gridCol w:w="1274"/>
        <w:gridCol w:w="12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078" w:type="dxa"/>
            <w:vAlign w:val="center"/>
          </w:tcPr>
          <w:p>
            <w:pPr>
              <w:pStyle w:val="72"/>
              <w:tabs>
                <w:tab w:val="left" w:pos="420"/>
              </w:tabs>
              <w:ind w:firstLine="0" w:firstLineChars="0"/>
              <w:jc w:val="center"/>
              <w:rPr>
                <w:rFonts w:asciiTheme="minorEastAsia" w:hAnsiTheme="minorEastAsia" w:eastAsiaTheme="minorEastAsia"/>
                <w:b/>
                <w:szCs w:val="21"/>
              </w:rPr>
            </w:pPr>
            <w:r>
              <w:rPr>
                <w:rFonts w:hint="eastAsia" w:asciiTheme="minorEastAsia" w:hAnsiTheme="minorEastAsia" w:eastAsiaTheme="minorEastAsia"/>
                <w:b/>
                <w:szCs w:val="21"/>
              </w:rPr>
              <w:t>证券代码</w:t>
            </w:r>
          </w:p>
        </w:tc>
        <w:tc>
          <w:tcPr>
            <w:tcW w:w="792" w:type="dxa"/>
            <w:vAlign w:val="center"/>
          </w:tcPr>
          <w:p>
            <w:pPr>
              <w:pStyle w:val="72"/>
              <w:tabs>
                <w:tab w:val="left" w:pos="420"/>
              </w:tabs>
              <w:ind w:firstLine="0" w:firstLineChars="0"/>
              <w:jc w:val="center"/>
              <w:rPr>
                <w:rFonts w:asciiTheme="minorEastAsia" w:hAnsiTheme="minorEastAsia" w:eastAsiaTheme="minorEastAsia"/>
                <w:b/>
                <w:szCs w:val="21"/>
              </w:rPr>
            </w:pPr>
            <w:r>
              <w:rPr>
                <w:rFonts w:hint="eastAsia" w:asciiTheme="minorEastAsia" w:hAnsiTheme="minorEastAsia" w:eastAsiaTheme="minorEastAsia"/>
                <w:b/>
                <w:szCs w:val="21"/>
              </w:rPr>
              <w:t>证券简称</w:t>
            </w:r>
          </w:p>
        </w:tc>
        <w:tc>
          <w:tcPr>
            <w:tcW w:w="850" w:type="dxa"/>
            <w:vAlign w:val="center"/>
          </w:tcPr>
          <w:p>
            <w:pPr>
              <w:pStyle w:val="72"/>
              <w:tabs>
                <w:tab w:val="left" w:pos="420"/>
              </w:tabs>
              <w:ind w:firstLine="0" w:firstLineChars="0"/>
              <w:jc w:val="center"/>
              <w:rPr>
                <w:rFonts w:asciiTheme="minorEastAsia" w:hAnsiTheme="minorEastAsia" w:eastAsiaTheme="minorEastAsia"/>
                <w:b/>
                <w:szCs w:val="21"/>
              </w:rPr>
            </w:pPr>
            <w:r>
              <w:rPr>
                <w:rFonts w:hint="eastAsia" w:asciiTheme="minorEastAsia" w:hAnsiTheme="minorEastAsia" w:eastAsiaTheme="minorEastAsia"/>
                <w:b/>
                <w:szCs w:val="21"/>
              </w:rPr>
              <w:t>收购编码</w:t>
            </w:r>
          </w:p>
        </w:tc>
        <w:tc>
          <w:tcPr>
            <w:tcW w:w="754" w:type="dxa"/>
            <w:vAlign w:val="center"/>
          </w:tcPr>
          <w:p>
            <w:pPr>
              <w:pStyle w:val="72"/>
              <w:tabs>
                <w:tab w:val="left" w:pos="420"/>
              </w:tabs>
              <w:ind w:firstLine="0" w:firstLineChars="0"/>
              <w:jc w:val="center"/>
              <w:rPr>
                <w:rFonts w:asciiTheme="minorEastAsia" w:hAnsiTheme="minorEastAsia" w:eastAsiaTheme="minorEastAsia"/>
                <w:b/>
                <w:szCs w:val="21"/>
              </w:rPr>
            </w:pPr>
            <w:r>
              <w:rPr>
                <w:rFonts w:hint="eastAsia" w:asciiTheme="minorEastAsia" w:hAnsiTheme="minorEastAsia" w:eastAsiaTheme="minorEastAsia"/>
                <w:b/>
                <w:szCs w:val="21"/>
              </w:rPr>
              <w:t>收购人名称</w:t>
            </w:r>
          </w:p>
        </w:tc>
        <w:tc>
          <w:tcPr>
            <w:tcW w:w="691" w:type="dxa"/>
            <w:vAlign w:val="center"/>
          </w:tcPr>
          <w:p>
            <w:pPr>
              <w:pStyle w:val="72"/>
              <w:tabs>
                <w:tab w:val="left" w:pos="420"/>
              </w:tabs>
              <w:ind w:firstLine="0" w:firstLineChars="0"/>
              <w:jc w:val="center"/>
              <w:rPr>
                <w:rFonts w:asciiTheme="minorEastAsia" w:hAnsiTheme="minorEastAsia" w:eastAsiaTheme="minorEastAsia"/>
                <w:b/>
                <w:szCs w:val="21"/>
              </w:rPr>
            </w:pPr>
            <w:r>
              <w:rPr>
                <w:rFonts w:hint="eastAsia" w:asciiTheme="minorEastAsia" w:hAnsiTheme="minorEastAsia" w:eastAsiaTheme="minorEastAsia"/>
                <w:b/>
                <w:szCs w:val="21"/>
              </w:rPr>
              <w:t>收购</w:t>
            </w:r>
          </w:p>
          <w:p>
            <w:pPr>
              <w:pStyle w:val="72"/>
              <w:tabs>
                <w:tab w:val="left" w:pos="420"/>
              </w:tabs>
              <w:ind w:firstLine="0" w:firstLineChars="0"/>
              <w:jc w:val="center"/>
              <w:rPr>
                <w:rFonts w:asciiTheme="minorEastAsia" w:hAnsiTheme="minorEastAsia" w:eastAsiaTheme="minorEastAsia"/>
                <w:b/>
                <w:szCs w:val="21"/>
              </w:rPr>
            </w:pPr>
            <w:r>
              <w:rPr>
                <w:rFonts w:hint="eastAsia" w:asciiTheme="minorEastAsia" w:hAnsiTheme="minorEastAsia" w:eastAsiaTheme="minorEastAsia"/>
                <w:b/>
                <w:szCs w:val="21"/>
              </w:rPr>
              <w:t>价格</w:t>
            </w:r>
          </w:p>
        </w:tc>
        <w:tc>
          <w:tcPr>
            <w:tcW w:w="1274" w:type="dxa"/>
            <w:vAlign w:val="center"/>
          </w:tcPr>
          <w:p>
            <w:pPr>
              <w:pStyle w:val="72"/>
              <w:tabs>
                <w:tab w:val="left" w:pos="420"/>
              </w:tabs>
              <w:ind w:firstLine="0" w:firstLineChars="0"/>
              <w:jc w:val="center"/>
              <w:rPr>
                <w:rFonts w:asciiTheme="minorEastAsia" w:hAnsiTheme="minorEastAsia" w:eastAsiaTheme="minorEastAsia"/>
                <w:b/>
                <w:szCs w:val="21"/>
              </w:rPr>
            </w:pPr>
            <w:r>
              <w:rPr>
                <w:rFonts w:hint="eastAsia" w:asciiTheme="minorEastAsia" w:hAnsiTheme="minorEastAsia" w:eastAsiaTheme="minorEastAsia"/>
                <w:b/>
                <w:szCs w:val="21"/>
              </w:rPr>
              <w:t>要约收购</w:t>
            </w:r>
          </w:p>
          <w:p>
            <w:pPr>
              <w:pStyle w:val="72"/>
              <w:tabs>
                <w:tab w:val="left" w:pos="420"/>
              </w:tabs>
              <w:ind w:firstLine="0" w:firstLineChars="0"/>
              <w:jc w:val="center"/>
              <w:rPr>
                <w:rFonts w:asciiTheme="minorEastAsia" w:hAnsiTheme="minorEastAsia" w:eastAsiaTheme="minorEastAsia"/>
                <w:b/>
                <w:szCs w:val="21"/>
              </w:rPr>
            </w:pPr>
            <w:r>
              <w:rPr>
                <w:rFonts w:hint="eastAsia" w:asciiTheme="minorEastAsia" w:hAnsiTheme="minorEastAsia" w:eastAsiaTheme="minorEastAsia"/>
                <w:b/>
                <w:szCs w:val="21"/>
              </w:rPr>
              <w:t>起始日期</w:t>
            </w:r>
          </w:p>
        </w:tc>
        <w:tc>
          <w:tcPr>
            <w:tcW w:w="1266" w:type="dxa"/>
            <w:vAlign w:val="center"/>
          </w:tcPr>
          <w:p>
            <w:pPr>
              <w:pStyle w:val="72"/>
              <w:tabs>
                <w:tab w:val="left" w:pos="420"/>
              </w:tabs>
              <w:ind w:firstLine="0" w:firstLineChars="0"/>
              <w:jc w:val="center"/>
              <w:rPr>
                <w:rFonts w:asciiTheme="minorEastAsia" w:hAnsiTheme="minorEastAsia" w:eastAsiaTheme="minorEastAsia"/>
                <w:b/>
                <w:szCs w:val="21"/>
              </w:rPr>
            </w:pPr>
            <w:r>
              <w:rPr>
                <w:rFonts w:hint="eastAsia" w:asciiTheme="minorEastAsia" w:hAnsiTheme="minorEastAsia" w:eastAsiaTheme="minorEastAsia"/>
                <w:b/>
                <w:szCs w:val="21"/>
              </w:rPr>
              <w:t>要约收购</w:t>
            </w:r>
          </w:p>
          <w:p>
            <w:pPr>
              <w:pStyle w:val="72"/>
              <w:tabs>
                <w:tab w:val="left" w:pos="420"/>
              </w:tabs>
              <w:ind w:firstLine="0" w:firstLineChars="0"/>
              <w:jc w:val="center"/>
              <w:rPr>
                <w:rFonts w:asciiTheme="minorEastAsia" w:hAnsiTheme="minorEastAsia" w:eastAsiaTheme="minorEastAsia"/>
                <w:b/>
                <w:szCs w:val="21"/>
              </w:rPr>
            </w:pPr>
            <w:r>
              <w:rPr>
                <w:rFonts w:hint="eastAsia" w:asciiTheme="minorEastAsia" w:hAnsiTheme="minorEastAsia" w:eastAsiaTheme="minorEastAsia"/>
                <w:b/>
                <w:szCs w:val="21"/>
              </w:rPr>
              <w:t>截止日期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078" w:type="dxa"/>
            <w:vAlign w:val="center"/>
          </w:tcPr>
          <w:p>
            <w:pPr>
              <w:pStyle w:val="72"/>
              <w:tabs>
                <w:tab w:val="left" w:pos="420"/>
              </w:tabs>
              <w:ind w:firstLine="0" w:firstLineChars="0"/>
              <w:jc w:val="center"/>
              <w:rPr>
                <w:rFonts w:asciiTheme="minorEastAsia" w:hAnsiTheme="minorEastAsia" w:eastAsiaTheme="minorEastAsia"/>
                <w:szCs w:val="21"/>
              </w:rPr>
            </w:pPr>
            <w:r>
              <w:rPr>
                <w:rFonts w:asciiTheme="minorEastAsia" w:hAnsiTheme="minorEastAsia" w:eastAsiaTheme="minorEastAsia"/>
                <w:szCs w:val="21"/>
              </w:rPr>
              <w:t>200011</w:t>
            </w:r>
          </w:p>
        </w:tc>
        <w:tc>
          <w:tcPr>
            <w:tcW w:w="792" w:type="dxa"/>
            <w:vAlign w:val="center"/>
          </w:tcPr>
          <w:p>
            <w:pPr>
              <w:pStyle w:val="72"/>
              <w:tabs>
                <w:tab w:val="left" w:pos="420"/>
              </w:tabs>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深物业</w:t>
            </w:r>
            <w:r>
              <w:rPr>
                <w:rFonts w:asciiTheme="minorEastAsia" w:hAnsiTheme="minorEastAsia" w:eastAsiaTheme="minorEastAsia"/>
                <w:szCs w:val="21"/>
              </w:rPr>
              <w:t>B</w:t>
            </w:r>
          </w:p>
        </w:tc>
        <w:tc>
          <w:tcPr>
            <w:tcW w:w="850" w:type="dxa"/>
            <w:vAlign w:val="center"/>
          </w:tcPr>
          <w:p>
            <w:pPr>
              <w:pStyle w:val="72"/>
              <w:tabs>
                <w:tab w:val="left" w:pos="420"/>
              </w:tabs>
              <w:ind w:firstLine="0" w:firstLineChars="0"/>
              <w:jc w:val="center"/>
              <w:rPr>
                <w:rFonts w:asciiTheme="minorEastAsia" w:hAnsiTheme="minorEastAsia" w:eastAsiaTheme="minorEastAsia"/>
                <w:szCs w:val="21"/>
              </w:rPr>
            </w:pPr>
            <w:r>
              <w:rPr>
                <w:rFonts w:asciiTheme="minorEastAsia" w:hAnsiTheme="minorEastAsia" w:eastAsiaTheme="minorEastAsia"/>
                <w:szCs w:val="21"/>
              </w:rPr>
              <w:t>99023</w:t>
            </w:r>
            <w:r>
              <w:rPr>
                <w:rFonts w:hint="eastAsia" w:asciiTheme="minorEastAsia" w:hAnsiTheme="minorEastAsia" w:eastAsiaTheme="minorEastAsia"/>
                <w:szCs w:val="21"/>
              </w:rPr>
              <w:t>4</w:t>
            </w:r>
          </w:p>
        </w:tc>
        <w:tc>
          <w:tcPr>
            <w:tcW w:w="754" w:type="dxa"/>
            <w:vAlign w:val="center"/>
          </w:tcPr>
          <w:p>
            <w:pPr>
              <w:pStyle w:val="72"/>
              <w:tabs>
                <w:tab w:val="left" w:pos="420"/>
              </w:tabs>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测试收购公司一</w:t>
            </w:r>
          </w:p>
        </w:tc>
        <w:tc>
          <w:tcPr>
            <w:tcW w:w="691" w:type="dxa"/>
            <w:vAlign w:val="center"/>
          </w:tcPr>
          <w:p>
            <w:pPr>
              <w:pStyle w:val="72"/>
              <w:tabs>
                <w:tab w:val="left" w:pos="420"/>
              </w:tabs>
              <w:ind w:firstLine="0" w:firstLineChars="0"/>
              <w:jc w:val="center"/>
              <w:rPr>
                <w:rFonts w:asciiTheme="minorEastAsia" w:hAnsiTheme="minorEastAsia" w:eastAsiaTheme="minorEastAsia"/>
                <w:szCs w:val="21"/>
              </w:rPr>
            </w:pPr>
            <w:r>
              <w:rPr>
                <w:rFonts w:asciiTheme="minorEastAsia" w:hAnsiTheme="minorEastAsia" w:eastAsiaTheme="minorEastAsia"/>
                <w:szCs w:val="21"/>
              </w:rPr>
              <w:t>7.00</w:t>
            </w:r>
          </w:p>
        </w:tc>
        <w:tc>
          <w:tcPr>
            <w:tcW w:w="1274" w:type="dxa"/>
            <w:shd w:val="clear" w:color="auto" w:fill="auto"/>
            <w:vAlign w:val="center"/>
          </w:tcPr>
          <w:p>
            <w:pPr>
              <w:pStyle w:val="72"/>
              <w:tabs>
                <w:tab w:val="left" w:pos="420"/>
              </w:tabs>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2021-07-17</w:t>
            </w:r>
          </w:p>
        </w:tc>
        <w:tc>
          <w:tcPr>
            <w:tcW w:w="1266" w:type="dxa"/>
            <w:shd w:val="clear" w:color="auto" w:fill="auto"/>
            <w:vAlign w:val="center"/>
          </w:tcPr>
          <w:p>
            <w:pPr>
              <w:pStyle w:val="72"/>
              <w:tabs>
                <w:tab w:val="left" w:pos="420"/>
              </w:tabs>
              <w:ind w:firstLine="0" w:firstLineChars="0"/>
              <w:jc w:val="center"/>
              <w:rPr>
                <w:rFonts w:asciiTheme="minorEastAsia" w:hAnsiTheme="minorEastAsia" w:eastAsiaTheme="minorEastAsia"/>
                <w:szCs w:val="21"/>
              </w:rPr>
            </w:pPr>
            <w:r>
              <w:rPr>
                <w:rFonts w:asciiTheme="minorEastAsia" w:hAnsiTheme="minorEastAsia" w:eastAsiaTheme="minorEastAsia"/>
                <w:szCs w:val="21"/>
              </w:rPr>
              <w:t>2021-07-</w:t>
            </w:r>
            <w:r>
              <w:rPr>
                <w:rFonts w:hint="eastAsia" w:asciiTheme="minorEastAsia" w:hAnsiTheme="minorEastAsia" w:eastAsiaTheme="minorEastAsia"/>
                <w:szCs w:val="21"/>
              </w:rPr>
              <w:t>17</w:t>
            </w:r>
          </w:p>
        </w:tc>
      </w:tr>
    </w:tbl>
    <w:p>
      <w:pPr>
        <w:pStyle w:val="72"/>
        <w:numPr>
          <w:ilvl w:val="0"/>
          <w:numId w:val="8"/>
        </w:numPr>
        <w:spacing w:line="560" w:lineRule="exact"/>
        <w:ind w:firstLine="560"/>
        <w:outlineLvl w:val="1"/>
        <w:rPr>
          <w:rFonts w:ascii="楷体" w:hAnsi="楷体" w:eastAsia="楷体"/>
          <w:sz w:val="28"/>
          <w:szCs w:val="28"/>
        </w:rPr>
      </w:pPr>
      <w:r>
        <w:rPr>
          <w:rFonts w:hint="eastAsia" w:ascii="楷体" w:hAnsi="楷体" w:eastAsia="楷体"/>
          <w:sz w:val="28"/>
          <w:szCs w:val="28"/>
        </w:rPr>
        <w:t>转</w:t>
      </w:r>
      <w:r>
        <w:rPr>
          <w:rFonts w:hint="eastAsia" w:ascii="楷体_GB2312" w:hAnsi="楷体" w:eastAsia="楷体_GB2312"/>
          <w:sz w:val="28"/>
          <w:szCs w:val="28"/>
        </w:rPr>
        <w:t>托管</w:t>
      </w:r>
      <w:r>
        <w:rPr>
          <w:rFonts w:hint="eastAsia" w:ascii="楷体" w:hAnsi="楷体" w:eastAsia="楷体"/>
          <w:sz w:val="28"/>
          <w:szCs w:val="28"/>
        </w:rPr>
        <w:t>业务安排</w:t>
      </w:r>
    </w:p>
    <w:p>
      <w:pPr>
        <w:ind w:firstLine="560" w:firstLineChars="200"/>
        <w:rPr>
          <w:rFonts w:ascii="楷体" w:hAnsi="楷体" w:eastAsia="楷体"/>
          <w:kern w:val="0"/>
          <w:sz w:val="28"/>
          <w:szCs w:val="28"/>
        </w:rPr>
      </w:pPr>
      <w:r>
        <w:rPr>
          <w:rFonts w:hint="eastAsia" w:ascii="楷体" w:hAnsi="楷体" w:eastAsia="楷体"/>
          <w:kern w:val="0"/>
          <w:sz w:val="28"/>
          <w:szCs w:val="28"/>
        </w:rPr>
        <w:t>自主申报场内转托管业务。</w:t>
      </w:r>
    </w:p>
    <w:p>
      <w:pPr>
        <w:pStyle w:val="72"/>
        <w:numPr>
          <w:ilvl w:val="0"/>
          <w:numId w:val="8"/>
        </w:numPr>
        <w:ind w:firstLine="560"/>
        <w:outlineLvl w:val="1"/>
        <w:rPr>
          <w:rFonts w:ascii="楷体" w:hAnsi="楷体" w:eastAsia="楷体"/>
          <w:sz w:val="28"/>
          <w:szCs w:val="28"/>
        </w:rPr>
      </w:pPr>
      <w:r>
        <w:rPr>
          <w:rFonts w:hint="eastAsia" w:ascii="楷体" w:hAnsi="楷体" w:eastAsia="楷体"/>
          <w:sz w:val="28"/>
          <w:szCs w:val="28"/>
        </w:rPr>
        <w:t>资金代收代付业务</w:t>
      </w:r>
    </w:p>
    <w:p>
      <w:pPr>
        <w:pStyle w:val="30"/>
        <w:ind w:firstLine="560" w:firstLineChars="200"/>
        <w:outlineLvl w:val="1"/>
        <w:rPr>
          <w:color w:val="000000"/>
          <w:szCs w:val="28"/>
        </w:rPr>
      </w:pPr>
      <w:r>
        <w:rPr>
          <w:rFonts w:hint="eastAsia"/>
          <w:color w:val="000000"/>
          <w:szCs w:val="28"/>
        </w:rPr>
        <w:t>基金管理人上传的</w:t>
      </w:r>
      <w:r>
        <w:rPr>
          <w:color w:val="000000"/>
          <w:szCs w:val="28"/>
        </w:rPr>
        <w:t>ETF</w:t>
      </w:r>
      <w:r>
        <w:rPr>
          <w:rFonts w:hint="eastAsia"/>
          <w:color w:val="000000"/>
          <w:szCs w:val="28"/>
        </w:rPr>
        <w:t>业务代收代付数据，需以生产环境已有数据为准。</w:t>
      </w:r>
    </w:p>
    <w:p>
      <w:pPr>
        <w:pStyle w:val="30"/>
        <w:ind w:firstLine="560" w:firstLineChars="200"/>
        <w:outlineLvl w:val="1"/>
        <w:rPr>
          <w:color w:val="000000"/>
          <w:szCs w:val="28"/>
        </w:rPr>
      </w:pPr>
      <w:r>
        <w:rPr>
          <w:rFonts w:hint="eastAsia"/>
          <w:color w:val="000000"/>
          <w:szCs w:val="28"/>
        </w:rPr>
        <w:t>结算参与机构上传的C</w:t>
      </w:r>
      <w:r>
        <w:rPr>
          <w:color w:val="000000"/>
          <w:szCs w:val="28"/>
        </w:rPr>
        <w:t>DS保费支付代收代付数据，可使用生产已有</w:t>
      </w:r>
      <w:r>
        <w:rPr>
          <w:rFonts w:hint="eastAsia"/>
          <w:color w:val="000000"/>
          <w:szCs w:val="28"/>
        </w:rPr>
        <w:t>C</w:t>
      </w:r>
      <w:r>
        <w:rPr>
          <w:color w:val="000000"/>
          <w:szCs w:val="28"/>
        </w:rPr>
        <w:t>DS合约信息或</w:t>
      </w:r>
      <w:r>
        <w:rPr>
          <w:rFonts w:hint="eastAsia"/>
          <w:color w:val="000000"/>
          <w:szCs w:val="28"/>
        </w:rPr>
        <w:t>T日测试新达成的C</w:t>
      </w:r>
      <w:r>
        <w:rPr>
          <w:color w:val="000000"/>
          <w:szCs w:val="28"/>
        </w:rPr>
        <w:t>DS合约信息</w:t>
      </w:r>
      <w:r>
        <w:rPr>
          <w:rFonts w:hint="eastAsia"/>
          <w:color w:val="000000"/>
          <w:szCs w:val="28"/>
        </w:rPr>
        <w:t>。</w:t>
      </w:r>
    </w:p>
    <w:p>
      <w:pPr>
        <w:pStyle w:val="30"/>
        <w:ind w:firstLine="560" w:firstLineChars="200"/>
        <w:outlineLvl w:val="1"/>
        <w:rPr>
          <w:rFonts w:ascii="Times New Roman" w:eastAsia="楷体"/>
          <w:color w:val="000000"/>
          <w:szCs w:val="28"/>
        </w:rPr>
      </w:pPr>
      <w:r>
        <w:rPr>
          <w:rFonts w:hint="eastAsia"/>
          <w:color w:val="000000"/>
          <w:szCs w:val="28"/>
        </w:rPr>
        <w:t>本次测试ETF代收代付相关业务，</w:t>
      </w:r>
      <w:r>
        <w:rPr>
          <w:rFonts w:hint="eastAsia" w:ascii="Times New Roman"/>
          <w:color w:val="000000"/>
          <w:szCs w:val="28"/>
        </w:rPr>
        <w:t>中国结算深圳分公司将向所有结算参与人发送代收代付模拟测试数据供结算参与人进行勾单测试。相关ETF其中深市单市场ETF使用159901，跨市场ETF使用159919，货币ETF使用159001。本次测试证券账户使用</w:t>
      </w:r>
      <w:r>
        <w:rPr>
          <w:rFonts w:hint="eastAsia" w:ascii="楷体" w:hAnsi="楷体" w:eastAsia="楷体"/>
          <w:color w:val="2E2E2E"/>
          <w:kern w:val="0"/>
          <w:szCs w:val="28"/>
        </w:rPr>
        <w:t>0199900000、0199900001。</w:t>
      </w:r>
    </w:p>
    <w:p>
      <w:pPr>
        <w:pStyle w:val="72"/>
        <w:numPr>
          <w:ilvl w:val="0"/>
          <w:numId w:val="8"/>
        </w:numPr>
        <w:spacing w:line="560" w:lineRule="exact"/>
        <w:ind w:firstLine="560"/>
        <w:outlineLvl w:val="1"/>
        <w:rPr>
          <w:rFonts w:ascii="楷体_GB2312" w:hAnsi="楷体" w:eastAsia="楷体_GB2312"/>
          <w:sz w:val="28"/>
          <w:szCs w:val="28"/>
        </w:rPr>
      </w:pPr>
      <w:r>
        <w:rPr>
          <w:rFonts w:hint="eastAsia" w:ascii="楷体_GB2312" w:hAnsi="楷体" w:eastAsia="楷体_GB2312"/>
          <w:sz w:val="28"/>
          <w:szCs w:val="28"/>
        </w:rPr>
        <w:t>资金账户余额设置</w:t>
      </w:r>
    </w:p>
    <w:p>
      <w:pPr>
        <w:ind w:firstLine="560" w:firstLineChars="200"/>
        <w:rPr>
          <w:color w:val="000000"/>
          <w:sz w:val="28"/>
          <w:szCs w:val="28"/>
        </w:rPr>
      </w:pPr>
      <w:r>
        <w:rPr>
          <w:rFonts w:hint="eastAsia"/>
          <w:color w:val="000000"/>
          <w:sz w:val="28"/>
          <w:szCs w:val="28"/>
        </w:rPr>
        <w:t>中国结算深圳分公司统一将所有结算参与人2021年7月17日的A股现货结算备付金账户余额均修改为100亿元。如果需要调整，可致电中国结算深圳分公司进行账户余额的调整，联系电话：0755-88666429。</w:t>
      </w:r>
    </w:p>
    <w:p>
      <w:pPr>
        <w:ind w:firstLine="560" w:firstLineChars="200"/>
        <w:rPr>
          <w:color w:val="000000"/>
          <w:sz w:val="28"/>
          <w:szCs w:val="28"/>
        </w:rPr>
      </w:pPr>
    </w:p>
    <w:p>
      <w:pPr>
        <w:pStyle w:val="15"/>
        <w:outlineLvl w:val="0"/>
        <w:rPr>
          <w:rFonts w:ascii="楷体_GB2312" w:eastAsia="楷体_GB2312"/>
          <w:b/>
          <w:color w:val="000000"/>
          <w:sz w:val="32"/>
          <w:szCs w:val="32"/>
        </w:rPr>
      </w:pPr>
      <w:r>
        <w:rPr>
          <w:rFonts w:hint="eastAsia" w:ascii="楷体_GB2312" w:eastAsia="楷体_GB2312"/>
          <w:b/>
          <w:color w:val="000000"/>
          <w:sz w:val="32"/>
          <w:szCs w:val="32"/>
        </w:rPr>
        <w:t>六、注意事项</w:t>
      </w:r>
      <w:bookmarkStart w:id="9" w:name="_GoBack"/>
      <w:bookmarkEnd w:id="9"/>
    </w:p>
    <w:p>
      <w:pPr>
        <w:numPr>
          <w:ilvl w:val="0"/>
          <w:numId w:val="9"/>
        </w:numPr>
        <w:tabs>
          <w:tab w:val="left" w:pos="840"/>
          <w:tab w:val="left" w:pos="928"/>
          <w:tab w:val="left" w:pos="1050"/>
        </w:tabs>
        <w:ind w:left="0" w:firstLine="567"/>
        <w:rPr>
          <w:sz w:val="28"/>
          <w:szCs w:val="28"/>
        </w:rPr>
      </w:pPr>
      <w:r>
        <w:rPr>
          <w:rFonts w:hint="eastAsia"/>
          <w:sz w:val="28"/>
          <w:szCs w:val="28"/>
        </w:rPr>
        <w:t>本次测试包括交易系统、结算系统、D-COM系统（不包括资金划拨业务</w:t>
      </w:r>
      <w:r>
        <w:rPr>
          <w:rFonts w:hint="eastAsia"/>
          <w:color w:val="000000"/>
          <w:sz w:val="28"/>
          <w:szCs w:val="28"/>
        </w:rPr>
        <w:t>）、B转H系统、易境通系统（H股“全流通”业务）。</w:t>
      </w:r>
    </w:p>
    <w:p>
      <w:pPr>
        <w:numPr>
          <w:ilvl w:val="0"/>
          <w:numId w:val="9"/>
        </w:numPr>
        <w:tabs>
          <w:tab w:val="left" w:pos="840"/>
          <w:tab w:val="left" w:pos="928"/>
          <w:tab w:val="left" w:pos="1050"/>
        </w:tabs>
        <w:ind w:left="0" w:firstLine="567"/>
        <w:rPr>
          <w:color w:val="FF0000"/>
          <w:sz w:val="28"/>
          <w:szCs w:val="28"/>
        </w:rPr>
      </w:pPr>
      <w:r>
        <w:rPr>
          <w:rFonts w:hint="eastAsia"/>
          <w:color w:val="FF0000"/>
          <w:sz w:val="28"/>
          <w:szCs w:val="28"/>
        </w:rPr>
        <w:t>B股自实施首日（T日）起达成的交易适用新的结算费率。T日开始的首次清算数据及相应的二次清算数据（最终交收）将使用新的费率，本次测试仅模拟T日场景，请结算参与人注意。</w:t>
      </w:r>
    </w:p>
    <w:p>
      <w:pPr>
        <w:numPr>
          <w:ilvl w:val="0"/>
          <w:numId w:val="9"/>
        </w:numPr>
        <w:tabs>
          <w:tab w:val="left" w:pos="840"/>
          <w:tab w:val="left" w:pos="928"/>
          <w:tab w:val="left" w:pos="1050"/>
        </w:tabs>
        <w:ind w:left="0" w:firstLine="567"/>
        <w:rPr>
          <w:sz w:val="28"/>
          <w:szCs w:val="28"/>
        </w:rPr>
      </w:pPr>
      <w:r>
        <w:rPr>
          <w:rFonts w:hint="eastAsia"/>
          <w:sz w:val="28"/>
          <w:szCs w:val="28"/>
        </w:rPr>
        <w:t>D-COM系统在2021年7月17日期间属于测试环境，2021年7月17日（星期六）23:45以后将恢复回生产环境。</w:t>
      </w:r>
    </w:p>
    <w:p>
      <w:pPr>
        <w:numPr>
          <w:ilvl w:val="0"/>
          <w:numId w:val="9"/>
        </w:numPr>
        <w:tabs>
          <w:tab w:val="left" w:pos="840"/>
          <w:tab w:val="left" w:pos="928"/>
          <w:tab w:val="left" w:pos="1050"/>
        </w:tabs>
        <w:ind w:left="0" w:firstLine="567"/>
        <w:rPr>
          <w:rFonts w:ascii="楷体" w:hAnsi="楷体" w:eastAsia="楷体" w:cs="楷体"/>
          <w:kern w:val="0"/>
          <w:sz w:val="28"/>
          <w:szCs w:val="28"/>
        </w:rPr>
      </w:pPr>
      <w:r>
        <w:rPr>
          <w:rFonts w:hint="eastAsia" w:ascii="Times New Roman"/>
          <w:sz w:val="28"/>
          <w:szCs w:val="28"/>
        </w:rPr>
        <w:t>深交所仅向已开通深港通下港股通业务交易权限且开通了FTS生产系统点对点数据交换服务的交易参与人发送深市港股通成交单据文件(hkexecution_tax_memberID_yyyymmdd.tsv)，发送文件的目录与网络投票回报文件(evotereport_YYYYMMDD.csv)的目录相同。</w:t>
      </w:r>
      <w:r>
        <w:rPr>
          <w:rFonts w:hint="eastAsia"/>
          <w:sz w:val="28"/>
          <w:szCs w:val="28"/>
        </w:rPr>
        <w:t>若交易参与人当天无港股成交记录，则为空文件。</w:t>
      </w:r>
    </w:p>
    <w:p>
      <w:pPr>
        <w:numPr>
          <w:ilvl w:val="0"/>
          <w:numId w:val="9"/>
        </w:numPr>
        <w:tabs>
          <w:tab w:val="left" w:pos="840"/>
          <w:tab w:val="left" w:pos="928"/>
          <w:tab w:val="left" w:pos="1050"/>
        </w:tabs>
        <w:ind w:left="0" w:firstLine="567"/>
        <w:rPr>
          <w:sz w:val="28"/>
          <w:szCs w:val="28"/>
        </w:rPr>
      </w:pPr>
      <w:r>
        <w:rPr>
          <w:rFonts w:hint="eastAsia"/>
          <w:sz w:val="28"/>
          <w:szCs w:val="28"/>
        </w:rPr>
        <w:t>参加代收代付业务测试的结算参与机构须升级D-COM网关到20210507版本，升级D-COM业务终端到20210525版本，网关和终端软件可从QQ群下载。测试结束后，须回退测试使用的20210507版本D-COM网关和20210525版本D-COM业务终端。</w:t>
      </w:r>
    </w:p>
    <w:p>
      <w:pPr>
        <w:numPr>
          <w:ilvl w:val="0"/>
          <w:numId w:val="9"/>
        </w:numPr>
        <w:tabs>
          <w:tab w:val="left" w:pos="840"/>
          <w:tab w:val="left" w:pos="928"/>
          <w:tab w:val="left" w:pos="1050"/>
        </w:tabs>
        <w:ind w:left="0" w:firstLine="567"/>
        <w:rPr>
          <w:sz w:val="28"/>
          <w:szCs w:val="28"/>
        </w:rPr>
      </w:pPr>
      <w:r>
        <w:rPr>
          <w:rFonts w:hint="eastAsia"/>
          <w:sz w:val="28"/>
          <w:szCs w:val="28"/>
        </w:rPr>
        <w:t>测试期间通过交易终端进行的密码修改、用户添加、用户权限分配等用户管理相关操作，仅在测试期间有效，仅适用于2021年7月17日全网测试。</w:t>
      </w:r>
    </w:p>
    <w:p>
      <w:pPr>
        <w:numPr>
          <w:ilvl w:val="0"/>
          <w:numId w:val="9"/>
        </w:numPr>
        <w:tabs>
          <w:tab w:val="left" w:pos="840"/>
          <w:tab w:val="left" w:pos="928"/>
          <w:tab w:val="left" w:pos="1050"/>
        </w:tabs>
        <w:ind w:left="0" w:firstLine="567"/>
        <w:rPr>
          <w:sz w:val="28"/>
          <w:szCs w:val="28"/>
        </w:rPr>
      </w:pPr>
      <w:r>
        <w:rPr>
          <w:rFonts w:hint="eastAsia"/>
          <w:sz w:val="28"/>
          <w:szCs w:val="28"/>
        </w:rPr>
        <w:t>请各参测单位</w:t>
      </w:r>
      <w:r>
        <w:rPr>
          <w:rFonts w:hint="eastAsia"/>
          <w:color w:val="000000"/>
          <w:sz w:val="28"/>
          <w:szCs w:val="28"/>
        </w:rPr>
        <w:t>根据自身技术系统情况，制定详尽的测试计划和操作流程。测试前</w:t>
      </w:r>
      <w:r>
        <w:rPr>
          <w:rFonts w:hint="eastAsia"/>
          <w:sz w:val="28"/>
          <w:szCs w:val="28"/>
        </w:rPr>
        <w:t>先做好</w:t>
      </w:r>
      <w:r>
        <w:rPr>
          <w:rFonts w:hint="eastAsia" w:hAnsi="楷体"/>
          <w:color w:val="000000"/>
          <w:sz w:val="28"/>
          <w:szCs w:val="28"/>
        </w:rPr>
        <w:t>线上系统和数据环境的备份工作</w:t>
      </w:r>
      <w:r>
        <w:rPr>
          <w:rFonts w:hint="eastAsia"/>
          <w:sz w:val="28"/>
          <w:szCs w:val="28"/>
        </w:rPr>
        <w:t>，再准备2021年7月17日测试相关数据。</w:t>
      </w:r>
      <w:r>
        <w:rPr>
          <w:rFonts w:hint="eastAsia" w:hAnsi="楷体"/>
          <w:color w:val="000000"/>
          <w:sz w:val="28"/>
          <w:szCs w:val="28"/>
        </w:rPr>
        <w:t>测试完成后做好线上系统的变更稽核和数据环境的恢复工作，确保下一交易日（2021年7月19日）生产系统的正确运行。</w:t>
      </w:r>
    </w:p>
    <w:p>
      <w:pPr>
        <w:numPr>
          <w:ilvl w:val="0"/>
          <w:numId w:val="9"/>
        </w:numPr>
        <w:tabs>
          <w:tab w:val="left" w:pos="840"/>
          <w:tab w:val="left" w:pos="928"/>
          <w:tab w:val="left" w:pos="1050"/>
        </w:tabs>
        <w:ind w:left="0" w:firstLine="567"/>
        <w:rPr>
          <w:sz w:val="28"/>
          <w:szCs w:val="28"/>
        </w:rPr>
      </w:pPr>
      <w:r>
        <w:rPr>
          <w:rFonts w:hint="eastAsia"/>
          <w:sz w:val="28"/>
          <w:szCs w:val="28"/>
        </w:rPr>
        <w:t>本次测试的数据仅为模拟测试数据，与实际业务无任何关系，不能作为生产环境任何交易、非交易、账户等业务的依据。</w:t>
      </w:r>
    </w:p>
    <w:p>
      <w:pPr>
        <w:tabs>
          <w:tab w:val="left" w:pos="840"/>
          <w:tab w:val="left" w:pos="928"/>
          <w:tab w:val="left" w:pos="1050"/>
        </w:tabs>
        <w:ind w:left="567"/>
        <w:rPr>
          <w:sz w:val="28"/>
          <w:szCs w:val="28"/>
        </w:rPr>
      </w:pPr>
    </w:p>
    <w:p>
      <w:pPr>
        <w:pStyle w:val="15"/>
        <w:outlineLvl w:val="0"/>
        <w:rPr>
          <w:rFonts w:ascii="楷体_GB2312" w:eastAsia="楷体_GB2312"/>
          <w:b/>
          <w:color w:val="000000"/>
          <w:sz w:val="32"/>
          <w:szCs w:val="32"/>
        </w:rPr>
      </w:pPr>
      <w:bookmarkStart w:id="6" w:name="_Toc102489718"/>
      <w:r>
        <w:rPr>
          <w:rFonts w:hint="eastAsia" w:ascii="楷体_GB2312" w:eastAsia="楷体_GB2312"/>
          <w:b/>
          <w:color w:val="000000"/>
          <w:sz w:val="32"/>
          <w:szCs w:val="32"/>
        </w:rPr>
        <w:t>七、测试要求</w:t>
      </w:r>
      <w:bookmarkEnd w:id="6"/>
    </w:p>
    <w:p>
      <w:pPr>
        <w:numPr>
          <w:ilvl w:val="0"/>
          <w:numId w:val="10"/>
        </w:numPr>
        <w:tabs>
          <w:tab w:val="left" w:pos="840"/>
          <w:tab w:val="left" w:pos="928"/>
          <w:tab w:val="left" w:pos="1050"/>
        </w:tabs>
        <w:ind w:left="0" w:firstLine="567"/>
        <w:rPr>
          <w:rFonts w:hAnsi="楷体"/>
          <w:color w:val="000000"/>
          <w:sz w:val="28"/>
          <w:szCs w:val="28"/>
        </w:rPr>
      </w:pPr>
      <w:r>
        <w:rPr>
          <w:rFonts w:hint="eastAsia" w:hAnsi="楷体"/>
          <w:color w:val="000000"/>
          <w:sz w:val="28"/>
          <w:szCs w:val="28"/>
        </w:rPr>
        <w:t>请各相关单位务必参加测试。因故不能参加测试者，请务必填写反馈表（见附件）说明原因，并通知深交所。</w:t>
      </w:r>
    </w:p>
    <w:p>
      <w:pPr>
        <w:numPr>
          <w:ilvl w:val="0"/>
          <w:numId w:val="10"/>
        </w:numPr>
        <w:tabs>
          <w:tab w:val="left" w:pos="840"/>
          <w:tab w:val="left" w:pos="928"/>
          <w:tab w:val="left" w:pos="1050"/>
        </w:tabs>
        <w:ind w:left="0" w:firstLine="567"/>
        <w:rPr>
          <w:rFonts w:hAnsi="楷体"/>
          <w:color w:val="000000"/>
          <w:sz w:val="28"/>
          <w:szCs w:val="28"/>
        </w:rPr>
      </w:pPr>
      <w:r>
        <w:rPr>
          <w:rFonts w:hint="eastAsia" w:hAnsi="楷体"/>
          <w:color w:val="000000"/>
          <w:sz w:val="28"/>
          <w:szCs w:val="28"/>
        </w:rPr>
        <w:t>在测试过程中，请各参测单位详细记载测试现象与结果，检查其正确性。如发现异常现象，请及时报告。</w:t>
      </w:r>
    </w:p>
    <w:p>
      <w:pPr>
        <w:numPr>
          <w:ilvl w:val="0"/>
          <w:numId w:val="10"/>
        </w:numPr>
        <w:tabs>
          <w:tab w:val="left" w:pos="840"/>
          <w:tab w:val="left" w:pos="928"/>
          <w:tab w:val="left" w:pos="1050"/>
        </w:tabs>
        <w:ind w:left="0" w:firstLine="567"/>
        <w:rPr>
          <w:rFonts w:hAnsi="楷体"/>
          <w:color w:val="000000"/>
          <w:sz w:val="28"/>
          <w:szCs w:val="28"/>
        </w:rPr>
      </w:pPr>
      <w:r>
        <w:rPr>
          <w:rFonts w:hint="eastAsia" w:hAnsi="楷体"/>
          <w:color w:val="000000"/>
          <w:sz w:val="28"/>
          <w:szCs w:val="28"/>
        </w:rPr>
        <w:t>测试完成后，各参测单位应在2021年7月17日15:00之前提交测试反馈表（见附件）。会员单位、基金管理人、期货公司等交易参与者，请登录深交所“会员业务专区”首页底部“友情链接―在线调查表”栏目填写并提交测试反馈表（填报内容支持更新）；行情服务商、结算参与机构等无法登录会员业务专区的参测单位,请通过互联网地址https://survey.szse.cn/v/tech填写测试反馈表（填报内容不支持更新，多次提交以最后一次为准）。</w:t>
      </w:r>
    </w:p>
    <w:p>
      <w:pPr>
        <w:ind w:firstLine="560" w:firstLineChars="200"/>
        <w:rPr>
          <w:color w:val="000000"/>
          <w:sz w:val="28"/>
          <w:szCs w:val="28"/>
        </w:rPr>
      </w:pPr>
      <w:r>
        <w:rPr>
          <w:rFonts w:hint="eastAsia"/>
          <w:color w:val="000000"/>
          <w:sz w:val="28"/>
          <w:szCs w:val="28"/>
        </w:rPr>
        <w:t>登录深交所“会员业务专区”需使用专用电子认证证书（Ekey），具体方法可询问各自单位负责每月技术月报的填报人员或负责会籍席位业务的人员。</w:t>
      </w:r>
    </w:p>
    <w:p>
      <w:pPr>
        <w:ind w:firstLine="560" w:firstLineChars="200"/>
        <w:rPr>
          <w:color w:val="000000"/>
          <w:sz w:val="28"/>
          <w:szCs w:val="28"/>
        </w:rPr>
      </w:pPr>
    </w:p>
    <w:p>
      <w:pPr>
        <w:pStyle w:val="15"/>
        <w:outlineLvl w:val="0"/>
        <w:rPr>
          <w:rFonts w:ascii="楷体_GB2312" w:eastAsia="楷体_GB2312"/>
          <w:b/>
          <w:color w:val="000000"/>
          <w:sz w:val="32"/>
          <w:szCs w:val="32"/>
        </w:rPr>
      </w:pPr>
      <w:bookmarkStart w:id="7" w:name="_Toc102489719"/>
      <w:r>
        <w:rPr>
          <w:rFonts w:hint="eastAsia" w:ascii="楷体_GB2312" w:eastAsia="楷体_GB2312"/>
          <w:b/>
          <w:color w:val="000000"/>
          <w:sz w:val="32"/>
          <w:szCs w:val="32"/>
        </w:rPr>
        <w:t>八、联系</w:t>
      </w:r>
      <w:bookmarkEnd w:id="7"/>
      <w:r>
        <w:rPr>
          <w:rFonts w:hint="eastAsia" w:ascii="楷体_GB2312" w:eastAsia="楷体_GB2312"/>
          <w:b/>
          <w:color w:val="000000"/>
          <w:sz w:val="32"/>
          <w:szCs w:val="32"/>
        </w:rPr>
        <w:t>电话</w:t>
      </w:r>
    </w:p>
    <w:p>
      <w:pPr>
        <w:widowControl/>
        <w:spacing w:line="360" w:lineRule="atLeast"/>
        <w:ind w:firstLine="991" w:firstLineChars="354"/>
        <w:jc w:val="left"/>
        <w:rPr>
          <w:color w:val="2E2E2E"/>
          <w:kern w:val="0"/>
          <w:sz w:val="28"/>
          <w:szCs w:val="28"/>
        </w:rPr>
      </w:pPr>
      <w:r>
        <w:rPr>
          <w:rFonts w:hint="eastAsia"/>
          <w:color w:val="2E2E2E"/>
          <w:kern w:val="0"/>
          <w:sz w:val="28"/>
          <w:szCs w:val="28"/>
        </w:rPr>
        <w:t>深圳证券交易所：0755-82083510</w:t>
      </w:r>
    </w:p>
    <w:p>
      <w:pPr>
        <w:widowControl/>
        <w:spacing w:line="360" w:lineRule="atLeast"/>
        <w:ind w:firstLine="991" w:firstLineChars="354"/>
        <w:jc w:val="left"/>
        <w:rPr>
          <w:color w:val="2E2E2E"/>
          <w:kern w:val="0"/>
          <w:sz w:val="28"/>
          <w:szCs w:val="28"/>
        </w:rPr>
      </w:pPr>
      <w:r>
        <w:rPr>
          <w:rFonts w:hint="eastAsia"/>
          <w:color w:val="2E2E2E"/>
          <w:kern w:val="0"/>
          <w:sz w:val="28"/>
          <w:szCs w:val="28"/>
        </w:rPr>
        <w:t>中国结算深圳分公司：0755-88666429</w:t>
      </w:r>
    </w:p>
    <w:p>
      <w:pPr>
        <w:widowControl/>
        <w:tabs>
          <w:tab w:val="left" w:pos="900"/>
          <w:tab w:val="left" w:pos="1266"/>
        </w:tabs>
        <w:spacing w:line="360" w:lineRule="atLeast"/>
        <w:ind w:firstLine="3827" w:firstLineChars="1367"/>
        <w:jc w:val="left"/>
        <w:rPr>
          <w:color w:val="2E2E2E"/>
          <w:kern w:val="0"/>
          <w:sz w:val="28"/>
          <w:szCs w:val="28"/>
        </w:rPr>
      </w:pPr>
      <w:r>
        <w:rPr>
          <w:rFonts w:hint="eastAsia"/>
          <w:color w:val="2E2E2E"/>
          <w:kern w:val="0"/>
          <w:sz w:val="28"/>
          <w:szCs w:val="28"/>
        </w:rPr>
        <w:t>0755-21899968</w:t>
      </w:r>
    </w:p>
    <w:p>
      <w:pPr>
        <w:widowControl/>
        <w:spacing w:line="360" w:lineRule="atLeast"/>
        <w:ind w:firstLine="991" w:firstLineChars="354"/>
        <w:jc w:val="left"/>
        <w:rPr>
          <w:color w:val="2E2E2E"/>
          <w:kern w:val="0"/>
          <w:sz w:val="28"/>
          <w:szCs w:val="28"/>
        </w:rPr>
      </w:pPr>
      <w:r>
        <w:rPr>
          <w:rFonts w:hint="eastAsia"/>
          <w:color w:val="2E2E2E"/>
          <w:kern w:val="0"/>
          <w:sz w:val="28"/>
          <w:szCs w:val="28"/>
        </w:rPr>
        <w:t>深圳证券通信有限公司：0755-83182222</w:t>
      </w:r>
    </w:p>
    <w:p>
      <w:pPr>
        <w:widowControl/>
        <w:tabs>
          <w:tab w:val="left" w:pos="900"/>
          <w:tab w:val="left" w:pos="1266"/>
        </w:tabs>
        <w:spacing w:line="360" w:lineRule="atLeast"/>
        <w:ind w:firstLine="618" w:firstLineChars="221"/>
        <w:jc w:val="left"/>
        <w:rPr>
          <w:bCs/>
          <w:sz w:val="28"/>
          <w:szCs w:val="28"/>
        </w:rPr>
      </w:pPr>
      <w:r>
        <w:rPr>
          <w:rFonts w:hint="eastAsia"/>
          <w:bCs/>
          <w:sz w:val="28"/>
          <w:szCs w:val="28"/>
        </w:rPr>
        <w:tab/>
      </w:r>
    </w:p>
    <w:p>
      <w:pPr>
        <w:jc w:val="right"/>
        <w:rPr>
          <w:color w:val="000000"/>
          <w:sz w:val="28"/>
          <w:szCs w:val="28"/>
        </w:rPr>
      </w:pPr>
      <w:bookmarkStart w:id="8" w:name="附件一"/>
      <w:r>
        <w:rPr>
          <w:rFonts w:hint="eastAsia"/>
          <w:color w:val="000000"/>
          <w:sz w:val="28"/>
          <w:szCs w:val="28"/>
        </w:rPr>
        <w:t>深圳证券交易所</w:t>
      </w:r>
    </w:p>
    <w:p>
      <w:pPr>
        <w:jc w:val="right"/>
        <w:rPr>
          <w:color w:val="000000"/>
          <w:sz w:val="28"/>
          <w:szCs w:val="28"/>
        </w:rPr>
      </w:pPr>
      <w:r>
        <w:rPr>
          <w:rFonts w:hint="eastAsia"/>
          <w:color w:val="000000"/>
          <w:sz w:val="28"/>
          <w:szCs w:val="28"/>
        </w:rPr>
        <w:t>中国证券登记结算有限责任公司深圳分公司</w:t>
      </w:r>
    </w:p>
    <w:p>
      <w:pPr>
        <w:jc w:val="right"/>
        <w:rPr>
          <w:color w:val="000000"/>
          <w:sz w:val="28"/>
          <w:szCs w:val="28"/>
        </w:rPr>
      </w:pPr>
      <w:r>
        <w:rPr>
          <w:rFonts w:hint="eastAsia"/>
          <w:color w:val="000000"/>
          <w:sz w:val="28"/>
          <w:szCs w:val="28"/>
        </w:rPr>
        <w:t>2021年7月13日</w:t>
      </w:r>
    </w:p>
    <w:bookmarkEnd w:id="8"/>
    <w:p>
      <w:pPr>
        <w:widowControl/>
        <w:jc w:val="left"/>
        <w:rPr>
          <w:b/>
          <w:color w:val="2E2E2E"/>
          <w:kern w:val="0"/>
          <w:sz w:val="32"/>
          <w:szCs w:val="32"/>
        </w:rPr>
      </w:pPr>
      <w:r>
        <w:rPr>
          <w:rFonts w:hint="eastAsia"/>
          <w:b/>
          <w:color w:val="2E2E2E"/>
          <w:kern w:val="0"/>
          <w:sz w:val="32"/>
          <w:szCs w:val="32"/>
        </w:rPr>
        <w:br w:type="page"/>
      </w:r>
    </w:p>
    <w:p>
      <w:pPr>
        <w:widowControl/>
        <w:jc w:val="left"/>
        <w:rPr>
          <w:b/>
          <w:color w:val="2E2E2E"/>
          <w:kern w:val="0"/>
          <w:sz w:val="32"/>
          <w:szCs w:val="32"/>
        </w:rPr>
      </w:pPr>
      <w:r>
        <w:rPr>
          <w:rFonts w:hint="eastAsia"/>
          <w:b/>
          <w:color w:val="2E2E2E"/>
          <w:kern w:val="0"/>
          <w:sz w:val="32"/>
          <w:szCs w:val="32"/>
        </w:rPr>
        <w:t>附件：</w:t>
      </w:r>
    </w:p>
    <w:p>
      <w:pPr>
        <w:widowControl/>
        <w:spacing w:line="360" w:lineRule="atLeast"/>
        <w:jc w:val="center"/>
        <w:rPr>
          <w:b/>
          <w:color w:val="2E2E2E"/>
          <w:kern w:val="0"/>
          <w:sz w:val="32"/>
          <w:szCs w:val="32"/>
        </w:rPr>
      </w:pPr>
      <w:r>
        <w:rPr>
          <w:rFonts w:hint="eastAsia"/>
          <w:b/>
          <w:color w:val="2E2E2E"/>
          <w:kern w:val="0"/>
          <w:sz w:val="32"/>
          <w:szCs w:val="32"/>
        </w:rPr>
        <w:t>下调基金交易经手费收费标准暨港股交易印花税调整等业务2021年7月17日全网测试反馈表</w:t>
      </w:r>
    </w:p>
    <w:tbl>
      <w:tblPr>
        <w:tblStyle w:val="36"/>
        <w:tblW w:w="10343"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2"/>
        <w:gridCol w:w="2945"/>
        <w:gridCol w:w="2694"/>
        <w:gridCol w:w="850"/>
        <w:gridCol w:w="567"/>
        <w:gridCol w:w="2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44"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jc w:val="center"/>
              <w:rPr>
                <w:rFonts w:ascii="楷体" w:hAnsi="楷体" w:eastAsia="楷体"/>
                <w:sz w:val="20"/>
              </w:rPr>
            </w:pPr>
            <w:r>
              <w:rPr>
                <w:rFonts w:hint="eastAsia" w:ascii="楷体" w:hAnsi="楷体" w:eastAsia="楷体"/>
                <w:sz w:val="20"/>
              </w:rPr>
              <w:t>会员代码</w:t>
            </w:r>
          </w:p>
          <w:p>
            <w:pPr>
              <w:jc w:val="center"/>
              <w:rPr>
                <w:rFonts w:ascii="楷体" w:hAnsi="楷体" w:eastAsia="楷体"/>
                <w:sz w:val="20"/>
              </w:rPr>
            </w:pPr>
            <w:r>
              <w:rPr>
                <w:rFonts w:hint="eastAsia" w:ascii="楷体" w:hAnsi="楷体" w:eastAsia="楷体"/>
                <w:sz w:val="20"/>
              </w:rPr>
              <w:t>（仅会员填写）</w:t>
            </w:r>
          </w:p>
        </w:tc>
        <w:tc>
          <w:tcPr>
            <w:tcW w:w="2694" w:type="dxa"/>
            <w:tcBorders>
              <w:top w:val="single" w:color="auto" w:sz="4" w:space="0"/>
              <w:left w:val="nil"/>
              <w:bottom w:val="single" w:color="auto" w:sz="4" w:space="0"/>
              <w:right w:val="single" w:color="auto" w:sz="4" w:space="0"/>
            </w:tcBorders>
          </w:tcPr>
          <w:p>
            <w:pPr>
              <w:rPr>
                <w:rFonts w:ascii="楷体" w:hAnsi="楷体" w:eastAsia="楷体"/>
                <w:sz w:val="20"/>
              </w:rPr>
            </w:pPr>
          </w:p>
        </w:tc>
        <w:tc>
          <w:tcPr>
            <w:tcW w:w="1417" w:type="dxa"/>
            <w:gridSpan w:val="2"/>
            <w:tcBorders>
              <w:top w:val="single" w:color="auto" w:sz="4" w:space="0"/>
              <w:left w:val="nil"/>
              <w:bottom w:val="single" w:color="auto" w:sz="4" w:space="0"/>
              <w:right w:val="single" w:color="auto" w:sz="4" w:space="0"/>
            </w:tcBorders>
          </w:tcPr>
          <w:p>
            <w:pPr>
              <w:jc w:val="center"/>
              <w:rPr>
                <w:rFonts w:ascii="楷体" w:hAnsi="楷体" w:eastAsia="楷体"/>
                <w:sz w:val="20"/>
              </w:rPr>
            </w:pPr>
            <w:r>
              <w:rPr>
                <w:rFonts w:hint="eastAsia" w:ascii="楷体" w:hAnsi="楷体" w:eastAsia="楷体"/>
                <w:sz w:val="20"/>
              </w:rPr>
              <w:t>公司名称</w:t>
            </w:r>
          </w:p>
        </w:tc>
        <w:tc>
          <w:tcPr>
            <w:tcW w:w="2835" w:type="dxa"/>
            <w:tcBorders>
              <w:top w:val="single" w:color="auto" w:sz="4" w:space="0"/>
              <w:left w:val="nil"/>
              <w:bottom w:val="single" w:color="auto" w:sz="4" w:space="0"/>
              <w:right w:val="single" w:color="auto" w:sz="4" w:space="0"/>
            </w:tcBorders>
          </w:tcPr>
          <w:p>
            <w:pPr>
              <w:rPr>
                <w:rFonts w:ascii="楷体" w:hAnsi="楷体" w:eastAsia="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5" w:hRule="atLeast"/>
          <w:jc w:val="center"/>
        </w:trPr>
        <w:tc>
          <w:tcPr>
            <w:tcW w:w="3397"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sz w:val="20"/>
              </w:rPr>
            </w:pPr>
            <w:r>
              <w:rPr>
                <w:rFonts w:hint="eastAsia" w:ascii="楷体" w:hAnsi="楷体" w:eastAsia="楷体"/>
                <w:sz w:val="20"/>
              </w:rPr>
              <w:t>联系人</w:t>
            </w:r>
          </w:p>
        </w:tc>
        <w:tc>
          <w:tcPr>
            <w:tcW w:w="2694" w:type="dxa"/>
            <w:tcBorders>
              <w:top w:val="single" w:color="auto" w:sz="4" w:space="0"/>
              <w:left w:val="nil"/>
              <w:bottom w:val="single" w:color="auto" w:sz="4" w:space="0"/>
              <w:right w:val="single" w:color="auto" w:sz="4" w:space="0"/>
            </w:tcBorders>
          </w:tcPr>
          <w:p>
            <w:pPr>
              <w:rPr>
                <w:rFonts w:ascii="楷体" w:hAnsi="楷体" w:eastAsia="楷体"/>
                <w:sz w:val="20"/>
              </w:rPr>
            </w:pPr>
          </w:p>
        </w:tc>
        <w:tc>
          <w:tcPr>
            <w:tcW w:w="1417" w:type="dxa"/>
            <w:gridSpan w:val="2"/>
            <w:tcBorders>
              <w:top w:val="single" w:color="auto" w:sz="4" w:space="0"/>
              <w:left w:val="nil"/>
              <w:bottom w:val="single" w:color="auto" w:sz="4" w:space="0"/>
              <w:right w:val="single" w:color="auto" w:sz="4" w:space="0"/>
            </w:tcBorders>
          </w:tcPr>
          <w:p>
            <w:pPr>
              <w:jc w:val="center"/>
              <w:rPr>
                <w:rFonts w:ascii="楷体" w:hAnsi="楷体" w:eastAsia="楷体"/>
                <w:sz w:val="20"/>
              </w:rPr>
            </w:pPr>
            <w:r>
              <w:rPr>
                <w:rFonts w:hint="eastAsia" w:ascii="楷体" w:hAnsi="楷体" w:eastAsia="楷体"/>
                <w:sz w:val="20"/>
              </w:rPr>
              <w:t>联系电话</w:t>
            </w:r>
          </w:p>
          <w:p>
            <w:pPr>
              <w:jc w:val="center"/>
              <w:rPr>
                <w:rFonts w:ascii="楷体" w:hAnsi="楷体" w:eastAsia="楷体"/>
                <w:sz w:val="20"/>
              </w:rPr>
            </w:pPr>
            <w:r>
              <w:rPr>
                <w:rFonts w:hint="eastAsia" w:ascii="楷体" w:hAnsi="楷体" w:eastAsia="楷体"/>
                <w:sz w:val="20"/>
              </w:rPr>
              <w:t>(包括手机)</w:t>
            </w:r>
          </w:p>
        </w:tc>
        <w:tc>
          <w:tcPr>
            <w:tcW w:w="2835" w:type="dxa"/>
            <w:tcBorders>
              <w:top w:val="single" w:color="auto" w:sz="4" w:space="0"/>
              <w:left w:val="nil"/>
              <w:bottom w:val="single" w:color="auto" w:sz="4" w:space="0"/>
              <w:right w:val="single" w:color="auto" w:sz="4" w:space="0"/>
            </w:tcBorders>
          </w:tcPr>
          <w:p>
            <w:pPr>
              <w:rPr>
                <w:rFonts w:ascii="楷体" w:hAnsi="楷体" w:eastAsia="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sz w:val="20"/>
              </w:rPr>
            </w:pPr>
            <w:r>
              <w:rPr>
                <w:rFonts w:hint="eastAsia" w:ascii="楷体" w:hAnsi="楷体" w:eastAsia="楷体"/>
                <w:sz w:val="20"/>
              </w:rPr>
              <w:t>Email地址</w:t>
            </w:r>
          </w:p>
        </w:tc>
        <w:tc>
          <w:tcPr>
            <w:tcW w:w="6946" w:type="dxa"/>
            <w:gridSpan w:val="4"/>
            <w:tcBorders>
              <w:top w:val="single" w:color="auto" w:sz="4" w:space="0"/>
              <w:left w:val="nil"/>
              <w:bottom w:val="single" w:color="auto" w:sz="4" w:space="0"/>
              <w:right w:val="single" w:color="auto" w:sz="4" w:space="0"/>
            </w:tcBorders>
          </w:tcPr>
          <w:p>
            <w:pPr>
              <w:rPr>
                <w:rFonts w:ascii="楷体" w:hAnsi="楷体" w:eastAsia="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ascii="楷体" w:hAnsi="楷体" w:eastAsia="楷体"/>
                <w:sz w:val="20"/>
              </w:rPr>
            </w:pPr>
            <w:r>
              <w:rPr>
                <w:rFonts w:hint="eastAsia" w:ascii="楷体" w:hAnsi="楷体" w:eastAsia="楷体"/>
                <w:sz w:val="20"/>
              </w:rPr>
              <w:t>本业务涉及系统的软件开发商名称</w:t>
            </w:r>
          </w:p>
        </w:tc>
        <w:tc>
          <w:tcPr>
            <w:tcW w:w="6946" w:type="dxa"/>
            <w:gridSpan w:val="4"/>
            <w:tcBorders>
              <w:top w:val="single" w:color="auto" w:sz="4" w:space="0"/>
              <w:left w:val="nil"/>
              <w:bottom w:val="single" w:color="auto" w:sz="4" w:space="0"/>
              <w:right w:val="single" w:color="auto" w:sz="4" w:space="0"/>
            </w:tcBorders>
          </w:tcPr>
          <w:p>
            <w:pPr>
              <w:rPr>
                <w:rFonts w:ascii="楷体" w:hAnsi="楷体" w:eastAsia="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ascii="楷体" w:hAnsi="楷体" w:eastAsia="楷体"/>
                <w:sz w:val="20"/>
              </w:rPr>
            </w:pPr>
            <w:r>
              <w:rPr>
                <w:rFonts w:hint="eastAsia" w:ascii="楷体" w:hAnsi="楷体" w:eastAsia="楷体"/>
                <w:sz w:val="20"/>
              </w:rPr>
              <w:t>是否参加本次测试</w:t>
            </w:r>
          </w:p>
        </w:tc>
        <w:tc>
          <w:tcPr>
            <w:tcW w:w="6946" w:type="dxa"/>
            <w:gridSpan w:val="4"/>
            <w:tcBorders>
              <w:top w:val="single" w:color="auto" w:sz="4" w:space="0"/>
              <w:left w:val="nil"/>
              <w:bottom w:val="single" w:color="auto" w:sz="4" w:space="0"/>
              <w:right w:val="single" w:color="auto" w:sz="4" w:space="0"/>
            </w:tcBorders>
          </w:tcPr>
          <w:p>
            <w:pPr>
              <w:rPr>
                <w:rFonts w:ascii="楷体" w:hAnsi="楷体" w:eastAsia="楷体"/>
                <w:sz w:val="20"/>
              </w:rPr>
            </w:pPr>
            <w:r>
              <w:rPr>
                <w:rFonts w:hint="eastAsia" w:ascii="楷体" w:hAnsi="楷体" w:eastAsia="楷体"/>
                <w:sz w:val="20"/>
              </w:rPr>
              <w:t>◎已参测</w:t>
            </w:r>
          </w:p>
          <w:p>
            <w:pPr>
              <w:rPr>
                <w:rFonts w:ascii="楷体" w:hAnsi="楷体" w:eastAsia="楷体"/>
                <w:sz w:val="20"/>
              </w:rPr>
            </w:pPr>
            <w:r>
              <w:rPr>
                <w:rFonts w:hint="eastAsia" w:ascii="楷体" w:hAnsi="楷体" w:eastAsia="楷体"/>
                <w:sz w:val="20"/>
              </w:rPr>
              <w:t>◎未参测，未参测原因:_______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ascii="楷体" w:hAnsi="楷体" w:eastAsia="楷体"/>
                <w:sz w:val="20"/>
              </w:rPr>
            </w:pPr>
            <w:r>
              <w:rPr>
                <w:rFonts w:hint="eastAsia" w:ascii="楷体" w:hAnsi="楷体" w:eastAsia="楷体"/>
                <w:sz w:val="20"/>
              </w:rPr>
              <w:t>下调基金交易经手费收费标准是否需要改造系统</w:t>
            </w:r>
          </w:p>
        </w:tc>
        <w:tc>
          <w:tcPr>
            <w:tcW w:w="6946" w:type="dxa"/>
            <w:gridSpan w:val="4"/>
            <w:tcBorders>
              <w:top w:val="single" w:color="auto" w:sz="4" w:space="0"/>
              <w:left w:val="nil"/>
              <w:bottom w:val="single" w:color="auto" w:sz="4" w:space="0"/>
              <w:right w:val="single" w:color="auto" w:sz="4" w:space="0"/>
            </w:tcBorders>
          </w:tcPr>
          <w:p>
            <w:pPr>
              <w:rPr>
                <w:rFonts w:hAnsi="楷体"/>
                <w:sz w:val="20"/>
              </w:rPr>
            </w:pPr>
            <w:r>
              <w:rPr>
                <w:rFonts w:hint="eastAsia" w:hAnsi="楷体"/>
                <w:sz w:val="20"/>
              </w:rPr>
              <w:t>◎</w:t>
            </w:r>
            <w:r>
              <w:rPr>
                <w:rFonts w:hAnsi="楷体"/>
                <w:sz w:val="20"/>
              </w:rPr>
              <w:t>无需改造，已评估对现有系统无影响</w:t>
            </w:r>
          </w:p>
          <w:p>
            <w:pPr>
              <w:rPr>
                <w:rFonts w:hAnsi="楷体"/>
                <w:sz w:val="20"/>
              </w:rPr>
            </w:pPr>
            <w:r>
              <w:rPr>
                <w:rFonts w:hint="eastAsia" w:hAnsi="楷体"/>
                <w:sz w:val="20"/>
              </w:rPr>
              <w:t>◎</w:t>
            </w:r>
            <w:r>
              <w:rPr>
                <w:rFonts w:hAnsi="楷体"/>
                <w:sz w:val="20"/>
              </w:rPr>
              <w:t>需要改造</w:t>
            </w:r>
            <w:r>
              <w:rPr>
                <w:rFonts w:hint="eastAsia" w:hAnsi="楷体"/>
                <w:sz w:val="20"/>
              </w:rPr>
              <w:t>且技术系统已就绪</w:t>
            </w:r>
          </w:p>
          <w:p>
            <w:pPr>
              <w:rPr>
                <w:rFonts w:hAnsi="楷体"/>
                <w:sz w:val="20"/>
              </w:rPr>
            </w:pPr>
            <w:r>
              <w:rPr>
                <w:rFonts w:hint="eastAsia" w:hAnsi="楷体"/>
                <w:sz w:val="20"/>
              </w:rPr>
              <w:t>◎</w:t>
            </w:r>
            <w:r>
              <w:rPr>
                <w:rFonts w:hAnsi="楷体"/>
                <w:sz w:val="20"/>
              </w:rPr>
              <w:t>需要改造</w:t>
            </w:r>
            <w:r>
              <w:rPr>
                <w:rFonts w:hint="eastAsia" w:hAnsi="楷体"/>
                <w:sz w:val="20"/>
              </w:rPr>
              <w:t>但技术系统暂未就绪</w:t>
            </w:r>
            <w:r>
              <w:rPr>
                <w:rFonts w:hAnsi="楷体"/>
                <w:sz w:val="20"/>
              </w:rPr>
              <w:t>，预计</w:t>
            </w:r>
            <w:r>
              <w:rPr>
                <w:rFonts w:hint="eastAsia" w:hAnsi="楷体"/>
                <w:sz w:val="20"/>
              </w:rPr>
              <w:t>就绪</w:t>
            </w:r>
            <w:r>
              <w:rPr>
                <w:rFonts w:hAnsi="楷体"/>
                <w:sz w:val="20"/>
              </w:rPr>
              <w:t>时间: ________。</w:t>
            </w:r>
            <w:r>
              <w:rPr>
                <w:rFonts w:hint="eastAsia" w:hAnsi="楷体"/>
                <w:sz w:val="20"/>
              </w:rPr>
              <w:t>深交所、中国结算深圳分公司技术系统上线后，已评估现有业务均可正常开展。</w:t>
            </w:r>
          </w:p>
          <w:p>
            <w:pPr>
              <w:rPr>
                <w:rFonts w:ascii="楷体" w:hAnsi="楷体" w:eastAsia="楷体"/>
                <w:sz w:val="20"/>
              </w:rPr>
            </w:pPr>
            <w:r>
              <w:rPr>
                <w:rFonts w:hint="eastAsia" w:hAnsi="楷体"/>
                <w:sz w:val="20"/>
              </w:rPr>
              <w:t>◎</w:t>
            </w:r>
            <w:r>
              <w:rPr>
                <w:rFonts w:hAnsi="楷体"/>
                <w:sz w:val="20"/>
              </w:rPr>
              <w:t>需要改造</w:t>
            </w:r>
            <w:r>
              <w:rPr>
                <w:rFonts w:hint="eastAsia" w:hAnsi="楷体"/>
                <w:sz w:val="20"/>
              </w:rPr>
              <w:t>但技术系统暂未就绪</w:t>
            </w:r>
            <w:r>
              <w:rPr>
                <w:rFonts w:hAnsi="楷体"/>
                <w:sz w:val="20"/>
              </w:rPr>
              <w:t>，预计</w:t>
            </w:r>
            <w:r>
              <w:rPr>
                <w:rFonts w:hint="eastAsia" w:hAnsi="楷体"/>
                <w:sz w:val="20"/>
              </w:rPr>
              <w:t>就绪</w:t>
            </w:r>
            <w:r>
              <w:rPr>
                <w:rFonts w:hAnsi="楷体"/>
                <w:sz w:val="20"/>
              </w:rPr>
              <w:t>时间: ________。</w:t>
            </w:r>
            <w:r>
              <w:rPr>
                <w:rFonts w:hint="eastAsia" w:hAnsi="楷体"/>
                <w:sz w:val="20"/>
              </w:rPr>
              <w:t>深交所、中国结算深圳分公司技术系统上线后，已评估现有业务</w:t>
            </w:r>
            <w:r>
              <w:rPr>
                <w:rFonts w:hint="eastAsia" w:hAnsi="楷体"/>
                <w:b/>
                <w:sz w:val="20"/>
              </w:rPr>
              <w:t>无法</w:t>
            </w:r>
            <w:r>
              <w:rPr>
                <w:rFonts w:hint="eastAsia" w:hAnsi="楷体"/>
                <w:sz w:val="20"/>
              </w:rPr>
              <w:t>正常开展。业务影响</w:t>
            </w:r>
            <w:r>
              <w:rPr>
                <w:rFonts w:hAnsi="楷体"/>
                <w:sz w:val="20"/>
              </w:rPr>
              <w:t>________，</w:t>
            </w:r>
            <w:r>
              <w:rPr>
                <w:rFonts w:hint="eastAsia" w:hAnsi="楷体"/>
                <w:sz w:val="20"/>
              </w:rPr>
              <w:t>应对措施：</w:t>
            </w:r>
            <w:r>
              <w:rPr>
                <w:rFonts w:hAnsi="楷体"/>
                <w:sz w:val="20"/>
              </w:rPr>
              <w:t>________</w:t>
            </w:r>
            <w:r>
              <w:rPr>
                <w:rFonts w:hint="eastAsia" w:hAnsi="楷体"/>
                <w:sz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ascii="楷体" w:hAnsi="楷体" w:eastAsia="楷体"/>
                <w:sz w:val="20"/>
              </w:rPr>
            </w:pPr>
            <w:r>
              <w:rPr>
                <w:rFonts w:hint="eastAsia" w:ascii="楷体" w:hAnsi="楷体" w:eastAsia="楷体"/>
                <w:sz w:val="20"/>
              </w:rPr>
              <w:t>减免部分登记结算业务收费是否需要改造系统</w:t>
            </w:r>
          </w:p>
        </w:tc>
        <w:tc>
          <w:tcPr>
            <w:tcW w:w="6946" w:type="dxa"/>
            <w:gridSpan w:val="4"/>
            <w:tcBorders>
              <w:top w:val="single" w:color="auto" w:sz="4" w:space="0"/>
              <w:left w:val="nil"/>
              <w:bottom w:val="single" w:color="auto" w:sz="4" w:space="0"/>
              <w:right w:val="single" w:color="auto" w:sz="4" w:space="0"/>
            </w:tcBorders>
          </w:tcPr>
          <w:p>
            <w:pPr>
              <w:rPr>
                <w:rFonts w:hAnsi="楷体"/>
                <w:sz w:val="20"/>
              </w:rPr>
            </w:pPr>
            <w:r>
              <w:rPr>
                <w:rFonts w:hint="eastAsia" w:hAnsi="楷体"/>
                <w:sz w:val="20"/>
              </w:rPr>
              <w:t>◎</w:t>
            </w:r>
            <w:r>
              <w:rPr>
                <w:rFonts w:hAnsi="楷体"/>
                <w:sz w:val="20"/>
              </w:rPr>
              <w:t>无需改造，已评估对现有系统无影响</w:t>
            </w:r>
          </w:p>
          <w:p>
            <w:pPr>
              <w:rPr>
                <w:rFonts w:hAnsi="楷体"/>
                <w:sz w:val="20"/>
              </w:rPr>
            </w:pPr>
            <w:r>
              <w:rPr>
                <w:rFonts w:hint="eastAsia" w:hAnsi="楷体"/>
                <w:sz w:val="20"/>
              </w:rPr>
              <w:t>◎</w:t>
            </w:r>
            <w:r>
              <w:rPr>
                <w:rFonts w:hAnsi="楷体"/>
                <w:sz w:val="20"/>
              </w:rPr>
              <w:t>需要改造</w:t>
            </w:r>
            <w:r>
              <w:rPr>
                <w:rFonts w:hint="eastAsia" w:hAnsi="楷体"/>
                <w:sz w:val="20"/>
              </w:rPr>
              <w:t>且技术系统已就绪</w:t>
            </w:r>
          </w:p>
          <w:p>
            <w:pPr>
              <w:rPr>
                <w:rFonts w:hAnsi="楷体"/>
                <w:sz w:val="20"/>
              </w:rPr>
            </w:pPr>
            <w:r>
              <w:rPr>
                <w:rFonts w:hint="eastAsia" w:hAnsi="楷体"/>
                <w:sz w:val="20"/>
              </w:rPr>
              <w:t>◎</w:t>
            </w:r>
            <w:r>
              <w:rPr>
                <w:rFonts w:hAnsi="楷体"/>
                <w:sz w:val="20"/>
              </w:rPr>
              <w:t>需要改造</w:t>
            </w:r>
            <w:r>
              <w:rPr>
                <w:rFonts w:hint="eastAsia" w:hAnsi="楷体"/>
                <w:sz w:val="20"/>
              </w:rPr>
              <w:t>但技术系统暂未就绪</w:t>
            </w:r>
            <w:r>
              <w:rPr>
                <w:rFonts w:hAnsi="楷体"/>
                <w:sz w:val="20"/>
              </w:rPr>
              <w:t>，预计</w:t>
            </w:r>
            <w:r>
              <w:rPr>
                <w:rFonts w:hint="eastAsia" w:hAnsi="楷体"/>
                <w:sz w:val="20"/>
              </w:rPr>
              <w:t>就绪</w:t>
            </w:r>
            <w:r>
              <w:rPr>
                <w:rFonts w:hAnsi="楷体"/>
                <w:sz w:val="20"/>
              </w:rPr>
              <w:t>时间: ________。</w:t>
            </w:r>
            <w:r>
              <w:rPr>
                <w:rFonts w:hint="eastAsia" w:hAnsi="楷体"/>
                <w:sz w:val="20"/>
              </w:rPr>
              <w:t>深交所、中国结算深圳分公司技术系统上线后，已评估现有业务均可正常开展。</w:t>
            </w:r>
          </w:p>
          <w:p>
            <w:pPr>
              <w:rPr>
                <w:rFonts w:hAnsi="楷体"/>
                <w:sz w:val="20"/>
              </w:rPr>
            </w:pPr>
            <w:r>
              <w:rPr>
                <w:rFonts w:hint="eastAsia" w:hAnsi="楷体"/>
                <w:sz w:val="20"/>
              </w:rPr>
              <w:t>◎</w:t>
            </w:r>
            <w:r>
              <w:rPr>
                <w:rFonts w:hAnsi="楷体"/>
                <w:sz w:val="20"/>
              </w:rPr>
              <w:t>需要改造</w:t>
            </w:r>
            <w:r>
              <w:rPr>
                <w:rFonts w:hint="eastAsia" w:hAnsi="楷体"/>
                <w:sz w:val="20"/>
              </w:rPr>
              <w:t>但技术系统暂未就绪</w:t>
            </w:r>
            <w:r>
              <w:rPr>
                <w:rFonts w:hAnsi="楷体"/>
                <w:sz w:val="20"/>
              </w:rPr>
              <w:t>，预计</w:t>
            </w:r>
            <w:r>
              <w:rPr>
                <w:rFonts w:hint="eastAsia" w:hAnsi="楷体"/>
                <w:sz w:val="20"/>
              </w:rPr>
              <w:t>就绪</w:t>
            </w:r>
            <w:r>
              <w:rPr>
                <w:rFonts w:hAnsi="楷体"/>
                <w:sz w:val="20"/>
              </w:rPr>
              <w:t>时间: ________。</w:t>
            </w:r>
            <w:r>
              <w:rPr>
                <w:rFonts w:hint="eastAsia" w:hAnsi="楷体"/>
                <w:sz w:val="20"/>
              </w:rPr>
              <w:t>深交所、中国结算深圳分公司技术系统上线后，已评估现有业务</w:t>
            </w:r>
            <w:r>
              <w:rPr>
                <w:rFonts w:hint="eastAsia" w:hAnsi="楷体"/>
                <w:b/>
                <w:sz w:val="20"/>
              </w:rPr>
              <w:t>无法</w:t>
            </w:r>
            <w:r>
              <w:rPr>
                <w:rFonts w:hint="eastAsia" w:hAnsi="楷体"/>
                <w:sz w:val="20"/>
              </w:rPr>
              <w:t>正常开展。业务影响</w:t>
            </w:r>
            <w:r>
              <w:rPr>
                <w:rFonts w:hAnsi="楷体"/>
                <w:sz w:val="20"/>
              </w:rPr>
              <w:t>________，</w:t>
            </w:r>
            <w:r>
              <w:rPr>
                <w:rFonts w:hint="eastAsia" w:hAnsi="楷体"/>
                <w:sz w:val="20"/>
              </w:rPr>
              <w:t>应对措施：</w:t>
            </w:r>
            <w:r>
              <w:rPr>
                <w:rFonts w:hAnsi="楷体"/>
                <w:sz w:val="20"/>
              </w:rPr>
              <w:t>________</w:t>
            </w:r>
            <w:r>
              <w:rPr>
                <w:rFonts w:hint="eastAsia" w:hAnsi="楷体"/>
                <w:sz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ascii="楷体" w:hAnsi="楷体" w:eastAsia="楷体"/>
                <w:sz w:val="20"/>
              </w:rPr>
            </w:pPr>
            <w:r>
              <w:rPr>
                <w:rFonts w:hint="eastAsia" w:ascii="楷体" w:hAnsi="楷体" w:eastAsia="楷体"/>
                <w:sz w:val="20"/>
              </w:rPr>
              <w:t>港股交易印花税调整是否需要改造系统</w:t>
            </w:r>
          </w:p>
        </w:tc>
        <w:tc>
          <w:tcPr>
            <w:tcW w:w="6946" w:type="dxa"/>
            <w:gridSpan w:val="4"/>
            <w:tcBorders>
              <w:top w:val="single" w:color="auto" w:sz="4" w:space="0"/>
              <w:left w:val="nil"/>
              <w:bottom w:val="single" w:color="auto" w:sz="4" w:space="0"/>
              <w:right w:val="single" w:color="auto" w:sz="4" w:space="0"/>
            </w:tcBorders>
          </w:tcPr>
          <w:p>
            <w:pPr>
              <w:rPr>
                <w:rFonts w:hAnsi="楷体"/>
                <w:sz w:val="20"/>
              </w:rPr>
            </w:pPr>
            <w:r>
              <w:rPr>
                <w:rFonts w:hint="eastAsia" w:hAnsi="楷体"/>
                <w:sz w:val="20"/>
              </w:rPr>
              <w:t>◎</w:t>
            </w:r>
            <w:r>
              <w:rPr>
                <w:rFonts w:hAnsi="楷体"/>
                <w:sz w:val="20"/>
              </w:rPr>
              <w:t>无需改造，已评估对现有系统无影响</w:t>
            </w:r>
          </w:p>
          <w:p>
            <w:pPr>
              <w:rPr>
                <w:rFonts w:hAnsi="楷体"/>
                <w:sz w:val="20"/>
              </w:rPr>
            </w:pPr>
            <w:r>
              <w:rPr>
                <w:rFonts w:hint="eastAsia" w:hAnsi="楷体"/>
                <w:sz w:val="20"/>
              </w:rPr>
              <w:t>◎</w:t>
            </w:r>
            <w:r>
              <w:rPr>
                <w:rFonts w:hAnsi="楷体"/>
                <w:sz w:val="20"/>
              </w:rPr>
              <w:t>需要改造</w:t>
            </w:r>
            <w:r>
              <w:rPr>
                <w:rFonts w:hint="eastAsia" w:hAnsi="楷体"/>
                <w:sz w:val="20"/>
              </w:rPr>
              <w:t>且技术系统已就绪</w:t>
            </w:r>
          </w:p>
          <w:p>
            <w:pPr>
              <w:rPr>
                <w:rFonts w:hAnsi="楷体"/>
                <w:sz w:val="20"/>
              </w:rPr>
            </w:pPr>
            <w:r>
              <w:rPr>
                <w:rFonts w:hint="eastAsia" w:hAnsi="楷体"/>
                <w:sz w:val="20"/>
              </w:rPr>
              <w:t>◎</w:t>
            </w:r>
            <w:r>
              <w:rPr>
                <w:rFonts w:hAnsi="楷体"/>
                <w:sz w:val="20"/>
              </w:rPr>
              <w:t>需要改造</w:t>
            </w:r>
            <w:r>
              <w:rPr>
                <w:rFonts w:hint="eastAsia" w:hAnsi="楷体"/>
                <w:sz w:val="20"/>
              </w:rPr>
              <w:t>但技术系统暂未就绪</w:t>
            </w:r>
            <w:r>
              <w:rPr>
                <w:rFonts w:hAnsi="楷体"/>
                <w:sz w:val="20"/>
              </w:rPr>
              <w:t>，预计</w:t>
            </w:r>
            <w:r>
              <w:rPr>
                <w:rFonts w:hint="eastAsia" w:hAnsi="楷体"/>
                <w:sz w:val="20"/>
              </w:rPr>
              <w:t>就绪</w:t>
            </w:r>
            <w:r>
              <w:rPr>
                <w:rFonts w:hAnsi="楷体"/>
                <w:sz w:val="20"/>
              </w:rPr>
              <w:t>时间: ________。</w:t>
            </w:r>
            <w:r>
              <w:rPr>
                <w:rFonts w:hint="eastAsia" w:hAnsi="楷体"/>
                <w:sz w:val="20"/>
              </w:rPr>
              <w:t>深交所、中国结算深圳分公司技术系统上线后，已评估现有业务均可正常开展。</w:t>
            </w:r>
          </w:p>
          <w:p>
            <w:pPr>
              <w:rPr>
                <w:rFonts w:hAnsi="楷体"/>
                <w:sz w:val="20"/>
              </w:rPr>
            </w:pPr>
            <w:r>
              <w:rPr>
                <w:rFonts w:hint="eastAsia" w:hAnsi="楷体"/>
                <w:sz w:val="20"/>
              </w:rPr>
              <w:t>◎</w:t>
            </w:r>
            <w:r>
              <w:rPr>
                <w:rFonts w:hAnsi="楷体"/>
                <w:sz w:val="20"/>
              </w:rPr>
              <w:t>需要改造</w:t>
            </w:r>
            <w:r>
              <w:rPr>
                <w:rFonts w:hint="eastAsia" w:hAnsi="楷体"/>
                <w:sz w:val="20"/>
              </w:rPr>
              <w:t>但技术系统暂未就绪</w:t>
            </w:r>
            <w:r>
              <w:rPr>
                <w:rFonts w:hAnsi="楷体"/>
                <w:sz w:val="20"/>
              </w:rPr>
              <w:t>，预计</w:t>
            </w:r>
            <w:r>
              <w:rPr>
                <w:rFonts w:hint="eastAsia" w:hAnsi="楷体"/>
                <w:sz w:val="20"/>
              </w:rPr>
              <w:t>就绪</w:t>
            </w:r>
            <w:r>
              <w:rPr>
                <w:rFonts w:hAnsi="楷体"/>
                <w:sz w:val="20"/>
              </w:rPr>
              <w:t>时间: ________。</w:t>
            </w:r>
            <w:r>
              <w:rPr>
                <w:rFonts w:hint="eastAsia" w:hAnsi="楷体"/>
                <w:sz w:val="20"/>
              </w:rPr>
              <w:t>深交所、中国结算深圳分公司技术系统上线后，已评估现有业务</w:t>
            </w:r>
            <w:r>
              <w:rPr>
                <w:rFonts w:hint="eastAsia" w:hAnsi="楷体"/>
                <w:b/>
                <w:sz w:val="20"/>
              </w:rPr>
              <w:t>无法</w:t>
            </w:r>
            <w:r>
              <w:rPr>
                <w:rFonts w:hint="eastAsia" w:hAnsi="楷体"/>
                <w:sz w:val="20"/>
              </w:rPr>
              <w:t>正常开展。业务影响</w:t>
            </w:r>
            <w:r>
              <w:rPr>
                <w:rFonts w:hAnsi="楷体"/>
                <w:sz w:val="20"/>
              </w:rPr>
              <w:t>________，</w:t>
            </w:r>
            <w:r>
              <w:rPr>
                <w:rFonts w:hint="eastAsia" w:hAnsi="楷体"/>
                <w:sz w:val="20"/>
              </w:rPr>
              <w:t>应对措施：</w:t>
            </w:r>
            <w:r>
              <w:rPr>
                <w:rFonts w:hAnsi="楷体"/>
                <w:sz w:val="20"/>
              </w:rPr>
              <w:t>________</w:t>
            </w:r>
            <w:r>
              <w:rPr>
                <w:rFonts w:hint="eastAsia" w:hAnsi="楷体"/>
                <w:sz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ascii="楷体" w:hAnsi="楷体" w:eastAsia="楷体"/>
                <w:sz w:val="20"/>
              </w:rPr>
            </w:pPr>
            <w:r>
              <w:rPr>
                <w:rFonts w:hint="eastAsia" w:hAnsi="楷体"/>
                <w:sz w:val="20"/>
              </w:rPr>
              <w:t>资金代收代付相关技术系统</w:t>
            </w:r>
            <w:r>
              <w:rPr>
                <w:rFonts w:hAnsi="楷体"/>
                <w:sz w:val="20"/>
              </w:rPr>
              <w:t>是否</w:t>
            </w:r>
            <w:r>
              <w:rPr>
                <w:rFonts w:hint="eastAsia" w:hAnsi="楷体"/>
                <w:sz w:val="20"/>
              </w:rPr>
              <w:t>已就绪</w:t>
            </w:r>
          </w:p>
        </w:tc>
        <w:tc>
          <w:tcPr>
            <w:tcW w:w="6946" w:type="dxa"/>
            <w:gridSpan w:val="4"/>
            <w:tcBorders>
              <w:top w:val="single" w:color="auto" w:sz="4" w:space="0"/>
              <w:left w:val="nil"/>
              <w:bottom w:val="single" w:color="auto" w:sz="4" w:space="0"/>
              <w:right w:val="single" w:color="auto" w:sz="4" w:space="0"/>
            </w:tcBorders>
          </w:tcPr>
          <w:p>
            <w:pPr>
              <w:rPr>
                <w:rFonts w:hAnsi="楷体"/>
                <w:sz w:val="20"/>
              </w:rPr>
            </w:pPr>
            <w:r>
              <w:rPr>
                <w:rFonts w:hint="eastAsia" w:hAnsi="楷体"/>
                <w:sz w:val="20"/>
              </w:rPr>
              <w:t>◎</w:t>
            </w:r>
            <w:r>
              <w:rPr>
                <w:rFonts w:hAnsi="楷体"/>
                <w:sz w:val="20"/>
              </w:rPr>
              <w:t>无需改造，已评估对现有系统无影响</w:t>
            </w:r>
          </w:p>
          <w:p>
            <w:pPr>
              <w:rPr>
                <w:rFonts w:hAnsi="楷体"/>
                <w:sz w:val="20"/>
              </w:rPr>
            </w:pPr>
            <w:r>
              <w:rPr>
                <w:rFonts w:hint="eastAsia" w:hAnsi="楷体"/>
                <w:sz w:val="20"/>
              </w:rPr>
              <w:t>◎</w:t>
            </w:r>
            <w:r>
              <w:rPr>
                <w:rFonts w:hAnsi="楷体"/>
                <w:sz w:val="20"/>
              </w:rPr>
              <w:t>需要改造</w:t>
            </w:r>
            <w:r>
              <w:rPr>
                <w:rFonts w:hint="eastAsia" w:hAnsi="楷体"/>
                <w:sz w:val="20"/>
              </w:rPr>
              <w:t>且技术系统已就绪</w:t>
            </w:r>
          </w:p>
          <w:p>
            <w:pPr>
              <w:rPr>
                <w:rFonts w:hAnsi="楷体"/>
                <w:sz w:val="20"/>
              </w:rPr>
            </w:pPr>
            <w:r>
              <w:rPr>
                <w:rFonts w:hint="eastAsia" w:hAnsi="楷体"/>
                <w:sz w:val="20"/>
              </w:rPr>
              <w:t>◎</w:t>
            </w:r>
            <w:r>
              <w:rPr>
                <w:rFonts w:hAnsi="楷体"/>
                <w:sz w:val="20"/>
              </w:rPr>
              <w:t>需要改造</w:t>
            </w:r>
            <w:r>
              <w:rPr>
                <w:rFonts w:hint="eastAsia" w:hAnsi="楷体"/>
                <w:sz w:val="20"/>
              </w:rPr>
              <w:t>但技术系统暂未就绪</w:t>
            </w:r>
            <w:r>
              <w:rPr>
                <w:rFonts w:hAnsi="楷体"/>
                <w:sz w:val="20"/>
              </w:rPr>
              <w:t>，预计</w:t>
            </w:r>
            <w:r>
              <w:rPr>
                <w:rFonts w:hint="eastAsia" w:hAnsi="楷体"/>
                <w:sz w:val="20"/>
              </w:rPr>
              <w:t>就绪</w:t>
            </w:r>
            <w:r>
              <w:rPr>
                <w:rFonts w:hAnsi="楷体"/>
                <w:sz w:val="20"/>
              </w:rPr>
              <w:t>时间: 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44" w:hRule="atLeast"/>
          <w:jc w:val="center"/>
        </w:trPr>
        <w:tc>
          <w:tcPr>
            <w:tcW w:w="10343" w:type="dxa"/>
            <w:gridSpan w:val="6"/>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sz w:val="20"/>
              </w:rPr>
            </w:pPr>
            <w:r>
              <w:rPr>
                <w:rFonts w:hint="eastAsia" w:ascii="楷体" w:hAnsi="楷体" w:eastAsia="楷体"/>
                <w:sz w:val="20"/>
              </w:rPr>
              <w:t>请填写以下各功能点测试结果</w:t>
            </w:r>
            <w:r>
              <w:rPr>
                <w:rFonts w:hint="eastAsia" w:ascii="楷体" w:hAnsi="楷体" w:eastAsia="楷体"/>
                <w:b/>
                <w:bCs/>
                <w:sz w:val="20"/>
              </w:rPr>
              <w:t>（未参测单位可不填写以下内容）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ascii="楷体" w:hAnsi="楷体" w:eastAsia="楷体" w:cs="宋体"/>
                <w:color w:val="000000"/>
                <w:kern w:val="0"/>
                <w:sz w:val="20"/>
              </w:rPr>
            </w:pPr>
            <w:r>
              <w:rPr>
                <w:rFonts w:hint="eastAsia" w:ascii="楷体" w:hAnsi="楷体" w:eastAsia="楷体" w:cs="宋体"/>
                <w:b/>
                <w:kern w:val="0"/>
                <w:sz w:val="20"/>
              </w:rPr>
              <w:t>下调基金交易经手费收费标准相关测试反馈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11"/>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楷体" w:hAnsi="楷体" w:eastAsia="楷体" w:cs="宋体"/>
                <w:color w:val="000000"/>
                <w:kern w:val="0"/>
                <w:sz w:val="20"/>
                <w:szCs w:val="22"/>
              </w:rPr>
            </w:pPr>
            <w:r>
              <w:rPr>
                <w:rFonts w:hint="eastAsia" w:ascii="楷体" w:hAnsi="楷体" w:eastAsia="楷体" w:cs="宋体"/>
                <w:color w:val="000000"/>
                <w:kern w:val="0"/>
                <w:sz w:val="20"/>
                <w:szCs w:val="22"/>
              </w:rPr>
              <w:t>基金（封闭式基金、ETF、LOF等）竞价交易的委托申报、成交回报及行情处理</w:t>
            </w:r>
          </w:p>
        </w:tc>
        <w:tc>
          <w:tcPr>
            <w:tcW w:w="3402" w:type="dxa"/>
            <w:gridSpan w:val="2"/>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11"/>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楷体" w:hAnsi="楷体" w:eastAsia="楷体" w:cs="宋体"/>
                <w:color w:val="000000"/>
                <w:kern w:val="0"/>
                <w:sz w:val="20"/>
                <w:szCs w:val="22"/>
              </w:rPr>
            </w:pPr>
            <w:r>
              <w:rPr>
                <w:rFonts w:hint="eastAsia" w:ascii="楷体" w:hAnsi="楷体" w:eastAsia="楷体" w:cs="宋体"/>
                <w:color w:val="000000"/>
                <w:kern w:val="0"/>
                <w:sz w:val="20"/>
                <w:szCs w:val="22"/>
              </w:rPr>
              <w:t>基金（封闭式基金、ETF、LOF等）协议大宗交易的委托申报、成交回报及行情处理</w:t>
            </w:r>
          </w:p>
        </w:tc>
        <w:tc>
          <w:tcPr>
            <w:tcW w:w="3402" w:type="dxa"/>
            <w:gridSpan w:val="2"/>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11"/>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楷体" w:hAnsi="楷体" w:eastAsia="楷体" w:cs="宋体"/>
                <w:color w:val="000000"/>
                <w:kern w:val="0"/>
                <w:sz w:val="20"/>
                <w:szCs w:val="22"/>
              </w:rPr>
            </w:pPr>
            <w:r>
              <w:rPr>
                <w:rFonts w:hint="eastAsia" w:ascii="楷体" w:hAnsi="楷体" w:eastAsia="楷体" w:cs="宋体"/>
                <w:color w:val="000000"/>
                <w:kern w:val="0"/>
                <w:sz w:val="20"/>
                <w:szCs w:val="22"/>
              </w:rPr>
              <w:t>基金（封闭式基金、ETF、LOF等）约定购回的委托申报、成交回报处理</w:t>
            </w:r>
          </w:p>
        </w:tc>
        <w:tc>
          <w:tcPr>
            <w:tcW w:w="3402" w:type="dxa"/>
            <w:gridSpan w:val="2"/>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11"/>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楷体" w:hAnsi="楷体" w:eastAsia="楷体" w:cs="宋体"/>
                <w:color w:val="000000"/>
                <w:kern w:val="0"/>
                <w:sz w:val="20"/>
                <w:szCs w:val="22"/>
              </w:rPr>
            </w:pPr>
            <w:r>
              <w:rPr>
                <w:rFonts w:hint="eastAsia" w:ascii="楷体" w:hAnsi="楷体" w:eastAsia="楷体" w:cs="宋体"/>
                <w:color w:val="000000"/>
                <w:kern w:val="0"/>
                <w:sz w:val="20"/>
                <w:szCs w:val="22"/>
              </w:rPr>
              <w:t>基金（封闭式基金、ETF、LOF等）竞价交易的清算交收</w:t>
            </w:r>
          </w:p>
        </w:tc>
        <w:tc>
          <w:tcPr>
            <w:tcW w:w="3402" w:type="dxa"/>
            <w:gridSpan w:val="2"/>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11"/>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楷体" w:hAnsi="楷体" w:eastAsia="楷体" w:cs="宋体"/>
                <w:color w:val="000000"/>
                <w:kern w:val="0"/>
                <w:sz w:val="20"/>
                <w:szCs w:val="22"/>
              </w:rPr>
            </w:pPr>
            <w:r>
              <w:rPr>
                <w:rFonts w:hint="eastAsia" w:ascii="楷体" w:hAnsi="楷体" w:eastAsia="楷体" w:cs="宋体"/>
                <w:color w:val="000000"/>
                <w:kern w:val="0"/>
                <w:sz w:val="20"/>
                <w:szCs w:val="22"/>
              </w:rPr>
              <w:t>基金（封闭式基金、ETF、LOF等）协议大宗交易的清算交收</w:t>
            </w:r>
          </w:p>
        </w:tc>
        <w:tc>
          <w:tcPr>
            <w:tcW w:w="3402" w:type="dxa"/>
            <w:gridSpan w:val="2"/>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11"/>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楷体" w:hAnsi="楷体" w:eastAsia="楷体" w:cs="宋体"/>
                <w:color w:val="000000"/>
                <w:kern w:val="0"/>
                <w:sz w:val="20"/>
                <w:szCs w:val="22"/>
              </w:rPr>
            </w:pPr>
            <w:r>
              <w:rPr>
                <w:rFonts w:hint="eastAsia" w:ascii="楷体" w:hAnsi="楷体" w:eastAsia="楷体" w:cs="宋体"/>
                <w:color w:val="000000"/>
                <w:kern w:val="0"/>
                <w:sz w:val="20"/>
                <w:szCs w:val="22"/>
              </w:rPr>
              <w:t>基金（封闭式基金、ETF、LOF等）约定购回的清算交收</w:t>
            </w:r>
          </w:p>
        </w:tc>
        <w:tc>
          <w:tcPr>
            <w:tcW w:w="3402" w:type="dxa"/>
            <w:gridSpan w:val="2"/>
            <w:vAlign w:val="center"/>
          </w:tcPr>
          <w:p>
            <w:pPr>
              <w:widowControl/>
              <w:jc w:val="left"/>
              <w:rPr>
                <w:rFonts w:ascii="宋体" w:hAnsi="宋体" w:cs="宋体"/>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tcPr>
          <w:p>
            <w:pPr>
              <w:widowControl/>
              <w:jc w:val="center"/>
              <w:rPr>
                <w:rFonts w:ascii="宋体" w:hAnsi="宋体" w:cs="宋体"/>
                <w:sz w:val="20"/>
              </w:rPr>
            </w:pPr>
            <w:r>
              <w:rPr>
                <w:rFonts w:hint="eastAsia" w:ascii="楷体" w:hAnsi="楷体" w:eastAsia="楷体" w:cs="宋体"/>
                <w:b/>
                <w:kern w:val="0"/>
                <w:sz w:val="20"/>
                <w:szCs w:val="22"/>
              </w:rPr>
              <w:t>减免部分登记结算业务收费测试反馈项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12"/>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楷体" w:hAnsi="楷体" w:eastAsia="楷体" w:cs="宋体"/>
                <w:color w:val="000000"/>
                <w:kern w:val="0"/>
                <w:sz w:val="20"/>
                <w:szCs w:val="22"/>
              </w:rPr>
            </w:pPr>
            <w:r>
              <w:rPr>
                <w:rFonts w:hint="eastAsia" w:ascii="楷体" w:hAnsi="楷体" w:eastAsia="楷体" w:cs="宋体"/>
                <w:color w:val="000000"/>
                <w:kern w:val="0"/>
                <w:sz w:val="20"/>
                <w:szCs w:val="22"/>
              </w:rPr>
              <w:t>深市优先股协议大宗交易的委托申报及成交回报</w:t>
            </w:r>
          </w:p>
        </w:tc>
        <w:tc>
          <w:tcPr>
            <w:tcW w:w="3402" w:type="dxa"/>
            <w:gridSpan w:val="2"/>
            <w:vAlign w:val="center"/>
          </w:tcPr>
          <w:p>
            <w:pPr>
              <w:widowControl/>
              <w:jc w:val="left"/>
              <w:rPr>
                <w:rFonts w:ascii="楷体" w:hAnsi="楷体" w:eastAsia="楷体" w:cs="宋体"/>
                <w:color w:val="000000"/>
                <w:kern w:val="0"/>
                <w:sz w:val="20"/>
                <w:szCs w:val="22"/>
              </w:rPr>
            </w:pPr>
            <w:r>
              <w:rPr>
                <w:rFonts w:hint="eastAsia" w:ascii="楷体" w:hAnsi="楷体" w:eastAsia="楷体" w:cs="宋体"/>
                <w:color w:val="000000"/>
                <w:kern w:val="0"/>
                <w:sz w:val="20"/>
                <w:szCs w:val="22"/>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12"/>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楷体" w:hAnsi="楷体" w:eastAsia="楷体" w:cs="宋体"/>
                <w:color w:val="000000"/>
                <w:kern w:val="0"/>
                <w:sz w:val="20"/>
                <w:szCs w:val="22"/>
              </w:rPr>
            </w:pPr>
            <w:r>
              <w:rPr>
                <w:rFonts w:hint="eastAsia" w:ascii="楷体" w:hAnsi="楷体" w:eastAsia="楷体" w:cs="宋体"/>
                <w:color w:val="000000"/>
                <w:kern w:val="0"/>
                <w:sz w:val="20"/>
                <w:szCs w:val="22"/>
              </w:rPr>
              <w:t>B股竞价交易的委托申报及成交回报</w:t>
            </w:r>
          </w:p>
        </w:tc>
        <w:tc>
          <w:tcPr>
            <w:tcW w:w="3402" w:type="dxa"/>
            <w:gridSpan w:val="2"/>
            <w:vAlign w:val="center"/>
          </w:tcPr>
          <w:p>
            <w:pPr>
              <w:widowControl/>
              <w:jc w:val="left"/>
              <w:rPr>
                <w:rFonts w:ascii="楷体" w:hAnsi="楷体" w:eastAsia="楷体" w:cs="宋体"/>
                <w:color w:val="000000"/>
                <w:kern w:val="0"/>
                <w:sz w:val="20"/>
                <w:szCs w:val="22"/>
              </w:rPr>
            </w:pPr>
            <w:r>
              <w:rPr>
                <w:rFonts w:hint="eastAsia" w:ascii="楷体" w:hAnsi="楷体" w:eastAsia="楷体" w:cs="宋体"/>
                <w:color w:val="000000"/>
                <w:kern w:val="0"/>
                <w:sz w:val="20"/>
                <w:szCs w:val="22"/>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12"/>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楷体" w:hAnsi="楷体" w:eastAsia="楷体" w:cs="宋体"/>
                <w:color w:val="000000"/>
                <w:kern w:val="0"/>
                <w:sz w:val="20"/>
                <w:szCs w:val="22"/>
              </w:rPr>
            </w:pPr>
            <w:r>
              <w:rPr>
                <w:rFonts w:hint="eastAsia" w:ascii="楷体" w:hAnsi="楷体" w:eastAsia="楷体" w:cs="宋体"/>
                <w:color w:val="000000"/>
                <w:kern w:val="0"/>
                <w:sz w:val="20"/>
                <w:szCs w:val="22"/>
              </w:rPr>
              <w:t>B股要约收购的委托申报及成交回报</w:t>
            </w:r>
          </w:p>
        </w:tc>
        <w:tc>
          <w:tcPr>
            <w:tcW w:w="3402" w:type="dxa"/>
            <w:gridSpan w:val="2"/>
            <w:vAlign w:val="center"/>
          </w:tcPr>
          <w:p>
            <w:pPr>
              <w:widowControl/>
              <w:jc w:val="left"/>
              <w:rPr>
                <w:rFonts w:ascii="楷体" w:hAnsi="楷体" w:eastAsia="楷体" w:cs="宋体"/>
                <w:color w:val="000000"/>
                <w:kern w:val="0"/>
                <w:sz w:val="20"/>
                <w:szCs w:val="22"/>
              </w:rPr>
            </w:pPr>
            <w:r>
              <w:rPr>
                <w:rFonts w:hint="eastAsia" w:ascii="楷体" w:hAnsi="楷体" w:eastAsia="楷体" w:cs="宋体"/>
                <w:color w:val="000000"/>
                <w:kern w:val="0"/>
                <w:sz w:val="20"/>
                <w:szCs w:val="22"/>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12"/>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楷体" w:hAnsi="楷体" w:eastAsia="楷体" w:cs="宋体"/>
                <w:color w:val="000000"/>
                <w:kern w:val="0"/>
                <w:sz w:val="20"/>
                <w:szCs w:val="22"/>
              </w:rPr>
            </w:pPr>
            <w:r>
              <w:rPr>
                <w:rFonts w:hint="eastAsia" w:ascii="楷体" w:hAnsi="楷体" w:eastAsia="楷体" w:cs="宋体"/>
                <w:color w:val="000000"/>
                <w:kern w:val="0"/>
                <w:sz w:val="20"/>
                <w:szCs w:val="22"/>
              </w:rPr>
              <w:t>深市优先股协议大宗交易业务的清算交收</w:t>
            </w:r>
          </w:p>
        </w:tc>
        <w:tc>
          <w:tcPr>
            <w:tcW w:w="3402" w:type="dxa"/>
            <w:gridSpan w:val="2"/>
            <w:vAlign w:val="center"/>
          </w:tcPr>
          <w:p>
            <w:pPr>
              <w:widowControl/>
              <w:jc w:val="left"/>
              <w:rPr>
                <w:rFonts w:ascii="楷体" w:hAnsi="楷体" w:eastAsia="楷体" w:cs="宋体"/>
                <w:color w:val="000000"/>
                <w:kern w:val="0"/>
                <w:sz w:val="20"/>
                <w:szCs w:val="22"/>
              </w:rPr>
            </w:pPr>
            <w:r>
              <w:rPr>
                <w:rFonts w:hint="eastAsia" w:ascii="楷体" w:hAnsi="楷体" w:eastAsia="楷体" w:cs="宋体"/>
                <w:color w:val="000000"/>
                <w:kern w:val="0"/>
                <w:sz w:val="20"/>
                <w:szCs w:val="22"/>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12"/>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楷体" w:hAnsi="楷体" w:eastAsia="楷体" w:cs="宋体"/>
                <w:color w:val="000000"/>
                <w:kern w:val="0"/>
                <w:sz w:val="20"/>
                <w:szCs w:val="22"/>
              </w:rPr>
            </w:pPr>
            <w:r>
              <w:rPr>
                <w:rFonts w:hint="eastAsia" w:ascii="楷体" w:hAnsi="楷体" w:eastAsia="楷体" w:cs="宋体"/>
                <w:color w:val="000000"/>
                <w:kern w:val="0"/>
                <w:sz w:val="20"/>
                <w:szCs w:val="22"/>
              </w:rPr>
              <w:t>A股、B股、港股通报盘转托管申报及处理</w:t>
            </w:r>
          </w:p>
        </w:tc>
        <w:tc>
          <w:tcPr>
            <w:tcW w:w="3402" w:type="dxa"/>
            <w:gridSpan w:val="2"/>
            <w:vAlign w:val="center"/>
          </w:tcPr>
          <w:p>
            <w:pPr>
              <w:widowControl/>
              <w:jc w:val="left"/>
              <w:rPr>
                <w:rFonts w:ascii="楷体" w:hAnsi="楷体" w:eastAsia="楷体" w:cs="宋体"/>
                <w:color w:val="000000"/>
                <w:kern w:val="0"/>
                <w:sz w:val="20"/>
                <w:szCs w:val="22"/>
              </w:rPr>
            </w:pPr>
            <w:r>
              <w:rPr>
                <w:rFonts w:hint="eastAsia" w:ascii="楷体" w:hAnsi="楷体" w:eastAsia="楷体" w:cs="宋体"/>
                <w:color w:val="000000"/>
                <w:kern w:val="0"/>
                <w:sz w:val="20"/>
                <w:szCs w:val="22"/>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12"/>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楷体" w:hAnsi="楷体" w:eastAsia="楷体" w:cs="宋体"/>
                <w:color w:val="000000"/>
                <w:kern w:val="0"/>
                <w:sz w:val="20"/>
                <w:szCs w:val="22"/>
              </w:rPr>
            </w:pPr>
            <w:r>
              <w:rPr>
                <w:rFonts w:hint="eastAsia" w:ascii="楷体" w:hAnsi="楷体" w:eastAsia="楷体" w:cs="宋体"/>
                <w:color w:val="000000"/>
                <w:kern w:val="0"/>
                <w:sz w:val="20"/>
                <w:szCs w:val="22"/>
              </w:rPr>
              <w:t>限售股转托管申报及处理</w:t>
            </w:r>
          </w:p>
        </w:tc>
        <w:tc>
          <w:tcPr>
            <w:tcW w:w="3402" w:type="dxa"/>
            <w:gridSpan w:val="2"/>
            <w:vAlign w:val="center"/>
          </w:tcPr>
          <w:p>
            <w:pPr>
              <w:widowControl/>
              <w:jc w:val="left"/>
              <w:rPr>
                <w:rFonts w:ascii="楷体" w:hAnsi="楷体" w:eastAsia="楷体" w:cs="宋体"/>
                <w:color w:val="000000"/>
                <w:kern w:val="0"/>
                <w:sz w:val="20"/>
                <w:szCs w:val="22"/>
              </w:rPr>
            </w:pPr>
            <w:r>
              <w:rPr>
                <w:rFonts w:hint="eastAsia" w:ascii="楷体" w:hAnsi="楷体" w:eastAsia="楷体" w:cs="宋体"/>
                <w:color w:val="000000"/>
                <w:kern w:val="0"/>
                <w:sz w:val="20"/>
                <w:szCs w:val="22"/>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12"/>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楷体" w:hAnsi="楷体" w:eastAsia="楷体" w:cs="宋体"/>
                <w:color w:val="000000"/>
                <w:kern w:val="0"/>
                <w:sz w:val="20"/>
                <w:szCs w:val="22"/>
              </w:rPr>
            </w:pPr>
            <w:r>
              <w:rPr>
                <w:rFonts w:hint="eastAsia" w:ascii="楷体" w:hAnsi="楷体" w:eastAsia="楷体" w:cs="宋体"/>
                <w:color w:val="000000"/>
                <w:kern w:val="0"/>
                <w:sz w:val="20"/>
                <w:szCs w:val="22"/>
              </w:rPr>
              <w:t>债券跨市场转托管</w:t>
            </w:r>
          </w:p>
        </w:tc>
        <w:tc>
          <w:tcPr>
            <w:tcW w:w="3402" w:type="dxa"/>
            <w:gridSpan w:val="2"/>
            <w:vAlign w:val="center"/>
          </w:tcPr>
          <w:p>
            <w:pPr>
              <w:widowControl/>
              <w:jc w:val="left"/>
              <w:rPr>
                <w:rFonts w:ascii="楷体" w:hAnsi="楷体" w:eastAsia="楷体" w:cs="宋体"/>
                <w:color w:val="000000"/>
                <w:kern w:val="0"/>
                <w:sz w:val="20"/>
                <w:szCs w:val="22"/>
              </w:rPr>
            </w:pPr>
            <w:r>
              <w:rPr>
                <w:rFonts w:hint="eastAsia" w:ascii="楷体" w:hAnsi="楷体" w:eastAsia="楷体" w:cs="宋体"/>
                <w:color w:val="000000"/>
                <w:kern w:val="0"/>
                <w:sz w:val="20"/>
                <w:szCs w:val="22"/>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12"/>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楷体" w:hAnsi="楷体" w:eastAsia="楷体" w:cs="宋体"/>
                <w:color w:val="000000"/>
                <w:kern w:val="0"/>
                <w:sz w:val="20"/>
                <w:szCs w:val="22"/>
              </w:rPr>
            </w:pPr>
            <w:r>
              <w:rPr>
                <w:rFonts w:hint="eastAsia" w:ascii="楷体" w:hAnsi="楷体" w:eastAsia="楷体" w:cs="宋体"/>
                <w:color w:val="000000"/>
                <w:kern w:val="0"/>
                <w:sz w:val="20"/>
                <w:szCs w:val="22"/>
              </w:rPr>
              <w:t>B 股交易的结算处理（仅包括T日首次清算）</w:t>
            </w:r>
          </w:p>
        </w:tc>
        <w:tc>
          <w:tcPr>
            <w:tcW w:w="3402" w:type="dxa"/>
            <w:gridSpan w:val="2"/>
            <w:shd w:val="clear" w:color="auto" w:fill="auto"/>
            <w:vAlign w:val="center"/>
          </w:tcPr>
          <w:p>
            <w:pPr>
              <w:widowControl/>
              <w:jc w:val="left"/>
              <w:rPr>
                <w:rFonts w:ascii="楷体" w:hAnsi="楷体" w:eastAsia="楷体" w:cs="宋体"/>
                <w:color w:val="000000"/>
                <w:kern w:val="0"/>
                <w:sz w:val="20"/>
                <w:szCs w:val="22"/>
              </w:rPr>
            </w:pPr>
            <w:r>
              <w:rPr>
                <w:rFonts w:hint="eastAsia" w:ascii="楷体" w:hAnsi="楷体" w:eastAsia="楷体" w:cs="宋体"/>
                <w:color w:val="000000"/>
                <w:kern w:val="0"/>
                <w:sz w:val="20"/>
                <w:szCs w:val="22"/>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12"/>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楷体" w:hAnsi="楷体" w:eastAsia="楷体" w:cs="宋体"/>
                <w:color w:val="000000"/>
                <w:kern w:val="0"/>
                <w:sz w:val="20"/>
                <w:szCs w:val="22"/>
              </w:rPr>
            </w:pPr>
            <w:r>
              <w:rPr>
                <w:rFonts w:hint="eastAsia" w:ascii="楷体" w:hAnsi="楷体" w:eastAsia="楷体" w:cs="宋体"/>
                <w:color w:val="000000"/>
                <w:kern w:val="0"/>
                <w:sz w:val="20"/>
                <w:szCs w:val="22"/>
              </w:rPr>
              <w:t>B股在途交易的结算处理</w:t>
            </w:r>
          </w:p>
        </w:tc>
        <w:tc>
          <w:tcPr>
            <w:tcW w:w="3402" w:type="dxa"/>
            <w:gridSpan w:val="2"/>
            <w:shd w:val="clear" w:color="auto" w:fill="auto"/>
            <w:vAlign w:val="center"/>
          </w:tcPr>
          <w:p>
            <w:pPr>
              <w:widowControl/>
              <w:jc w:val="left"/>
              <w:rPr>
                <w:rFonts w:ascii="楷体" w:hAnsi="楷体" w:eastAsia="楷体" w:cs="宋体"/>
                <w:color w:val="000000"/>
                <w:kern w:val="0"/>
                <w:sz w:val="20"/>
                <w:szCs w:val="22"/>
              </w:rPr>
            </w:pPr>
            <w:r>
              <w:rPr>
                <w:rFonts w:hint="eastAsia" w:ascii="楷体" w:hAnsi="楷体" w:eastAsia="楷体" w:cs="宋体"/>
                <w:color w:val="000000"/>
                <w:kern w:val="0"/>
                <w:sz w:val="20"/>
                <w:szCs w:val="22"/>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12"/>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楷体" w:hAnsi="楷体" w:eastAsia="楷体" w:cs="宋体"/>
                <w:color w:val="000000"/>
                <w:kern w:val="0"/>
                <w:sz w:val="20"/>
                <w:szCs w:val="22"/>
              </w:rPr>
            </w:pPr>
            <w:r>
              <w:rPr>
                <w:rFonts w:hint="eastAsia" w:ascii="楷体" w:hAnsi="楷体" w:eastAsia="楷体" w:cs="宋体"/>
                <w:color w:val="000000"/>
                <w:kern w:val="0"/>
                <w:sz w:val="20"/>
                <w:szCs w:val="22"/>
              </w:rPr>
              <w:t>B股一类指令的结算处理</w:t>
            </w:r>
          </w:p>
        </w:tc>
        <w:tc>
          <w:tcPr>
            <w:tcW w:w="3402" w:type="dxa"/>
            <w:gridSpan w:val="2"/>
            <w:shd w:val="clear" w:color="auto" w:fill="auto"/>
            <w:vAlign w:val="center"/>
          </w:tcPr>
          <w:p>
            <w:pPr>
              <w:widowControl/>
              <w:jc w:val="left"/>
              <w:rPr>
                <w:rFonts w:ascii="楷体" w:hAnsi="楷体" w:eastAsia="楷体" w:cs="宋体"/>
                <w:color w:val="000000"/>
                <w:kern w:val="0"/>
                <w:sz w:val="20"/>
                <w:szCs w:val="22"/>
              </w:rPr>
            </w:pPr>
            <w:r>
              <w:rPr>
                <w:rFonts w:hint="eastAsia" w:ascii="楷体" w:hAnsi="楷体" w:eastAsia="楷体" w:cs="宋体"/>
                <w:color w:val="000000"/>
                <w:kern w:val="0"/>
                <w:sz w:val="20"/>
                <w:szCs w:val="22"/>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12"/>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楷体" w:hAnsi="楷体" w:eastAsia="楷体" w:cs="宋体"/>
                <w:color w:val="000000"/>
                <w:kern w:val="0"/>
                <w:sz w:val="20"/>
                <w:szCs w:val="22"/>
              </w:rPr>
            </w:pPr>
            <w:r>
              <w:rPr>
                <w:rFonts w:hint="eastAsia" w:ascii="楷体" w:hAnsi="楷体" w:eastAsia="楷体" w:cs="宋体"/>
                <w:color w:val="000000"/>
                <w:kern w:val="0"/>
                <w:sz w:val="20"/>
                <w:szCs w:val="22"/>
              </w:rPr>
              <w:t>B股二类指令的结算处理</w:t>
            </w:r>
          </w:p>
        </w:tc>
        <w:tc>
          <w:tcPr>
            <w:tcW w:w="3402" w:type="dxa"/>
            <w:gridSpan w:val="2"/>
            <w:shd w:val="clear" w:color="auto" w:fill="auto"/>
            <w:vAlign w:val="center"/>
          </w:tcPr>
          <w:p>
            <w:pPr>
              <w:widowControl/>
              <w:jc w:val="left"/>
              <w:rPr>
                <w:rFonts w:ascii="楷体" w:hAnsi="楷体" w:eastAsia="楷体" w:cs="宋体"/>
                <w:color w:val="000000"/>
                <w:kern w:val="0"/>
                <w:sz w:val="20"/>
                <w:szCs w:val="22"/>
              </w:rPr>
            </w:pPr>
            <w:r>
              <w:rPr>
                <w:rFonts w:hint="eastAsia" w:ascii="楷体" w:hAnsi="楷体" w:eastAsia="楷体" w:cs="宋体"/>
                <w:color w:val="000000"/>
                <w:kern w:val="0"/>
                <w:sz w:val="20"/>
                <w:szCs w:val="22"/>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12"/>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楷体" w:hAnsi="楷体" w:eastAsia="楷体" w:cs="宋体"/>
                <w:color w:val="000000"/>
                <w:kern w:val="0"/>
                <w:sz w:val="20"/>
                <w:szCs w:val="22"/>
              </w:rPr>
            </w:pPr>
            <w:r>
              <w:rPr>
                <w:rFonts w:hint="eastAsia" w:ascii="楷体" w:hAnsi="楷体" w:eastAsia="楷体" w:cs="宋体"/>
                <w:color w:val="000000"/>
                <w:kern w:val="0"/>
                <w:sz w:val="20"/>
                <w:szCs w:val="22"/>
              </w:rPr>
              <w:t>B股要约收购的结算处理</w:t>
            </w:r>
          </w:p>
        </w:tc>
        <w:tc>
          <w:tcPr>
            <w:tcW w:w="3402" w:type="dxa"/>
            <w:gridSpan w:val="2"/>
            <w:shd w:val="clear" w:color="auto" w:fill="auto"/>
            <w:vAlign w:val="center"/>
          </w:tcPr>
          <w:p>
            <w:pPr>
              <w:widowControl/>
              <w:jc w:val="left"/>
              <w:rPr>
                <w:rFonts w:ascii="楷体" w:hAnsi="楷体" w:eastAsia="楷体" w:cs="宋体"/>
                <w:color w:val="000000"/>
                <w:kern w:val="0"/>
                <w:sz w:val="20"/>
                <w:szCs w:val="22"/>
              </w:rPr>
            </w:pPr>
            <w:r>
              <w:rPr>
                <w:rFonts w:hint="eastAsia" w:ascii="楷体" w:hAnsi="楷体" w:eastAsia="楷体" w:cs="宋体"/>
                <w:color w:val="000000"/>
                <w:kern w:val="0"/>
                <w:sz w:val="20"/>
                <w:szCs w:val="22"/>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10343" w:type="dxa"/>
            <w:gridSpan w:val="6"/>
            <w:shd w:val="clear" w:color="auto" w:fill="A4A4A4" w:themeFill="background1" w:themeFillShade="A5"/>
          </w:tcPr>
          <w:p>
            <w:pPr>
              <w:widowControl/>
              <w:jc w:val="center"/>
              <w:rPr>
                <w:rFonts w:ascii="楷体" w:hAnsi="楷体" w:eastAsia="楷体" w:cs="宋体"/>
                <w:color w:val="000000"/>
                <w:kern w:val="0"/>
                <w:sz w:val="20"/>
                <w:szCs w:val="22"/>
              </w:rPr>
            </w:pPr>
            <w:r>
              <w:rPr>
                <w:rFonts w:hint="eastAsia" w:ascii="楷体" w:hAnsi="楷体" w:eastAsia="楷体" w:cs="宋体"/>
                <w:b/>
                <w:kern w:val="0"/>
                <w:sz w:val="20"/>
                <w:szCs w:val="22"/>
              </w:rPr>
              <w:t>资金代收代付测试反馈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13"/>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jc w:val="left"/>
              <w:rPr>
                <w:rFonts w:ascii="楷体" w:hAnsi="楷体" w:eastAsia="楷体" w:cs="宋体"/>
                <w:color w:val="000000"/>
                <w:kern w:val="0"/>
                <w:sz w:val="20"/>
                <w:szCs w:val="22"/>
              </w:rPr>
            </w:pPr>
            <w:r>
              <w:rPr>
                <w:rFonts w:hint="eastAsia" w:ascii="楷体" w:hAnsi="楷体" w:eastAsia="楷体" w:cs="宋体"/>
                <w:color w:val="000000"/>
                <w:kern w:val="0"/>
                <w:sz w:val="20"/>
                <w:szCs w:val="22"/>
              </w:rPr>
              <w:t>ETF申购现金替代-代收付(业务类别：</w:t>
            </w:r>
            <w:r>
              <w:rPr>
                <w:rFonts w:ascii="楷体" w:hAnsi="楷体" w:eastAsia="楷体" w:cs="宋体"/>
                <w:color w:val="000000"/>
                <w:kern w:val="0"/>
                <w:sz w:val="20"/>
                <w:szCs w:val="22"/>
              </w:rPr>
              <w:t>DEGT</w:t>
            </w:r>
            <w:r>
              <w:rPr>
                <w:rFonts w:hint="eastAsia" w:ascii="楷体" w:hAnsi="楷体" w:eastAsia="楷体" w:cs="宋体"/>
                <w:color w:val="000000"/>
                <w:kern w:val="0"/>
                <w:sz w:val="20"/>
                <w:szCs w:val="22"/>
              </w:rPr>
              <w:t>)</w:t>
            </w:r>
          </w:p>
        </w:tc>
        <w:tc>
          <w:tcPr>
            <w:tcW w:w="3402" w:type="dxa"/>
            <w:gridSpan w:val="2"/>
            <w:vAlign w:val="center"/>
          </w:tcPr>
          <w:p>
            <w:pPr>
              <w:widowControl/>
              <w:jc w:val="center"/>
              <w:rPr>
                <w:rFonts w:ascii="楷体" w:hAnsi="楷体" w:eastAsia="楷体" w:cs="宋体"/>
                <w:color w:val="000000"/>
                <w:kern w:val="0"/>
                <w:sz w:val="20"/>
                <w:szCs w:val="22"/>
              </w:rPr>
            </w:pPr>
            <w:r>
              <w:rPr>
                <w:rFonts w:hint="eastAsia" w:ascii="楷体" w:hAnsi="楷体" w:eastAsia="楷体" w:cs="宋体"/>
                <w:color w:val="000000"/>
                <w:kern w:val="0"/>
                <w:sz w:val="20"/>
                <w:szCs w:val="22"/>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13"/>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jc w:val="left"/>
              <w:rPr>
                <w:rFonts w:ascii="楷体" w:hAnsi="楷体" w:eastAsia="楷体" w:cs="宋体"/>
                <w:color w:val="000000"/>
                <w:kern w:val="0"/>
                <w:sz w:val="20"/>
                <w:szCs w:val="22"/>
              </w:rPr>
            </w:pPr>
            <w:r>
              <w:rPr>
                <w:rFonts w:hint="eastAsia" w:ascii="楷体" w:hAnsi="楷体" w:eastAsia="楷体" w:cs="宋体"/>
                <w:color w:val="000000"/>
                <w:kern w:val="0"/>
                <w:sz w:val="20"/>
                <w:szCs w:val="22"/>
              </w:rPr>
              <w:t>ETF申购赎回的现金差额(业务类别：</w:t>
            </w:r>
            <w:r>
              <w:rPr>
                <w:rFonts w:ascii="楷体" w:hAnsi="楷体" w:eastAsia="楷体" w:cs="宋体"/>
                <w:color w:val="000000"/>
                <w:kern w:val="0"/>
                <w:sz w:val="20"/>
                <w:szCs w:val="22"/>
              </w:rPr>
              <w:t>DEXC</w:t>
            </w:r>
            <w:r>
              <w:rPr>
                <w:rFonts w:hint="eastAsia" w:ascii="楷体" w:hAnsi="楷体" w:eastAsia="楷体" w:cs="宋体"/>
                <w:color w:val="000000"/>
                <w:kern w:val="0"/>
                <w:sz w:val="20"/>
                <w:szCs w:val="22"/>
              </w:rPr>
              <w:t>)</w:t>
            </w:r>
          </w:p>
        </w:tc>
        <w:tc>
          <w:tcPr>
            <w:tcW w:w="3402" w:type="dxa"/>
            <w:gridSpan w:val="2"/>
            <w:vAlign w:val="center"/>
          </w:tcPr>
          <w:p>
            <w:pPr>
              <w:widowControl/>
              <w:jc w:val="center"/>
              <w:rPr>
                <w:rFonts w:ascii="楷体" w:hAnsi="楷体" w:eastAsia="楷体" w:cs="宋体"/>
                <w:color w:val="000000"/>
                <w:kern w:val="0"/>
                <w:sz w:val="20"/>
                <w:szCs w:val="22"/>
              </w:rPr>
            </w:pPr>
            <w:r>
              <w:rPr>
                <w:rFonts w:hint="eastAsia" w:ascii="楷体" w:hAnsi="楷体" w:eastAsia="楷体" w:cs="宋体"/>
                <w:color w:val="000000"/>
                <w:kern w:val="0"/>
                <w:sz w:val="20"/>
                <w:szCs w:val="22"/>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13"/>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jc w:val="left"/>
              <w:rPr>
                <w:rFonts w:ascii="楷体" w:hAnsi="楷体" w:eastAsia="楷体" w:cs="宋体"/>
                <w:color w:val="000000"/>
                <w:kern w:val="0"/>
                <w:sz w:val="20"/>
                <w:szCs w:val="22"/>
              </w:rPr>
            </w:pPr>
            <w:r>
              <w:rPr>
                <w:rFonts w:hint="eastAsia" w:ascii="楷体" w:hAnsi="楷体" w:eastAsia="楷体" w:cs="宋体"/>
                <w:color w:val="000000"/>
                <w:kern w:val="0"/>
                <w:sz w:val="20"/>
                <w:szCs w:val="22"/>
              </w:rPr>
              <w:t>ETF申购赎回现金替代退补款(业务类别：</w:t>
            </w:r>
            <w:r>
              <w:rPr>
                <w:rFonts w:ascii="楷体" w:hAnsi="楷体" w:eastAsia="楷体" w:cs="宋体"/>
                <w:color w:val="000000"/>
                <w:kern w:val="0"/>
                <w:sz w:val="20"/>
                <w:szCs w:val="22"/>
              </w:rPr>
              <w:t>DETB</w:t>
            </w:r>
            <w:r>
              <w:rPr>
                <w:rFonts w:hint="eastAsia" w:ascii="楷体" w:hAnsi="楷体" w:eastAsia="楷体" w:cs="宋体"/>
                <w:color w:val="000000"/>
                <w:kern w:val="0"/>
                <w:sz w:val="20"/>
                <w:szCs w:val="22"/>
              </w:rPr>
              <w:t>)</w:t>
            </w:r>
          </w:p>
        </w:tc>
        <w:tc>
          <w:tcPr>
            <w:tcW w:w="3402" w:type="dxa"/>
            <w:gridSpan w:val="2"/>
            <w:vAlign w:val="center"/>
          </w:tcPr>
          <w:p>
            <w:pPr>
              <w:widowControl/>
              <w:jc w:val="center"/>
              <w:rPr>
                <w:rFonts w:ascii="楷体" w:hAnsi="楷体" w:eastAsia="楷体" w:cs="宋体"/>
                <w:color w:val="000000"/>
                <w:kern w:val="0"/>
                <w:sz w:val="20"/>
                <w:szCs w:val="22"/>
              </w:rPr>
            </w:pPr>
            <w:r>
              <w:rPr>
                <w:rFonts w:hint="eastAsia" w:ascii="楷体" w:hAnsi="楷体" w:eastAsia="楷体" w:cs="宋体"/>
                <w:color w:val="000000"/>
                <w:kern w:val="0"/>
                <w:sz w:val="20"/>
                <w:szCs w:val="22"/>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13"/>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jc w:val="left"/>
              <w:rPr>
                <w:rFonts w:ascii="楷体" w:hAnsi="楷体" w:eastAsia="楷体" w:cs="宋体"/>
                <w:color w:val="000000"/>
                <w:kern w:val="0"/>
                <w:sz w:val="20"/>
                <w:szCs w:val="22"/>
              </w:rPr>
            </w:pPr>
            <w:r>
              <w:rPr>
                <w:rFonts w:hint="eastAsia" w:ascii="楷体" w:hAnsi="楷体" w:eastAsia="楷体" w:cs="宋体"/>
                <w:color w:val="000000"/>
                <w:kern w:val="0"/>
                <w:sz w:val="20"/>
                <w:szCs w:val="22"/>
              </w:rPr>
              <w:t>ETF赎回现金替代-代收付(业务类别：</w:t>
            </w:r>
            <w:r>
              <w:rPr>
                <w:rFonts w:ascii="楷体" w:hAnsi="楷体" w:eastAsia="楷体" w:cs="宋体"/>
                <w:color w:val="000000"/>
                <w:kern w:val="0"/>
                <w:sz w:val="20"/>
                <w:szCs w:val="22"/>
              </w:rPr>
              <w:t>DEST</w:t>
            </w:r>
            <w:r>
              <w:rPr>
                <w:rFonts w:hint="eastAsia" w:ascii="楷体" w:hAnsi="楷体" w:eastAsia="楷体" w:cs="宋体"/>
                <w:color w:val="000000"/>
                <w:kern w:val="0"/>
                <w:sz w:val="20"/>
                <w:szCs w:val="22"/>
              </w:rPr>
              <w:t>)</w:t>
            </w:r>
          </w:p>
        </w:tc>
        <w:tc>
          <w:tcPr>
            <w:tcW w:w="3402" w:type="dxa"/>
            <w:gridSpan w:val="2"/>
            <w:vAlign w:val="center"/>
          </w:tcPr>
          <w:p>
            <w:pPr>
              <w:widowControl/>
              <w:jc w:val="center"/>
              <w:rPr>
                <w:rFonts w:ascii="楷体" w:hAnsi="楷体" w:eastAsia="楷体" w:cs="宋体"/>
                <w:color w:val="000000"/>
                <w:kern w:val="0"/>
                <w:sz w:val="20"/>
                <w:szCs w:val="22"/>
              </w:rPr>
            </w:pPr>
            <w:r>
              <w:rPr>
                <w:rFonts w:hint="eastAsia" w:ascii="楷体" w:hAnsi="楷体" w:eastAsia="楷体" w:cs="宋体"/>
                <w:color w:val="000000"/>
                <w:kern w:val="0"/>
                <w:sz w:val="20"/>
                <w:szCs w:val="22"/>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13"/>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jc w:val="left"/>
              <w:rPr>
                <w:rFonts w:ascii="楷体" w:hAnsi="楷体" w:eastAsia="楷体" w:cs="宋体"/>
                <w:color w:val="000000"/>
                <w:kern w:val="0"/>
                <w:sz w:val="20"/>
                <w:szCs w:val="22"/>
              </w:rPr>
            </w:pPr>
            <w:r>
              <w:rPr>
                <w:rFonts w:hint="eastAsia" w:ascii="楷体" w:hAnsi="楷体" w:eastAsia="楷体" w:cs="宋体"/>
                <w:color w:val="000000"/>
                <w:kern w:val="0"/>
                <w:sz w:val="20"/>
                <w:szCs w:val="22"/>
              </w:rPr>
              <w:t>跨市场ETF场内实物申购赎回业务的现金差额(业务类别：</w:t>
            </w:r>
            <w:r>
              <w:rPr>
                <w:rFonts w:ascii="楷体" w:hAnsi="楷体" w:eastAsia="楷体" w:cs="宋体"/>
                <w:color w:val="000000"/>
                <w:kern w:val="0"/>
                <w:sz w:val="20"/>
                <w:szCs w:val="22"/>
              </w:rPr>
              <w:t>DKXC</w:t>
            </w:r>
            <w:r>
              <w:rPr>
                <w:rFonts w:hint="eastAsia" w:ascii="楷体" w:hAnsi="楷体" w:eastAsia="楷体" w:cs="宋体"/>
                <w:color w:val="000000"/>
                <w:kern w:val="0"/>
                <w:sz w:val="20"/>
                <w:szCs w:val="22"/>
              </w:rPr>
              <w:t>)</w:t>
            </w:r>
          </w:p>
        </w:tc>
        <w:tc>
          <w:tcPr>
            <w:tcW w:w="3402" w:type="dxa"/>
            <w:gridSpan w:val="2"/>
          </w:tcPr>
          <w:p>
            <w:pPr>
              <w:widowControl/>
              <w:jc w:val="center"/>
              <w:rPr>
                <w:rFonts w:ascii="楷体" w:hAnsi="楷体" w:eastAsia="楷体" w:cs="宋体"/>
                <w:color w:val="000000"/>
                <w:kern w:val="0"/>
                <w:sz w:val="20"/>
                <w:szCs w:val="22"/>
              </w:rPr>
            </w:pPr>
            <w:r>
              <w:rPr>
                <w:rFonts w:hint="eastAsia" w:ascii="楷体" w:hAnsi="楷体" w:eastAsia="楷体" w:cs="宋体"/>
                <w:color w:val="000000"/>
                <w:kern w:val="0"/>
                <w:sz w:val="20"/>
                <w:szCs w:val="22"/>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13"/>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jc w:val="left"/>
              <w:rPr>
                <w:rFonts w:ascii="楷体" w:hAnsi="楷体" w:eastAsia="楷体" w:cs="宋体"/>
                <w:color w:val="000000"/>
                <w:kern w:val="0"/>
                <w:sz w:val="20"/>
                <w:szCs w:val="22"/>
              </w:rPr>
            </w:pPr>
            <w:r>
              <w:rPr>
                <w:rFonts w:hint="eastAsia" w:ascii="楷体" w:hAnsi="楷体" w:eastAsia="楷体" w:cs="宋体"/>
                <w:color w:val="000000"/>
                <w:kern w:val="0"/>
                <w:sz w:val="20"/>
                <w:szCs w:val="22"/>
              </w:rPr>
              <w:t>跨市场ETF场内实物申购赎回业务的现金替代退补款(业务类别：</w:t>
            </w:r>
            <w:r>
              <w:rPr>
                <w:rFonts w:ascii="楷体" w:hAnsi="楷体" w:eastAsia="楷体" w:cs="宋体"/>
                <w:color w:val="000000"/>
                <w:kern w:val="0"/>
                <w:sz w:val="20"/>
                <w:szCs w:val="22"/>
              </w:rPr>
              <w:t>DKTB</w:t>
            </w:r>
            <w:r>
              <w:rPr>
                <w:rFonts w:hint="eastAsia" w:ascii="楷体" w:hAnsi="楷体" w:eastAsia="楷体" w:cs="宋体"/>
                <w:color w:val="000000"/>
                <w:kern w:val="0"/>
                <w:sz w:val="20"/>
                <w:szCs w:val="22"/>
              </w:rPr>
              <w:t>)</w:t>
            </w:r>
          </w:p>
        </w:tc>
        <w:tc>
          <w:tcPr>
            <w:tcW w:w="3402" w:type="dxa"/>
            <w:gridSpan w:val="2"/>
          </w:tcPr>
          <w:p>
            <w:pPr>
              <w:widowControl/>
              <w:jc w:val="center"/>
              <w:rPr>
                <w:rFonts w:ascii="楷体" w:hAnsi="楷体" w:eastAsia="楷体" w:cs="宋体"/>
                <w:color w:val="000000"/>
                <w:kern w:val="0"/>
                <w:sz w:val="20"/>
                <w:szCs w:val="22"/>
              </w:rPr>
            </w:pPr>
            <w:r>
              <w:rPr>
                <w:rFonts w:hint="eastAsia" w:ascii="楷体" w:hAnsi="楷体" w:eastAsia="楷体" w:cs="宋体"/>
                <w:color w:val="000000"/>
                <w:kern w:val="0"/>
                <w:sz w:val="20"/>
                <w:szCs w:val="22"/>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13"/>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jc w:val="left"/>
              <w:rPr>
                <w:rFonts w:ascii="楷体" w:hAnsi="楷体" w:eastAsia="楷体" w:cs="宋体"/>
                <w:color w:val="000000"/>
                <w:kern w:val="0"/>
                <w:sz w:val="20"/>
                <w:szCs w:val="22"/>
              </w:rPr>
            </w:pPr>
            <w:r>
              <w:rPr>
                <w:rFonts w:hint="eastAsia" w:ascii="楷体" w:hAnsi="楷体" w:eastAsia="楷体" w:cs="宋体"/>
                <w:color w:val="000000"/>
                <w:kern w:val="0"/>
                <w:sz w:val="20"/>
                <w:szCs w:val="22"/>
              </w:rPr>
              <w:t>跨市场ETF场内实物赎回的现金替代-代收付(业务类别：</w:t>
            </w:r>
            <w:r>
              <w:rPr>
                <w:rFonts w:ascii="楷体" w:hAnsi="楷体" w:eastAsia="楷体" w:cs="宋体"/>
                <w:color w:val="000000"/>
                <w:kern w:val="0"/>
                <w:sz w:val="20"/>
                <w:szCs w:val="22"/>
              </w:rPr>
              <w:t>DKST</w:t>
            </w:r>
            <w:r>
              <w:rPr>
                <w:rFonts w:hint="eastAsia" w:ascii="楷体" w:hAnsi="楷体" w:eastAsia="楷体" w:cs="宋体"/>
                <w:color w:val="000000"/>
                <w:kern w:val="0"/>
                <w:sz w:val="20"/>
                <w:szCs w:val="22"/>
              </w:rPr>
              <w:t>)</w:t>
            </w:r>
          </w:p>
        </w:tc>
        <w:tc>
          <w:tcPr>
            <w:tcW w:w="3402" w:type="dxa"/>
            <w:gridSpan w:val="2"/>
          </w:tcPr>
          <w:p>
            <w:pPr>
              <w:widowControl/>
              <w:jc w:val="center"/>
              <w:rPr>
                <w:rFonts w:ascii="楷体" w:hAnsi="楷体" w:eastAsia="楷体" w:cs="宋体"/>
                <w:color w:val="000000"/>
                <w:kern w:val="0"/>
                <w:sz w:val="20"/>
                <w:szCs w:val="22"/>
              </w:rPr>
            </w:pPr>
            <w:r>
              <w:rPr>
                <w:rFonts w:hint="eastAsia" w:ascii="楷体" w:hAnsi="楷体" w:eastAsia="楷体" w:cs="宋体"/>
                <w:color w:val="000000"/>
                <w:kern w:val="0"/>
                <w:sz w:val="20"/>
                <w:szCs w:val="22"/>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13"/>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jc w:val="left"/>
              <w:rPr>
                <w:rFonts w:ascii="楷体" w:hAnsi="楷体" w:eastAsia="楷体" w:cs="宋体"/>
                <w:color w:val="000000"/>
                <w:kern w:val="0"/>
                <w:sz w:val="20"/>
                <w:szCs w:val="22"/>
              </w:rPr>
            </w:pPr>
            <w:r>
              <w:rPr>
                <w:rFonts w:hint="eastAsia" w:ascii="楷体" w:hAnsi="楷体" w:eastAsia="楷体" w:cs="宋体"/>
                <w:color w:val="000000"/>
                <w:kern w:val="0"/>
                <w:sz w:val="20"/>
                <w:szCs w:val="22"/>
              </w:rPr>
              <w:t>基金收益(业务类别：</w:t>
            </w:r>
            <w:r>
              <w:rPr>
                <w:rFonts w:ascii="楷体" w:hAnsi="楷体" w:eastAsia="楷体" w:cs="宋体"/>
                <w:color w:val="000000"/>
                <w:kern w:val="0"/>
                <w:sz w:val="20"/>
                <w:szCs w:val="22"/>
              </w:rPr>
              <w:t>DESY</w:t>
            </w:r>
            <w:r>
              <w:rPr>
                <w:rFonts w:hint="eastAsia" w:ascii="楷体" w:hAnsi="楷体" w:eastAsia="楷体" w:cs="宋体"/>
                <w:color w:val="000000"/>
                <w:kern w:val="0"/>
                <w:sz w:val="20"/>
                <w:szCs w:val="22"/>
              </w:rPr>
              <w:t>)</w:t>
            </w:r>
          </w:p>
        </w:tc>
        <w:tc>
          <w:tcPr>
            <w:tcW w:w="3402" w:type="dxa"/>
            <w:gridSpan w:val="2"/>
            <w:vAlign w:val="center"/>
          </w:tcPr>
          <w:p>
            <w:pPr>
              <w:widowControl/>
              <w:jc w:val="center"/>
              <w:rPr>
                <w:rFonts w:ascii="楷体" w:hAnsi="楷体" w:eastAsia="楷体" w:cs="宋体"/>
                <w:color w:val="000000"/>
                <w:kern w:val="0"/>
                <w:sz w:val="20"/>
                <w:szCs w:val="22"/>
              </w:rPr>
            </w:pPr>
            <w:r>
              <w:rPr>
                <w:rFonts w:hint="eastAsia" w:ascii="楷体" w:hAnsi="楷体" w:eastAsia="楷体" w:cs="宋体"/>
                <w:color w:val="000000"/>
                <w:kern w:val="0"/>
                <w:sz w:val="20"/>
                <w:szCs w:val="22"/>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13"/>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jc w:val="left"/>
              <w:rPr>
                <w:rFonts w:ascii="楷体" w:hAnsi="楷体" w:eastAsia="楷体" w:cs="宋体"/>
                <w:color w:val="000000"/>
                <w:kern w:val="0"/>
                <w:sz w:val="20"/>
                <w:szCs w:val="22"/>
              </w:rPr>
            </w:pPr>
            <w:r>
              <w:rPr>
                <w:rFonts w:hint="eastAsia" w:ascii="楷体" w:hAnsi="楷体" w:eastAsia="楷体" w:cs="宋体"/>
                <w:color w:val="000000"/>
                <w:kern w:val="0"/>
                <w:sz w:val="20"/>
                <w:szCs w:val="22"/>
              </w:rPr>
              <w:t>CDS业务保费支付(业务类别：</w:t>
            </w:r>
            <w:r>
              <w:rPr>
                <w:rFonts w:ascii="楷体" w:hAnsi="楷体" w:eastAsia="楷体" w:cs="宋体"/>
                <w:color w:val="000000"/>
                <w:kern w:val="0"/>
                <w:sz w:val="20"/>
                <w:szCs w:val="22"/>
              </w:rPr>
              <w:t>DCBF</w:t>
            </w:r>
            <w:r>
              <w:rPr>
                <w:rFonts w:hint="eastAsia" w:ascii="楷体" w:hAnsi="楷体" w:eastAsia="楷体" w:cs="宋体"/>
                <w:color w:val="000000"/>
                <w:kern w:val="0"/>
                <w:sz w:val="20"/>
                <w:szCs w:val="22"/>
              </w:rPr>
              <w:t>)</w:t>
            </w:r>
          </w:p>
        </w:tc>
        <w:tc>
          <w:tcPr>
            <w:tcW w:w="3402" w:type="dxa"/>
            <w:gridSpan w:val="2"/>
            <w:vAlign w:val="center"/>
          </w:tcPr>
          <w:p>
            <w:pPr>
              <w:widowControl/>
              <w:jc w:val="center"/>
              <w:rPr>
                <w:rFonts w:ascii="楷体" w:hAnsi="楷体" w:eastAsia="楷体" w:cs="宋体"/>
                <w:color w:val="000000"/>
                <w:kern w:val="0"/>
                <w:sz w:val="20"/>
                <w:szCs w:val="22"/>
              </w:rPr>
            </w:pPr>
            <w:r>
              <w:rPr>
                <w:rFonts w:hint="eastAsia" w:ascii="楷体" w:hAnsi="楷体" w:eastAsia="楷体" w:cs="宋体"/>
                <w:color w:val="000000"/>
                <w:kern w:val="0"/>
                <w:sz w:val="20"/>
                <w:szCs w:val="22"/>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13"/>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jc w:val="left"/>
              <w:rPr>
                <w:rFonts w:ascii="楷体" w:hAnsi="楷体" w:eastAsia="楷体" w:cs="宋体"/>
                <w:color w:val="000000"/>
                <w:kern w:val="0"/>
                <w:sz w:val="20"/>
                <w:szCs w:val="22"/>
              </w:rPr>
            </w:pPr>
            <w:r>
              <w:rPr>
                <w:rFonts w:hint="eastAsia" w:ascii="楷体" w:hAnsi="楷体" w:eastAsia="楷体" w:cs="宋体"/>
                <w:color w:val="000000"/>
                <w:kern w:val="0"/>
                <w:sz w:val="20"/>
                <w:szCs w:val="22"/>
              </w:rPr>
              <w:t>D</w:t>
            </w:r>
            <w:r>
              <w:rPr>
                <w:rFonts w:ascii="楷体" w:hAnsi="楷体" w:eastAsia="楷体" w:cs="宋体"/>
                <w:color w:val="000000"/>
                <w:kern w:val="0"/>
                <w:sz w:val="20"/>
                <w:szCs w:val="22"/>
              </w:rPr>
              <w:t>-</w:t>
            </w:r>
            <w:r>
              <w:rPr>
                <w:rFonts w:hint="eastAsia" w:ascii="楷体" w:hAnsi="楷体" w:eastAsia="楷体" w:cs="宋体"/>
                <w:color w:val="000000"/>
                <w:kern w:val="0"/>
                <w:sz w:val="20"/>
                <w:szCs w:val="22"/>
              </w:rPr>
              <w:t>COM业务终端相关功能</w:t>
            </w:r>
          </w:p>
        </w:tc>
        <w:tc>
          <w:tcPr>
            <w:tcW w:w="3402" w:type="dxa"/>
            <w:gridSpan w:val="2"/>
            <w:vAlign w:val="center"/>
          </w:tcPr>
          <w:p>
            <w:pPr>
              <w:widowControl/>
              <w:jc w:val="center"/>
              <w:rPr>
                <w:rFonts w:ascii="楷体" w:hAnsi="楷体" w:eastAsia="楷体" w:cs="宋体"/>
                <w:color w:val="000000"/>
                <w:kern w:val="0"/>
                <w:sz w:val="20"/>
                <w:szCs w:val="22"/>
              </w:rPr>
            </w:pPr>
            <w:r>
              <w:rPr>
                <w:rFonts w:hint="eastAsia" w:ascii="楷体" w:hAnsi="楷体" w:eastAsia="楷体" w:cs="宋体"/>
                <w:color w:val="000000"/>
                <w:kern w:val="0"/>
                <w:sz w:val="20"/>
                <w:szCs w:val="22"/>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10343" w:type="dxa"/>
            <w:gridSpan w:val="6"/>
            <w:shd w:val="clear" w:color="auto" w:fill="A4A4A4" w:themeFill="background1" w:themeFillShade="A5"/>
            <w:vAlign w:val="center"/>
          </w:tcPr>
          <w:p>
            <w:pPr>
              <w:widowControl/>
              <w:jc w:val="center"/>
              <w:rPr>
                <w:rFonts w:ascii="楷体" w:hAnsi="楷体" w:eastAsia="楷体" w:cs="宋体"/>
                <w:b/>
                <w:kern w:val="0"/>
                <w:sz w:val="20"/>
                <w:szCs w:val="22"/>
              </w:rPr>
            </w:pPr>
            <w:r>
              <w:rPr>
                <w:rFonts w:hint="eastAsia" w:ascii="楷体" w:hAnsi="楷体" w:eastAsia="楷体" w:cs="宋体"/>
                <w:b/>
                <w:kern w:val="0"/>
                <w:sz w:val="20"/>
                <w:szCs w:val="22"/>
              </w:rPr>
              <w:t>港股交易印花税调整测试反馈项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14"/>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楷体" w:hAnsi="楷体" w:eastAsia="楷体" w:cs="宋体"/>
                <w:color w:val="000000"/>
                <w:kern w:val="0"/>
                <w:sz w:val="20"/>
                <w:szCs w:val="22"/>
              </w:rPr>
            </w:pPr>
            <w:r>
              <w:rPr>
                <w:rFonts w:hint="eastAsia" w:ascii="楷体" w:hAnsi="楷体" w:eastAsia="楷体" w:cs="宋体"/>
                <w:color w:val="000000"/>
                <w:kern w:val="0"/>
                <w:sz w:val="20"/>
                <w:szCs w:val="22"/>
              </w:rPr>
              <w:t>港股通交易委托申报及成交回报</w:t>
            </w:r>
          </w:p>
        </w:tc>
        <w:tc>
          <w:tcPr>
            <w:tcW w:w="3402" w:type="dxa"/>
            <w:gridSpan w:val="2"/>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14"/>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楷体" w:hAnsi="楷体" w:eastAsia="楷体" w:cs="宋体"/>
                <w:color w:val="000000"/>
                <w:kern w:val="0"/>
                <w:sz w:val="20"/>
                <w:szCs w:val="22"/>
              </w:rPr>
            </w:pPr>
            <w:r>
              <w:rPr>
                <w:rFonts w:hint="eastAsia" w:ascii="楷体" w:hAnsi="楷体" w:eastAsia="楷体" w:cs="宋体"/>
                <w:color w:val="000000"/>
                <w:kern w:val="0"/>
                <w:sz w:val="20"/>
                <w:szCs w:val="22"/>
              </w:rPr>
              <w:t>H股“全流通”交易委托委托申报及成交回报</w:t>
            </w:r>
          </w:p>
        </w:tc>
        <w:tc>
          <w:tcPr>
            <w:tcW w:w="3402" w:type="dxa"/>
            <w:gridSpan w:val="2"/>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06" w:hRule="atLeast"/>
          <w:jc w:val="center"/>
        </w:trPr>
        <w:tc>
          <w:tcPr>
            <w:tcW w:w="452" w:type="dxa"/>
            <w:shd w:val="clear" w:color="auto" w:fill="auto"/>
          </w:tcPr>
          <w:p>
            <w:pPr>
              <w:pStyle w:val="72"/>
              <w:widowControl/>
              <w:numPr>
                <w:ilvl w:val="0"/>
                <w:numId w:val="14"/>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楷体" w:hAnsi="楷体" w:eastAsia="楷体" w:cs="宋体"/>
                <w:color w:val="000000"/>
                <w:kern w:val="0"/>
                <w:sz w:val="20"/>
                <w:szCs w:val="22"/>
              </w:rPr>
            </w:pPr>
            <w:r>
              <w:rPr>
                <w:rFonts w:hint="eastAsia" w:ascii="楷体" w:hAnsi="楷体" w:eastAsia="楷体" w:cs="宋体"/>
                <w:color w:val="000000"/>
                <w:kern w:val="0"/>
                <w:sz w:val="20"/>
                <w:szCs w:val="22"/>
              </w:rPr>
              <w:t>B转H股交易委托委托申报及成交回报</w:t>
            </w:r>
          </w:p>
        </w:tc>
        <w:tc>
          <w:tcPr>
            <w:tcW w:w="3402" w:type="dxa"/>
            <w:gridSpan w:val="2"/>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14"/>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楷体" w:hAnsi="楷体" w:eastAsia="楷体" w:cs="宋体"/>
                <w:color w:val="000000"/>
                <w:kern w:val="0"/>
                <w:sz w:val="20"/>
                <w:szCs w:val="22"/>
              </w:rPr>
            </w:pPr>
            <w:r>
              <w:rPr>
                <w:rFonts w:hint="eastAsia" w:ascii="楷体" w:hAnsi="楷体" w:eastAsia="楷体" w:cs="宋体"/>
                <w:color w:val="000000"/>
                <w:kern w:val="0"/>
                <w:sz w:val="20"/>
                <w:szCs w:val="22"/>
              </w:rPr>
              <w:t>港股通成交单据文件的接收与处理</w:t>
            </w:r>
          </w:p>
          <w:p>
            <w:pPr>
              <w:widowControl/>
              <w:jc w:val="left"/>
              <w:rPr>
                <w:rFonts w:ascii="楷体" w:hAnsi="楷体" w:eastAsia="楷体" w:cs="宋体"/>
                <w:color w:val="000000"/>
                <w:kern w:val="0"/>
                <w:sz w:val="20"/>
                <w:szCs w:val="22"/>
              </w:rPr>
            </w:pPr>
            <w:r>
              <w:rPr>
                <w:rFonts w:hint="eastAsia" w:ascii="楷体" w:hAnsi="楷体" w:eastAsia="楷体" w:cs="宋体"/>
                <w:color w:val="000000"/>
                <w:kern w:val="0"/>
                <w:sz w:val="20"/>
                <w:szCs w:val="22"/>
              </w:rPr>
              <w:t>(hkexecution_tax_memberID_yyyymmdd.tsv)</w:t>
            </w:r>
          </w:p>
        </w:tc>
        <w:tc>
          <w:tcPr>
            <w:tcW w:w="3402" w:type="dxa"/>
            <w:gridSpan w:val="2"/>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14"/>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楷体" w:hAnsi="楷体" w:eastAsia="楷体" w:cs="宋体"/>
                <w:color w:val="000000"/>
                <w:kern w:val="0"/>
                <w:sz w:val="20"/>
                <w:szCs w:val="22"/>
              </w:rPr>
            </w:pPr>
            <w:r>
              <w:rPr>
                <w:rFonts w:hint="eastAsia" w:ascii="楷体" w:hAnsi="楷体" w:eastAsia="楷体" w:cs="宋体"/>
                <w:color w:val="000000"/>
                <w:kern w:val="0"/>
                <w:sz w:val="20"/>
                <w:szCs w:val="22"/>
              </w:rPr>
              <w:t>港股通交易印花税的清算交收</w:t>
            </w:r>
          </w:p>
        </w:tc>
        <w:tc>
          <w:tcPr>
            <w:tcW w:w="3402" w:type="dxa"/>
            <w:gridSpan w:val="2"/>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14"/>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楷体" w:hAnsi="楷体" w:eastAsia="楷体" w:cs="宋体"/>
                <w:color w:val="000000"/>
                <w:kern w:val="0"/>
                <w:sz w:val="20"/>
                <w:szCs w:val="22"/>
              </w:rPr>
            </w:pPr>
            <w:r>
              <w:rPr>
                <w:rFonts w:hint="eastAsia" w:ascii="楷体" w:hAnsi="楷体" w:eastAsia="楷体" w:cs="宋体"/>
                <w:color w:val="000000"/>
                <w:kern w:val="0"/>
                <w:sz w:val="20"/>
                <w:szCs w:val="22"/>
              </w:rPr>
              <w:t>H股“全流通”交易印花税的清算交收</w:t>
            </w:r>
          </w:p>
        </w:tc>
        <w:tc>
          <w:tcPr>
            <w:tcW w:w="3402" w:type="dxa"/>
            <w:gridSpan w:val="2"/>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14"/>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楷体" w:hAnsi="楷体" w:eastAsia="楷体" w:cs="宋体"/>
                <w:color w:val="000000"/>
                <w:kern w:val="0"/>
                <w:sz w:val="20"/>
                <w:szCs w:val="22"/>
              </w:rPr>
            </w:pPr>
            <w:r>
              <w:rPr>
                <w:rFonts w:hint="eastAsia" w:ascii="楷体" w:hAnsi="楷体" w:eastAsia="楷体" w:cs="宋体"/>
                <w:color w:val="000000"/>
                <w:kern w:val="0"/>
                <w:sz w:val="20"/>
                <w:szCs w:val="22"/>
              </w:rPr>
              <w:t>B转H股交易印花税的清算交收</w:t>
            </w:r>
          </w:p>
        </w:tc>
        <w:tc>
          <w:tcPr>
            <w:tcW w:w="3402" w:type="dxa"/>
            <w:gridSpan w:val="2"/>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ascii="宋体" w:hAnsi="宋体" w:cs="宋体"/>
                <w:sz w:val="22"/>
              </w:rPr>
            </w:pPr>
            <w:r>
              <w:rPr>
                <w:rFonts w:hint="eastAsia" w:ascii="楷体" w:hAnsi="楷体" w:eastAsia="楷体" w:cs="宋体"/>
                <w:b/>
                <w:kern w:val="0"/>
                <w:sz w:val="20"/>
                <w:szCs w:val="22"/>
              </w:rPr>
              <w:t>其他测试反馈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15"/>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jc w:val="left"/>
              <w:rPr>
                <w:rFonts w:ascii="宋体" w:hAnsi="宋体"/>
                <w:sz w:val="20"/>
              </w:rPr>
            </w:pPr>
            <w:r>
              <w:rPr>
                <w:rFonts w:hint="eastAsia" w:hAnsi="楷体"/>
                <w:sz w:val="20"/>
              </w:rPr>
              <w:t>早间下发的静态交易参考信息文件（重点检查PCF）的接收和处理</w:t>
            </w:r>
          </w:p>
        </w:tc>
        <w:tc>
          <w:tcPr>
            <w:tcW w:w="3402" w:type="dxa"/>
            <w:gridSpan w:val="2"/>
            <w:vAlign w:val="center"/>
          </w:tcPr>
          <w:p>
            <w:pPr>
              <w:widowControl/>
              <w:jc w:val="left"/>
              <w:rPr>
                <w:rFonts w:ascii="宋体" w:hAnsi="宋体" w:cs="宋体"/>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15"/>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宋体" w:hAnsi="宋体"/>
                <w:sz w:val="20"/>
              </w:rPr>
            </w:pPr>
            <w:r>
              <w:rPr>
                <w:rFonts w:hint="eastAsia" w:ascii="楷体" w:hAnsi="楷体" w:eastAsia="楷体" w:cs="宋体"/>
                <w:color w:val="000000"/>
                <w:kern w:val="0"/>
                <w:sz w:val="20"/>
              </w:rPr>
              <w:t>LEVEL1行情接收与展示</w:t>
            </w:r>
          </w:p>
        </w:tc>
        <w:tc>
          <w:tcPr>
            <w:tcW w:w="3402" w:type="dxa"/>
            <w:gridSpan w:val="2"/>
            <w:vAlign w:val="center"/>
          </w:tcPr>
          <w:p>
            <w:pPr>
              <w:widowControl/>
              <w:jc w:val="left"/>
              <w:rPr>
                <w:rFonts w:ascii="宋体" w:hAnsi="宋体" w:cs="宋体"/>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15"/>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宋体" w:hAnsi="宋体"/>
                <w:sz w:val="20"/>
              </w:rPr>
            </w:pPr>
            <w:r>
              <w:rPr>
                <w:rFonts w:hint="eastAsia" w:ascii="楷体" w:hAnsi="楷体" w:eastAsia="楷体" w:cs="宋体"/>
                <w:color w:val="000000"/>
                <w:kern w:val="0"/>
                <w:sz w:val="20"/>
              </w:rPr>
              <w:t>LEVEL2-1行情接收与展示</w:t>
            </w:r>
          </w:p>
        </w:tc>
        <w:tc>
          <w:tcPr>
            <w:tcW w:w="3402" w:type="dxa"/>
            <w:gridSpan w:val="2"/>
            <w:vAlign w:val="center"/>
          </w:tcPr>
          <w:p>
            <w:pPr>
              <w:widowControl/>
              <w:jc w:val="left"/>
              <w:rPr>
                <w:rFonts w:ascii="宋体" w:hAnsi="宋体" w:cs="宋体"/>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15"/>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宋体" w:hAnsi="宋体"/>
                <w:sz w:val="20"/>
              </w:rPr>
            </w:pPr>
            <w:r>
              <w:rPr>
                <w:rFonts w:hint="eastAsia" w:ascii="楷体" w:hAnsi="楷体" w:eastAsia="楷体" w:cs="宋体"/>
                <w:color w:val="000000"/>
                <w:kern w:val="0"/>
                <w:sz w:val="20"/>
              </w:rPr>
              <w:t>LEVEL2-2行情接收与展示</w:t>
            </w:r>
          </w:p>
        </w:tc>
        <w:tc>
          <w:tcPr>
            <w:tcW w:w="3402" w:type="dxa"/>
            <w:gridSpan w:val="2"/>
            <w:vAlign w:val="center"/>
          </w:tcPr>
          <w:p>
            <w:pPr>
              <w:widowControl/>
              <w:jc w:val="left"/>
              <w:rPr>
                <w:rFonts w:ascii="宋体" w:hAnsi="宋体" w:cs="宋体"/>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15"/>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宋体" w:hAnsi="宋体"/>
                <w:sz w:val="20"/>
              </w:rPr>
            </w:pPr>
            <w:r>
              <w:rPr>
                <w:rFonts w:hint="eastAsia" w:ascii="楷体" w:hAnsi="楷体" w:eastAsia="楷体" w:cs="宋体"/>
                <w:color w:val="000000"/>
                <w:kern w:val="0"/>
                <w:sz w:val="20"/>
              </w:rPr>
              <w:t>现货证券收盘行情cashsecurityclosemd的接收与处理</w:t>
            </w:r>
          </w:p>
        </w:tc>
        <w:tc>
          <w:tcPr>
            <w:tcW w:w="3402" w:type="dxa"/>
            <w:gridSpan w:val="2"/>
            <w:vAlign w:val="center"/>
          </w:tcPr>
          <w:p>
            <w:pPr>
              <w:widowControl/>
              <w:jc w:val="left"/>
              <w:rPr>
                <w:rFonts w:ascii="宋体" w:hAnsi="宋体" w:cs="宋体"/>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15"/>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宋体" w:hAnsi="宋体"/>
                <w:sz w:val="20"/>
              </w:rPr>
            </w:pPr>
            <w:r>
              <w:rPr>
                <w:rFonts w:hint="eastAsia" w:ascii="楷体" w:hAnsi="楷体" w:eastAsia="楷体" w:cs="宋体"/>
                <w:color w:val="000000"/>
                <w:kern w:val="0"/>
                <w:sz w:val="20"/>
              </w:rPr>
              <w:t>现货集中竞价交易平台相关业务的委托申报与成交回报</w:t>
            </w:r>
          </w:p>
        </w:tc>
        <w:tc>
          <w:tcPr>
            <w:tcW w:w="3402" w:type="dxa"/>
            <w:gridSpan w:val="2"/>
            <w:vAlign w:val="center"/>
          </w:tcPr>
          <w:p>
            <w:pPr>
              <w:widowControl/>
              <w:jc w:val="left"/>
              <w:rPr>
                <w:rFonts w:ascii="宋体" w:hAnsi="宋体" w:cs="宋体"/>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15"/>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jc w:val="left"/>
              <w:rPr>
                <w:rFonts w:ascii="宋体" w:hAnsi="宋体"/>
                <w:sz w:val="20"/>
              </w:rPr>
            </w:pPr>
            <w:r>
              <w:rPr>
                <w:rFonts w:hint="eastAsia" w:hAnsi="楷体"/>
                <w:sz w:val="20"/>
              </w:rPr>
              <w:t>综合金融服务平台相关业务的委托申报与成交回报</w:t>
            </w:r>
          </w:p>
        </w:tc>
        <w:tc>
          <w:tcPr>
            <w:tcW w:w="3402" w:type="dxa"/>
            <w:gridSpan w:val="2"/>
            <w:vAlign w:val="center"/>
          </w:tcPr>
          <w:p>
            <w:pPr>
              <w:widowControl/>
              <w:jc w:val="left"/>
              <w:rPr>
                <w:rFonts w:ascii="宋体" w:hAnsi="宋体" w:cs="宋体"/>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15"/>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宋体" w:hAnsi="宋体"/>
                <w:sz w:val="20"/>
              </w:rPr>
            </w:pPr>
            <w:r>
              <w:rPr>
                <w:rFonts w:hint="eastAsia" w:ascii="楷体" w:hAnsi="楷体" w:eastAsia="楷体" w:cs="宋体"/>
                <w:color w:val="000000"/>
                <w:kern w:val="0"/>
                <w:sz w:val="20"/>
              </w:rPr>
              <w:t>非交易平台相关业务的委托申报与成交回报</w:t>
            </w:r>
          </w:p>
        </w:tc>
        <w:tc>
          <w:tcPr>
            <w:tcW w:w="3402" w:type="dxa"/>
            <w:gridSpan w:val="2"/>
            <w:vAlign w:val="center"/>
          </w:tcPr>
          <w:p>
            <w:pPr>
              <w:widowControl/>
              <w:jc w:val="left"/>
              <w:rPr>
                <w:rFonts w:ascii="宋体" w:hAnsi="宋体" w:cs="宋体"/>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15"/>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jc w:val="left"/>
              <w:rPr>
                <w:rFonts w:ascii="宋体" w:hAnsi="宋体"/>
                <w:sz w:val="20"/>
              </w:rPr>
            </w:pPr>
            <w:r>
              <w:rPr>
                <w:rFonts w:hint="eastAsia" w:hAnsi="楷体"/>
                <w:sz w:val="20"/>
              </w:rPr>
              <w:t>国际市场互联平台相关业务的委托申报与成交回报</w:t>
            </w:r>
          </w:p>
        </w:tc>
        <w:tc>
          <w:tcPr>
            <w:tcW w:w="3402" w:type="dxa"/>
            <w:gridSpan w:val="2"/>
            <w:vAlign w:val="center"/>
          </w:tcPr>
          <w:p>
            <w:pPr>
              <w:widowControl/>
              <w:jc w:val="left"/>
              <w:rPr>
                <w:rFonts w:ascii="宋体" w:hAnsi="宋体" w:cs="宋体"/>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15"/>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jc w:val="left"/>
              <w:rPr>
                <w:rFonts w:hAnsi="楷体"/>
                <w:sz w:val="20"/>
              </w:rPr>
            </w:pPr>
            <w:r>
              <w:rPr>
                <w:rFonts w:hint="eastAsia" w:hAnsi="楷体"/>
                <w:sz w:val="20"/>
              </w:rPr>
              <w:t>固定收益交易平台相关业务的委托申报与成交回报</w:t>
            </w:r>
          </w:p>
        </w:tc>
        <w:tc>
          <w:tcPr>
            <w:tcW w:w="3402" w:type="dxa"/>
            <w:gridSpan w:val="2"/>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15"/>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宋体" w:hAnsi="宋体"/>
                <w:sz w:val="20"/>
              </w:rPr>
            </w:pPr>
            <w:r>
              <w:rPr>
                <w:rFonts w:hint="eastAsia" w:ascii="楷体" w:hAnsi="楷体" w:eastAsia="楷体" w:cs="宋体"/>
                <w:color w:val="000000"/>
                <w:kern w:val="0"/>
                <w:sz w:val="20"/>
              </w:rPr>
              <w:t>接收并处理现货集中竞价交易平台成交汇总文件</w:t>
            </w:r>
          </w:p>
        </w:tc>
        <w:tc>
          <w:tcPr>
            <w:tcW w:w="3402" w:type="dxa"/>
            <w:gridSpan w:val="2"/>
            <w:vAlign w:val="center"/>
          </w:tcPr>
          <w:p>
            <w:pPr>
              <w:widowControl/>
              <w:jc w:val="left"/>
              <w:rPr>
                <w:rFonts w:ascii="宋体" w:hAnsi="宋体" w:cs="宋体"/>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15"/>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宋体" w:hAnsi="宋体"/>
                <w:sz w:val="20"/>
              </w:rPr>
            </w:pPr>
            <w:r>
              <w:rPr>
                <w:rFonts w:hint="eastAsia" w:ascii="楷体" w:hAnsi="楷体" w:eastAsia="楷体" w:cs="宋体"/>
                <w:color w:val="000000"/>
                <w:kern w:val="0"/>
                <w:sz w:val="20"/>
              </w:rPr>
              <w:t>接收并处理综合金融服务平台成交汇总文件</w:t>
            </w:r>
          </w:p>
        </w:tc>
        <w:tc>
          <w:tcPr>
            <w:tcW w:w="3402" w:type="dxa"/>
            <w:gridSpan w:val="2"/>
            <w:vAlign w:val="center"/>
          </w:tcPr>
          <w:p>
            <w:pPr>
              <w:widowControl/>
              <w:jc w:val="left"/>
              <w:rPr>
                <w:rFonts w:ascii="宋体" w:hAnsi="宋体" w:cs="宋体"/>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15"/>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宋体" w:hAnsi="宋体"/>
                <w:sz w:val="20"/>
              </w:rPr>
            </w:pPr>
            <w:r>
              <w:rPr>
                <w:rFonts w:hint="eastAsia" w:ascii="楷体" w:hAnsi="楷体" w:eastAsia="楷体" w:cs="宋体"/>
                <w:color w:val="000000"/>
                <w:kern w:val="0"/>
                <w:sz w:val="20"/>
              </w:rPr>
              <w:t>接收并处理非交易处理平台成交汇总文件</w:t>
            </w:r>
          </w:p>
        </w:tc>
        <w:tc>
          <w:tcPr>
            <w:tcW w:w="3402" w:type="dxa"/>
            <w:gridSpan w:val="2"/>
            <w:vAlign w:val="center"/>
          </w:tcPr>
          <w:p>
            <w:pPr>
              <w:widowControl/>
              <w:jc w:val="left"/>
              <w:rPr>
                <w:rFonts w:ascii="宋体" w:hAnsi="宋体" w:cs="宋体"/>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15"/>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宋体" w:hAnsi="宋体"/>
                <w:sz w:val="20"/>
              </w:rPr>
            </w:pPr>
            <w:r>
              <w:rPr>
                <w:rFonts w:hint="eastAsia" w:ascii="楷体" w:hAnsi="楷体" w:eastAsia="楷体" w:cs="宋体"/>
                <w:color w:val="000000"/>
                <w:kern w:val="0"/>
                <w:sz w:val="20"/>
              </w:rPr>
              <w:t>接收并处理衍生品集中竞价交易平台成交汇总文件</w:t>
            </w:r>
          </w:p>
        </w:tc>
        <w:tc>
          <w:tcPr>
            <w:tcW w:w="3402" w:type="dxa"/>
            <w:gridSpan w:val="2"/>
            <w:vAlign w:val="center"/>
          </w:tcPr>
          <w:p>
            <w:pPr>
              <w:widowControl/>
              <w:jc w:val="left"/>
              <w:rPr>
                <w:rFonts w:ascii="宋体" w:hAnsi="宋体" w:cs="宋体"/>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15"/>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宋体" w:hAnsi="宋体"/>
                <w:sz w:val="20"/>
              </w:rPr>
            </w:pPr>
            <w:r>
              <w:rPr>
                <w:rFonts w:hint="eastAsia" w:ascii="楷体" w:hAnsi="楷体" w:eastAsia="楷体" w:cs="宋体"/>
                <w:color w:val="000000"/>
                <w:kern w:val="0"/>
                <w:sz w:val="20"/>
              </w:rPr>
              <w:t>接收并处理国际市场互联平台成交汇总文件</w:t>
            </w:r>
          </w:p>
        </w:tc>
        <w:tc>
          <w:tcPr>
            <w:tcW w:w="3402" w:type="dxa"/>
            <w:gridSpan w:val="2"/>
            <w:vAlign w:val="center"/>
          </w:tcPr>
          <w:p>
            <w:pPr>
              <w:widowControl/>
              <w:jc w:val="left"/>
              <w:rPr>
                <w:rFonts w:ascii="宋体" w:hAnsi="宋体" w:cs="宋体"/>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15"/>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hAnsi="楷体"/>
                <w:sz w:val="20"/>
              </w:rPr>
              <w:t>接收并处理固定收益交易平台</w:t>
            </w:r>
            <w:r>
              <w:rPr>
                <w:rFonts w:hint="eastAsia" w:ascii="楷体" w:hAnsi="楷体" w:eastAsia="楷体" w:cs="宋体"/>
                <w:color w:val="000000"/>
                <w:kern w:val="0"/>
                <w:sz w:val="20"/>
              </w:rPr>
              <w:t>成交汇总文件</w:t>
            </w:r>
          </w:p>
        </w:tc>
        <w:tc>
          <w:tcPr>
            <w:tcW w:w="3402" w:type="dxa"/>
            <w:gridSpan w:val="2"/>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 w:cs="宋体"/>
                <w:b/>
                <w:kern w:val="0"/>
                <w:sz w:val="20"/>
              </w:rPr>
              <w:t>其他反馈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10" w:hRule="atLeast"/>
          <w:jc w:val="center"/>
        </w:trPr>
        <w:tc>
          <w:tcPr>
            <w:tcW w:w="10343" w:type="dxa"/>
            <w:gridSpan w:val="6"/>
            <w:shd w:val="clear" w:color="auto" w:fill="auto"/>
            <w:vAlign w:val="center"/>
          </w:tcPr>
          <w:p>
            <w:pPr>
              <w:widowControl/>
              <w:rPr>
                <w:rFonts w:hAnsi="楷体"/>
                <w:sz w:val="21"/>
                <w:szCs w:val="21"/>
              </w:rPr>
            </w:pPr>
            <w:r>
              <w:rPr>
                <w:rFonts w:hint="eastAsia" w:hAnsi="楷体"/>
                <w:sz w:val="21"/>
                <w:szCs w:val="21"/>
              </w:rPr>
              <w:t>以上反馈项有“异常”的，务必说明具体情况：（不超过500汉字，需详细说明涉及哪些业务系统及各系统的具体症状）</w:t>
            </w:r>
          </w:p>
          <w:p>
            <w:pPr>
              <w:widowControl/>
              <w:rPr>
                <w:rFonts w:hAnsi="楷体"/>
                <w:sz w:val="21"/>
                <w:szCs w:val="21"/>
              </w:rPr>
            </w:pPr>
          </w:p>
          <w:p>
            <w:pPr>
              <w:widowControl/>
              <w:rPr>
                <w:rFonts w:hAnsi="楷体"/>
                <w:sz w:val="21"/>
                <w:szCs w:val="21"/>
              </w:rPr>
            </w:pPr>
          </w:p>
          <w:p>
            <w:pPr>
              <w:widowControl/>
              <w:rPr>
                <w:rFonts w:hAnsi="楷体"/>
                <w:sz w:val="21"/>
                <w:szCs w:val="21"/>
              </w:rPr>
            </w:pPr>
          </w:p>
          <w:p>
            <w:pPr>
              <w:widowControl/>
              <w:rPr>
                <w:rFonts w:hAnsi="楷体"/>
                <w:sz w:val="21"/>
                <w:szCs w:val="21"/>
              </w:rPr>
            </w:pPr>
          </w:p>
          <w:p>
            <w:pPr>
              <w:widowControl/>
              <w:rPr>
                <w:rFonts w:hAnsi="楷体"/>
                <w:sz w:val="21"/>
                <w:szCs w:val="21"/>
                <w:u w:val="single"/>
              </w:rPr>
            </w:pPr>
          </w:p>
        </w:tc>
      </w:tr>
    </w:tbl>
    <w:p>
      <w:pPr>
        <w:jc w:val="left"/>
        <w:rPr>
          <w:b/>
          <w:color w:val="000000"/>
          <w:sz w:val="32"/>
          <w:szCs w:val="28"/>
        </w:rPr>
      </w:pPr>
    </w:p>
    <w:p/>
    <w:p/>
    <w:p/>
    <w:p/>
    <w:p/>
    <w:p/>
    <w:p/>
    <w:p/>
    <w:sectPr>
      <w:type w:val="continuous"/>
      <w:pgSz w:w="11907" w:h="16840"/>
      <w:pgMar w:top="1588" w:right="1701" w:bottom="1588" w:left="1701" w:header="851" w:footer="851" w:gutter="0"/>
      <w:cols w:space="720"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仿宋_GB2312">
    <w:panose1 w:val="02010609030101010101"/>
    <w:charset w:val="86"/>
    <w:family w:val="modern"/>
    <w:pitch w:val="default"/>
    <w:sig w:usb0="00000001" w:usb1="080E0000" w:usb2="00000000" w:usb3="00000000" w:csb0="00040000" w:csb1="00000000"/>
  </w:font>
  <w:font w:name="CG Times">
    <w:altName w:val="Times New Roman"/>
    <w:panose1 w:val="00000000000000000000"/>
    <w:charset w:val="00"/>
    <w:family w:val="roman"/>
    <w:pitch w:val="default"/>
    <w:sig w:usb0="00000000" w:usb1="00000000" w:usb2="00000000" w:usb3="00000000" w:csb0="00000093" w:csb1="00000000"/>
  </w:font>
  <w:font w:name="隶书">
    <w:panose1 w:val="0201050906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DF5FE2F"/>
    <w:multiLevelType w:val="singleLevel"/>
    <w:tmpl w:val="9DF5FE2F"/>
    <w:lvl w:ilvl="0" w:tentative="0">
      <w:start w:val="1"/>
      <w:numFmt w:val="decimal"/>
      <w:lvlText w:val="%1)"/>
      <w:lvlJc w:val="left"/>
      <w:pPr>
        <w:ind w:left="1475" w:hanging="425"/>
      </w:pPr>
      <w:rPr>
        <w:rFonts w:hint="default"/>
      </w:rPr>
    </w:lvl>
  </w:abstractNum>
  <w:abstractNum w:abstractNumId="1">
    <w:nsid w:val="BB9972F0"/>
    <w:multiLevelType w:val="singleLevel"/>
    <w:tmpl w:val="BB9972F0"/>
    <w:lvl w:ilvl="0" w:tentative="0">
      <w:start w:val="1"/>
      <w:numFmt w:val="decimal"/>
      <w:lvlText w:val="%1)"/>
      <w:lvlJc w:val="left"/>
      <w:pPr>
        <w:ind w:left="1475" w:hanging="425"/>
      </w:pPr>
      <w:rPr>
        <w:rFonts w:hint="default"/>
      </w:rPr>
    </w:lvl>
  </w:abstractNum>
  <w:abstractNum w:abstractNumId="2">
    <w:nsid w:val="BB9EA9BC"/>
    <w:multiLevelType w:val="multilevel"/>
    <w:tmpl w:val="BB9EA9B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CEC77630"/>
    <w:multiLevelType w:val="multilevel"/>
    <w:tmpl w:val="CEC7763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6C5649B"/>
    <w:multiLevelType w:val="multilevel"/>
    <w:tmpl w:val="06C5649B"/>
    <w:lvl w:ilvl="0" w:tentative="0">
      <w:start w:val="1"/>
      <w:numFmt w:val="decimal"/>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5">
    <w:nsid w:val="0C4E4A4D"/>
    <w:multiLevelType w:val="multilevel"/>
    <w:tmpl w:val="0C4E4A4D"/>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7"/>
      <w:lvlText w:val="%1.%2.%3.%4.%5"/>
      <w:lvlJc w:val="left"/>
      <w:pPr>
        <w:tabs>
          <w:tab w:val="left" w:pos="1008"/>
        </w:tabs>
        <w:ind w:left="1008" w:hanging="1008"/>
      </w:pPr>
    </w:lvl>
    <w:lvl w:ilvl="5" w:tentative="0">
      <w:start w:val="1"/>
      <w:numFmt w:val="decimal"/>
      <w:pStyle w:val="8"/>
      <w:lvlText w:val="%1.%2.%3.%4.%5.%6"/>
      <w:lvlJc w:val="left"/>
      <w:pPr>
        <w:tabs>
          <w:tab w:val="left" w:pos="1152"/>
        </w:tabs>
        <w:ind w:left="1152" w:hanging="1152"/>
      </w:pPr>
    </w:lvl>
    <w:lvl w:ilvl="6" w:tentative="0">
      <w:start w:val="1"/>
      <w:numFmt w:val="decimal"/>
      <w:pStyle w:val="9"/>
      <w:lvlText w:val="%1.%2.%3.%4.%5.%6.%7"/>
      <w:lvlJc w:val="left"/>
      <w:pPr>
        <w:tabs>
          <w:tab w:val="left" w:pos="1296"/>
        </w:tabs>
        <w:ind w:left="1296" w:hanging="1296"/>
      </w:pPr>
    </w:lvl>
    <w:lvl w:ilvl="7" w:tentative="0">
      <w:start w:val="1"/>
      <w:numFmt w:val="decimal"/>
      <w:pStyle w:val="10"/>
      <w:lvlText w:val="%1.%2.%3.%4.%5.%6.%7.%8"/>
      <w:lvlJc w:val="left"/>
      <w:pPr>
        <w:tabs>
          <w:tab w:val="left" w:pos="1440"/>
        </w:tabs>
        <w:ind w:left="1440" w:hanging="1440"/>
      </w:pPr>
    </w:lvl>
    <w:lvl w:ilvl="8" w:tentative="0">
      <w:start w:val="1"/>
      <w:numFmt w:val="decimal"/>
      <w:pStyle w:val="11"/>
      <w:lvlText w:val="%1.%2.%3.%4.%5.%6.%7.%8.%9"/>
      <w:lvlJc w:val="left"/>
      <w:pPr>
        <w:tabs>
          <w:tab w:val="left" w:pos="1584"/>
        </w:tabs>
        <w:ind w:left="1584" w:hanging="1584"/>
      </w:pPr>
    </w:lvl>
  </w:abstractNum>
  <w:abstractNum w:abstractNumId="6">
    <w:nsid w:val="24DEA49B"/>
    <w:multiLevelType w:val="multilevel"/>
    <w:tmpl w:val="24DEA49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380014A2"/>
    <w:multiLevelType w:val="multilevel"/>
    <w:tmpl w:val="380014A2"/>
    <w:lvl w:ilvl="0" w:tentative="0">
      <w:start w:val="1"/>
      <w:numFmt w:val="decimal"/>
      <w:lvlText w:val="%1、"/>
      <w:lvlJc w:val="left"/>
      <w:pPr>
        <w:ind w:left="846"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3B3473B7"/>
    <w:multiLevelType w:val="multilevel"/>
    <w:tmpl w:val="3B3473B7"/>
    <w:lvl w:ilvl="0" w:tentative="0">
      <w:start w:val="1"/>
      <w:numFmt w:val="decimal"/>
      <w:suff w:val="space"/>
      <w:lvlText w:val="%1."/>
      <w:lvlJc w:val="left"/>
      <w:pPr>
        <w:ind w:left="0" w:firstLine="0"/>
      </w:pPr>
      <w:rPr>
        <w:rFonts w:hint="default"/>
        <w:b w:val="0"/>
        <w:bCs w:val="0"/>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9">
    <w:nsid w:val="5AC342FA"/>
    <w:multiLevelType w:val="singleLevel"/>
    <w:tmpl w:val="5AC342FA"/>
    <w:lvl w:ilvl="0" w:tentative="0">
      <w:start w:val="1"/>
      <w:numFmt w:val="decimal"/>
      <w:lvlText w:val="%1)"/>
      <w:lvlJc w:val="left"/>
      <w:pPr>
        <w:ind w:left="1475" w:hanging="425"/>
      </w:pPr>
      <w:rPr>
        <w:rFonts w:hint="default"/>
      </w:rPr>
    </w:lvl>
  </w:abstractNum>
  <w:abstractNum w:abstractNumId="10">
    <w:nsid w:val="5B2A18A7"/>
    <w:multiLevelType w:val="multilevel"/>
    <w:tmpl w:val="5B2A18A7"/>
    <w:lvl w:ilvl="0" w:tentative="0">
      <w:start w:val="1"/>
      <w:numFmt w:val="decimal"/>
      <w:lvlText w:val="%1."/>
      <w:lvlJc w:val="left"/>
      <w:pPr>
        <w:tabs>
          <w:tab w:val="left" w:pos="1003"/>
        </w:tabs>
        <w:ind w:left="1003" w:hanging="720"/>
      </w:pPr>
      <w:rPr>
        <w:b w:val="0"/>
      </w:rPr>
    </w:lvl>
    <w:lvl w:ilvl="1" w:tentative="0">
      <w:start w:val="1"/>
      <w:numFmt w:val="decimal"/>
      <w:lvlText w:val="%2."/>
      <w:lvlJc w:val="left"/>
      <w:pPr>
        <w:tabs>
          <w:tab w:val="left" w:pos="1723"/>
        </w:tabs>
        <w:ind w:left="1723" w:hanging="720"/>
      </w:pPr>
    </w:lvl>
    <w:lvl w:ilvl="2" w:tentative="0">
      <w:start w:val="1"/>
      <w:numFmt w:val="decimal"/>
      <w:lvlText w:val="%3."/>
      <w:lvlJc w:val="left"/>
      <w:pPr>
        <w:tabs>
          <w:tab w:val="left" w:pos="2443"/>
        </w:tabs>
        <w:ind w:left="2443" w:hanging="720"/>
      </w:pPr>
    </w:lvl>
    <w:lvl w:ilvl="3" w:tentative="0">
      <w:start w:val="1"/>
      <w:numFmt w:val="decimal"/>
      <w:lvlText w:val="%4."/>
      <w:lvlJc w:val="left"/>
      <w:pPr>
        <w:tabs>
          <w:tab w:val="left" w:pos="3163"/>
        </w:tabs>
        <w:ind w:left="3163" w:hanging="720"/>
      </w:pPr>
    </w:lvl>
    <w:lvl w:ilvl="4" w:tentative="0">
      <w:start w:val="1"/>
      <w:numFmt w:val="decimal"/>
      <w:lvlText w:val="%5."/>
      <w:lvlJc w:val="left"/>
      <w:pPr>
        <w:tabs>
          <w:tab w:val="left" w:pos="3883"/>
        </w:tabs>
        <w:ind w:left="3883" w:hanging="720"/>
      </w:pPr>
    </w:lvl>
    <w:lvl w:ilvl="5" w:tentative="0">
      <w:start w:val="1"/>
      <w:numFmt w:val="decimal"/>
      <w:lvlText w:val="%6."/>
      <w:lvlJc w:val="left"/>
      <w:pPr>
        <w:tabs>
          <w:tab w:val="left" w:pos="4603"/>
        </w:tabs>
        <w:ind w:left="4603" w:hanging="720"/>
      </w:pPr>
    </w:lvl>
    <w:lvl w:ilvl="6" w:tentative="0">
      <w:start w:val="1"/>
      <w:numFmt w:val="decimal"/>
      <w:lvlText w:val="%7."/>
      <w:lvlJc w:val="left"/>
      <w:pPr>
        <w:tabs>
          <w:tab w:val="left" w:pos="5323"/>
        </w:tabs>
        <w:ind w:left="5323" w:hanging="720"/>
      </w:pPr>
    </w:lvl>
    <w:lvl w:ilvl="7" w:tentative="0">
      <w:start w:val="1"/>
      <w:numFmt w:val="decimal"/>
      <w:lvlText w:val="%8."/>
      <w:lvlJc w:val="left"/>
      <w:pPr>
        <w:tabs>
          <w:tab w:val="left" w:pos="6043"/>
        </w:tabs>
        <w:ind w:left="6043" w:hanging="720"/>
      </w:pPr>
    </w:lvl>
    <w:lvl w:ilvl="8" w:tentative="0">
      <w:start w:val="1"/>
      <w:numFmt w:val="decimal"/>
      <w:lvlText w:val="%9."/>
      <w:lvlJc w:val="left"/>
      <w:pPr>
        <w:tabs>
          <w:tab w:val="left" w:pos="6763"/>
        </w:tabs>
        <w:ind w:left="6763" w:hanging="720"/>
      </w:pPr>
    </w:lvl>
  </w:abstractNum>
  <w:abstractNum w:abstractNumId="11">
    <w:nsid w:val="5DF46C83"/>
    <w:multiLevelType w:val="multilevel"/>
    <w:tmpl w:val="5DF46C8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5F6C7784"/>
    <w:multiLevelType w:val="multilevel"/>
    <w:tmpl w:val="5F6C778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64D1027A"/>
    <w:multiLevelType w:val="multilevel"/>
    <w:tmpl w:val="64D1027A"/>
    <w:lvl w:ilvl="0" w:tentative="0">
      <w:start w:val="1"/>
      <w:numFmt w:val="decimal"/>
      <w:lvlText w:val="%1."/>
      <w:lvlJc w:val="left"/>
      <w:pPr>
        <w:tabs>
          <w:tab w:val="left" w:pos="420"/>
        </w:tabs>
        <w:ind w:left="900" w:hanging="420"/>
      </w:pPr>
    </w:lvl>
    <w:lvl w:ilvl="1" w:tentative="0">
      <w:start w:val="1"/>
      <w:numFmt w:val="lowerLetter"/>
      <w:lvlText w:val="%2)"/>
      <w:lvlJc w:val="left"/>
      <w:pPr>
        <w:tabs>
          <w:tab w:val="left" w:pos="840"/>
        </w:tabs>
        <w:ind w:left="1320" w:hanging="420"/>
      </w:pPr>
    </w:lvl>
    <w:lvl w:ilvl="2" w:tentative="0">
      <w:start w:val="1"/>
      <w:numFmt w:val="lowerRoman"/>
      <w:lvlText w:val="%3."/>
      <w:lvlJc w:val="right"/>
      <w:pPr>
        <w:tabs>
          <w:tab w:val="left" w:pos="1260"/>
        </w:tabs>
        <w:ind w:left="1740" w:hanging="420"/>
      </w:pPr>
    </w:lvl>
    <w:lvl w:ilvl="3" w:tentative="0">
      <w:start w:val="1"/>
      <w:numFmt w:val="decimal"/>
      <w:lvlText w:val="%4."/>
      <w:lvlJc w:val="left"/>
      <w:pPr>
        <w:tabs>
          <w:tab w:val="left" w:pos="1680"/>
        </w:tabs>
        <w:ind w:left="2160" w:hanging="420"/>
      </w:pPr>
    </w:lvl>
    <w:lvl w:ilvl="4" w:tentative="0">
      <w:start w:val="1"/>
      <w:numFmt w:val="lowerLetter"/>
      <w:lvlText w:val="%5)"/>
      <w:lvlJc w:val="left"/>
      <w:pPr>
        <w:tabs>
          <w:tab w:val="left" w:pos="2100"/>
        </w:tabs>
        <w:ind w:left="2580" w:hanging="420"/>
      </w:pPr>
    </w:lvl>
    <w:lvl w:ilvl="5" w:tentative="0">
      <w:start w:val="1"/>
      <w:numFmt w:val="lowerRoman"/>
      <w:lvlText w:val="%6."/>
      <w:lvlJc w:val="right"/>
      <w:pPr>
        <w:tabs>
          <w:tab w:val="left" w:pos="2520"/>
        </w:tabs>
        <w:ind w:left="3000" w:hanging="420"/>
      </w:pPr>
    </w:lvl>
    <w:lvl w:ilvl="6" w:tentative="0">
      <w:start w:val="1"/>
      <w:numFmt w:val="decimal"/>
      <w:lvlText w:val="%7."/>
      <w:lvlJc w:val="left"/>
      <w:pPr>
        <w:tabs>
          <w:tab w:val="left" w:pos="2940"/>
        </w:tabs>
        <w:ind w:left="3420" w:hanging="420"/>
      </w:pPr>
    </w:lvl>
    <w:lvl w:ilvl="7" w:tentative="0">
      <w:start w:val="1"/>
      <w:numFmt w:val="lowerLetter"/>
      <w:lvlText w:val="%8)"/>
      <w:lvlJc w:val="left"/>
      <w:pPr>
        <w:tabs>
          <w:tab w:val="left" w:pos="3360"/>
        </w:tabs>
        <w:ind w:left="3840" w:hanging="420"/>
      </w:pPr>
    </w:lvl>
    <w:lvl w:ilvl="8" w:tentative="0">
      <w:start w:val="1"/>
      <w:numFmt w:val="lowerRoman"/>
      <w:lvlText w:val="%9."/>
      <w:lvlJc w:val="right"/>
      <w:pPr>
        <w:tabs>
          <w:tab w:val="left" w:pos="3780"/>
        </w:tabs>
        <w:ind w:left="4260" w:hanging="420"/>
      </w:pPr>
    </w:lvl>
  </w:abstractNum>
  <w:abstractNum w:abstractNumId="14">
    <w:nsid w:val="6D4E55E3"/>
    <w:multiLevelType w:val="singleLevel"/>
    <w:tmpl w:val="6D4E55E3"/>
    <w:lvl w:ilvl="0" w:tentative="0">
      <w:start w:val="1"/>
      <w:numFmt w:val="decimal"/>
      <w:lvlText w:val="%1)"/>
      <w:lvlJc w:val="left"/>
      <w:pPr>
        <w:ind w:left="1475" w:hanging="425"/>
      </w:pPr>
      <w:rPr>
        <w:rFonts w:hint="default"/>
      </w:rPr>
    </w:lvl>
  </w:abstractNum>
  <w:num w:numId="1">
    <w:abstractNumId w:val="5"/>
  </w:num>
  <w:num w:numId="2">
    <w:abstractNumId w:val="13"/>
  </w:num>
  <w:num w:numId="3">
    <w:abstractNumId w:val="7"/>
  </w:num>
  <w:num w:numId="4">
    <w:abstractNumId w:val="14"/>
  </w:num>
  <w:num w:numId="5">
    <w:abstractNumId w:val="1"/>
  </w:num>
  <w:num w:numId="6">
    <w:abstractNumId w:val="0"/>
  </w:num>
  <w:num w:numId="7">
    <w:abstractNumId w:val="9"/>
  </w:num>
  <w:num w:numId="8">
    <w:abstractNumId w:val="8"/>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num>
  <w:num w:numId="11">
    <w:abstractNumId w:val="12"/>
  </w:num>
  <w:num w:numId="12">
    <w:abstractNumId w:val="11"/>
  </w:num>
  <w:num w:numId="13">
    <w:abstractNumId w:val="3"/>
  </w:num>
  <w:num w:numId="14">
    <w:abstractNumId w:val="2"/>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NotDisplayPageBoundaries w:val="1"/>
  <w:bordersDoNotSurroundHeader w:val="1"/>
  <w:bordersDoNotSurroundFooter w:val="1"/>
  <w:documentProtection w:enforcement="0"/>
  <w:defaultTabStop w:val="0"/>
  <w:drawingGridHorizontalSpacing w:val="120"/>
  <w:drawingGridVerticalSpacing w:val="163"/>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1B0B"/>
    <w:rsid w:val="000025C8"/>
    <w:rsid w:val="00002C80"/>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93C"/>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FA8"/>
    <w:rsid w:val="000170DE"/>
    <w:rsid w:val="000172AF"/>
    <w:rsid w:val="000174F7"/>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D89"/>
    <w:rsid w:val="0003004D"/>
    <w:rsid w:val="0003013A"/>
    <w:rsid w:val="000304AB"/>
    <w:rsid w:val="0003060F"/>
    <w:rsid w:val="00031B83"/>
    <w:rsid w:val="00031C4A"/>
    <w:rsid w:val="0003213A"/>
    <w:rsid w:val="000323AE"/>
    <w:rsid w:val="000326C3"/>
    <w:rsid w:val="00032762"/>
    <w:rsid w:val="00032B60"/>
    <w:rsid w:val="00032CD2"/>
    <w:rsid w:val="00032EF8"/>
    <w:rsid w:val="00033308"/>
    <w:rsid w:val="00033B88"/>
    <w:rsid w:val="00033F69"/>
    <w:rsid w:val="000347C6"/>
    <w:rsid w:val="00034AC9"/>
    <w:rsid w:val="00034B7E"/>
    <w:rsid w:val="00034E5B"/>
    <w:rsid w:val="00034F82"/>
    <w:rsid w:val="00035256"/>
    <w:rsid w:val="000352D8"/>
    <w:rsid w:val="00035847"/>
    <w:rsid w:val="00035872"/>
    <w:rsid w:val="00035A16"/>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51A"/>
    <w:rsid w:val="00064B9E"/>
    <w:rsid w:val="00065BB8"/>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2E0"/>
    <w:rsid w:val="00074B5E"/>
    <w:rsid w:val="00074C8B"/>
    <w:rsid w:val="00074CCD"/>
    <w:rsid w:val="000751A6"/>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954"/>
    <w:rsid w:val="00081AED"/>
    <w:rsid w:val="00081D1B"/>
    <w:rsid w:val="00081DEE"/>
    <w:rsid w:val="00081EEC"/>
    <w:rsid w:val="00081FC2"/>
    <w:rsid w:val="00082757"/>
    <w:rsid w:val="00082979"/>
    <w:rsid w:val="0008299E"/>
    <w:rsid w:val="00082AC6"/>
    <w:rsid w:val="000831BB"/>
    <w:rsid w:val="0008376E"/>
    <w:rsid w:val="0008381A"/>
    <w:rsid w:val="0008389B"/>
    <w:rsid w:val="00083980"/>
    <w:rsid w:val="00083FC4"/>
    <w:rsid w:val="00084545"/>
    <w:rsid w:val="000848DC"/>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26D"/>
    <w:rsid w:val="000A13B2"/>
    <w:rsid w:val="000A13B4"/>
    <w:rsid w:val="000A13C4"/>
    <w:rsid w:val="000A1814"/>
    <w:rsid w:val="000A1D3C"/>
    <w:rsid w:val="000A1E57"/>
    <w:rsid w:val="000A1FB8"/>
    <w:rsid w:val="000A2012"/>
    <w:rsid w:val="000A217E"/>
    <w:rsid w:val="000A21B3"/>
    <w:rsid w:val="000A221D"/>
    <w:rsid w:val="000A23C7"/>
    <w:rsid w:val="000A240F"/>
    <w:rsid w:val="000A2660"/>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DA1"/>
    <w:rsid w:val="000A4E3A"/>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586"/>
    <w:rsid w:val="000C4E7F"/>
    <w:rsid w:val="000C5241"/>
    <w:rsid w:val="000C531F"/>
    <w:rsid w:val="000C57FC"/>
    <w:rsid w:val="000C5E57"/>
    <w:rsid w:val="000C6096"/>
    <w:rsid w:val="000C66D6"/>
    <w:rsid w:val="000C67F9"/>
    <w:rsid w:val="000C6925"/>
    <w:rsid w:val="000C6B96"/>
    <w:rsid w:val="000C71D5"/>
    <w:rsid w:val="000C734B"/>
    <w:rsid w:val="000C786B"/>
    <w:rsid w:val="000C7C2D"/>
    <w:rsid w:val="000C7DC6"/>
    <w:rsid w:val="000D06B4"/>
    <w:rsid w:val="000D105F"/>
    <w:rsid w:val="000D126A"/>
    <w:rsid w:val="000D1ABC"/>
    <w:rsid w:val="000D1ED9"/>
    <w:rsid w:val="000D1F5B"/>
    <w:rsid w:val="000D2799"/>
    <w:rsid w:val="000D2AC0"/>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484"/>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515"/>
    <w:rsid w:val="000E29A3"/>
    <w:rsid w:val="000E2AF5"/>
    <w:rsid w:val="000E2B30"/>
    <w:rsid w:val="000E2D54"/>
    <w:rsid w:val="000E3353"/>
    <w:rsid w:val="000E3528"/>
    <w:rsid w:val="000E4597"/>
    <w:rsid w:val="000E4A9F"/>
    <w:rsid w:val="000E4EAD"/>
    <w:rsid w:val="000E59B8"/>
    <w:rsid w:val="000E5EA4"/>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BC7"/>
    <w:rsid w:val="000F2F23"/>
    <w:rsid w:val="000F33C3"/>
    <w:rsid w:val="000F3445"/>
    <w:rsid w:val="000F3457"/>
    <w:rsid w:val="000F34F3"/>
    <w:rsid w:val="000F39FF"/>
    <w:rsid w:val="000F3BD3"/>
    <w:rsid w:val="000F3E20"/>
    <w:rsid w:val="000F40BB"/>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94E"/>
    <w:rsid w:val="00102DB3"/>
    <w:rsid w:val="00103347"/>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3DE"/>
    <w:rsid w:val="00112861"/>
    <w:rsid w:val="00112E2A"/>
    <w:rsid w:val="00112F6E"/>
    <w:rsid w:val="001132BB"/>
    <w:rsid w:val="0011333B"/>
    <w:rsid w:val="001135B9"/>
    <w:rsid w:val="00113FD0"/>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A1A"/>
    <w:rsid w:val="00120B2F"/>
    <w:rsid w:val="00120B95"/>
    <w:rsid w:val="001213FA"/>
    <w:rsid w:val="00121475"/>
    <w:rsid w:val="00121533"/>
    <w:rsid w:val="00121950"/>
    <w:rsid w:val="0012198A"/>
    <w:rsid w:val="00121C58"/>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7D3"/>
    <w:rsid w:val="00126FA9"/>
    <w:rsid w:val="00127190"/>
    <w:rsid w:val="00127315"/>
    <w:rsid w:val="00127536"/>
    <w:rsid w:val="001279AC"/>
    <w:rsid w:val="00127C5F"/>
    <w:rsid w:val="00127D95"/>
    <w:rsid w:val="00127DA3"/>
    <w:rsid w:val="001303EF"/>
    <w:rsid w:val="00130497"/>
    <w:rsid w:val="00130730"/>
    <w:rsid w:val="00130769"/>
    <w:rsid w:val="001307C4"/>
    <w:rsid w:val="00130830"/>
    <w:rsid w:val="00130883"/>
    <w:rsid w:val="0013095B"/>
    <w:rsid w:val="00130A5B"/>
    <w:rsid w:val="0013108D"/>
    <w:rsid w:val="00131467"/>
    <w:rsid w:val="001314CF"/>
    <w:rsid w:val="0013157F"/>
    <w:rsid w:val="001315B3"/>
    <w:rsid w:val="0013192A"/>
    <w:rsid w:val="00131AAC"/>
    <w:rsid w:val="00131F71"/>
    <w:rsid w:val="0013253B"/>
    <w:rsid w:val="00132581"/>
    <w:rsid w:val="00132D10"/>
    <w:rsid w:val="00132DFE"/>
    <w:rsid w:val="00133267"/>
    <w:rsid w:val="00133755"/>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D7"/>
    <w:rsid w:val="001479BD"/>
    <w:rsid w:val="00147AF2"/>
    <w:rsid w:val="00147CE5"/>
    <w:rsid w:val="00150010"/>
    <w:rsid w:val="00150662"/>
    <w:rsid w:val="00150BA1"/>
    <w:rsid w:val="0015124C"/>
    <w:rsid w:val="0015135A"/>
    <w:rsid w:val="00151724"/>
    <w:rsid w:val="001517F0"/>
    <w:rsid w:val="0015180E"/>
    <w:rsid w:val="001518C9"/>
    <w:rsid w:val="00151904"/>
    <w:rsid w:val="00151A4E"/>
    <w:rsid w:val="00151B89"/>
    <w:rsid w:val="00151F96"/>
    <w:rsid w:val="001520D1"/>
    <w:rsid w:val="00152245"/>
    <w:rsid w:val="001525B2"/>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4FE"/>
    <w:rsid w:val="001545BC"/>
    <w:rsid w:val="00154E14"/>
    <w:rsid w:val="00154F4C"/>
    <w:rsid w:val="001556D0"/>
    <w:rsid w:val="001556D2"/>
    <w:rsid w:val="001560E4"/>
    <w:rsid w:val="00156AA6"/>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FF3"/>
    <w:rsid w:val="001645FF"/>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3DCB"/>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474"/>
    <w:rsid w:val="00193536"/>
    <w:rsid w:val="0019398E"/>
    <w:rsid w:val="00193DF8"/>
    <w:rsid w:val="001940C3"/>
    <w:rsid w:val="0019416D"/>
    <w:rsid w:val="00194407"/>
    <w:rsid w:val="001947F3"/>
    <w:rsid w:val="001948A9"/>
    <w:rsid w:val="00194A0C"/>
    <w:rsid w:val="00195378"/>
    <w:rsid w:val="00195B31"/>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2320"/>
    <w:rsid w:val="001A2928"/>
    <w:rsid w:val="001A2A17"/>
    <w:rsid w:val="001A37EA"/>
    <w:rsid w:val="001A37F6"/>
    <w:rsid w:val="001A385C"/>
    <w:rsid w:val="001A3B31"/>
    <w:rsid w:val="001A3C51"/>
    <w:rsid w:val="001A4387"/>
    <w:rsid w:val="001A446E"/>
    <w:rsid w:val="001A47E7"/>
    <w:rsid w:val="001A4BE8"/>
    <w:rsid w:val="001A4D5C"/>
    <w:rsid w:val="001A4D65"/>
    <w:rsid w:val="001A5282"/>
    <w:rsid w:val="001A537D"/>
    <w:rsid w:val="001A557A"/>
    <w:rsid w:val="001A593C"/>
    <w:rsid w:val="001A595A"/>
    <w:rsid w:val="001A59F1"/>
    <w:rsid w:val="001A5BF5"/>
    <w:rsid w:val="001A5ED7"/>
    <w:rsid w:val="001A6103"/>
    <w:rsid w:val="001A6630"/>
    <w:rsid w:val="001A6836"/>
    <w:rsid w:val="001A6922"/>
    <w:rsid w:val="001A6AB9"/>
    <w:rsid w:val="001A6B6A"/>
    <w:rsid w:val="001A6FAE"/>
    <w:rsid w:val="001A7518"/>
    <w:rsid w:val="001A7539"/>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3CB7"/>
    <w:rsid w:val="001B407A"/>
    <w:rsid w:val="001B4618"/>
    <w:rsid w:val="001B4659"/>
    <w:rsid w:val="001B4A8B"/>
    <w:rsid w:val="001B503E"/>
    <w:rsid w:val="001B5133"/>
    <w:rsid w:val="001B5203"/>
    <w:rsid w:val="001B5636"/>
    <w:rsid w:val="001B58CA"/>
    <w:rsid w:val="001B5ADC"/>
    <w:rsid w:val="001B5F0E"/>
    <w:rsid w:val="001B68E0"/>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F3"/>
    <w:rsid w:val="001C7D69"/>
    <w:rsid w:val="001C7DCA"/>
    <w:rsid w:val="001D0131"/>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5CA"/>
    <w:rsid w:val="001D66F2"/>
    <w:rsid w:val="001D68CC"/>
    <w:rsid w:val="001D6C01"/>
    <w:rsid w:val="001D7090"/>
    <w:rsid w:val="001D7121"/>
    <w:rsid w:val="001D71DC"/>
    <w:rsid w:val="001D743D"/>
    <w:rsid w:val="001D7D6C"/>
    <w:rsid w:val="001D7DFE"/>
    <w:rsid w:val="001E08FF"/>
    <w:rsid w:val="001E0EC8"/>
    <w:rsid w:val="001E1018"/>
    <w:rsid w:val="001E1878"/>
    <w:rsid w:val="001E1958"/>
    <w:rsid w:val="001E1BE4"/>
    <w:rsid w:val="001E1F0E"/>
    <w:rsid w:val="001E2E59"/>
    <w:rsid w:val="001E34AF"/>
    <w:rsid w:val="001E3571"/>
    <w:rsid w:val="001E381F"/>
    <w:rsid w:val="001E3F7B"/>
    <w:rsid w:val="001E414B"/>
    <w:rsid w:val="001E43AA"/>
    <w:rsid w:val="001E5180"/>
    <w:rsid w:val="001E5939"/>
    <w:rsid w:val="001E647A"/>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D2E"/>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9C5"/>
    <w:rsid w:val="00206A8A"/>
    <w:rsid w:val="00206D32"/>
    <w:rsid w:val="002070DD"/>
    <w:rsid w:val="00207325"/>
    <w:rsid w:val="00207A91"/>
    <w:rsid w:val="00210247"/>
    <w:rsid w:val="0021069C"/>
    <w:rsid w:val="00210815"/>
    <w:rsid w:val="00210FD4"/>
    <w:rsid w:val="00211149"/>
    <w:rsid w:val="002116CF"/>
    <w:rsid w:val="002125E7"/>
    <w:rsid w:val="0021266A"/>
    <w:rsid w:val="00212C09"/>
    <w:rsid w:val="00213242"/>
    <w:rsid w:val="00213355"/>
    <w:rsid w:val="002137DA"/>
    <w:rsid w:val="00213A5B"/>
    <w:rsid w:val="00213ABB"/>
    <w:rsid w:val="00213D05"/>
    <w:rsid w:val="00213F2A"/>
    <w:rsid w:val="00213FCE"/>
    <w:rsid w:val="002143A6"/>
    <w:rsid w:val="002147BD"/>
    <w:rsid w:val="00214F98"/>
    <w:rsid w:val="00214FAD"/>
    <w:rsid w:val="00215029"/>
    <w:rsid w:val="0021534C"/>
    <w:rsid w:val="0021595C"/>
    <w:rsid w:val="0021597F"/>
    <w:rsid w:val="0021598A"/>
    <w:rsid w:val="00215B11"/>
    <w:rsid w:val="00215C69"/>
    <w:rsid w:val="00216274"/>
    <w:rsid w:val="00216F6B"/>
    <w:rsid w:val="002170FD"/>
    <w:rsid w:val="002179A4"/>
    <w:rsid w:val="00220089"/>
    <w:rsid w:val="002201C7"/>
    <w:rsid w:val="0022023C"/>
    <w:rsid w:val="00220253"/>
    <w:rsid w:val="0022032C"/>
    <w:rsid w:val="0022090E"/>
    <w:rsid w:val="00221100"/>
    <w:rsid w:val="0022166B"/>
    <w:rsid w:val="0022181F"/>
    <w:rsid w:val="00221BD3"/>
    <w:rsid w:val="00221C8E"/>
    <w:rsid w:val="00221DF5"/>
    <w:rsid w:val="0022219D"/>
    <w:rsid w:val="00222435"/>
    <w:rsid w:val="00222765"/>
    <w:rsid w:val="00222C38"/>
    <w:rsid w:val="0022314C"/>
    <w:rsid w:val="002231AE"/>
    <w:rsid w:val="0022324C"/>
    <w:rsid w:val="00223773"/>
    <w:rsid w:val="0022377A"/>
    <w:rsid w:val="00223C82"/>
    <w:rsid w:val="00223CDF"/>
    <w:rsid w:val="002243FD"/>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9EC"/>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AEF"/>
    <w:rsid w:val="00241E13"/>
    <w:rsid w:val="00241F31"/>
    <w:rsid w:val="0024237B"/>
    <w:rsid w:val="0024295B"/>
    <w:rsid w:val="00242C91"/>
    <w:rsid w:val="002432E3"/>
    <w:rsid w:val="002438B1"/>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0A7D"/>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6DA4"/>
    <w:rsid w:val="00257231"/>
    <w:rsid w:val="002577FF"/>
    <w:rsid w:val="00257A71"/>
    <w:rsid w:val="00260078"/>
    <w:rsid w:val="00260112"/>
    <w:rsid w:val="002602D8"/>
    <w:rsid w:val="002603EF"/>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462"/>
    <w:rsid w:val="00264A10"/>
    <w:rsid w:val="00264C3F"/>
    <w:rsid w:val="0026525F"/>
    <w:rsid w:val="00265362"/>
    <w:rsid w:val="0026592F"/>
    <w:rsid w:val="00265AFF"/>
    <w:rsid w:val="002663FB"/>
    <w:rsid w:val="002668FA"/>
    <w:rsid w:val="00266B11"/>
    <w:rsid w:val="00266CF1"/>
    <w:rsid w:val="00266E9F"/>
    <w:rsid w:val="0026769C"/>
    <w:rsid w:val="002676F8"/>
    <w:rsid w:val="00267BDF"/>
    <w:rsid w:val="002707D6"/>
    <w:rsid w:val="00270C51"/>
    <w:rsid w:val="00270DDB"/>
    <w:rsid w:val="002710BD"/>
    <w:rsid w:val="002719EE"/>
    <w:rsid w:val="00271CA5"/>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2EB5"/>
    <w:rsid w:val="00272EE2"/>
    <w:rsid w:val="002732C7"/>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9EC"/>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C51"/>
    <w:rsid w:val="00291CCC"/>
    <w:rsid w:val="00291F5E"/>
    <w:rsid w:val="002925AC"/>
    <w:rsid w:val="00293320"/>
    <w:rsid w:val="002934EA"/>
    <w:rsid w:val="00293554"/>
    <w:rsid w:val="00293631"/>
    <w:rsid w:val="002936D6"/>
    <w:rsid w:val="00293831"/>
    <w:rsid w:val="002941D5"/>
    <w:rsid w:val="00294257"/>
    <w:rsid w:val="00294C22"/>
    <w:rsid w:val="00294E66"/>
    <w:rsid w:val="00294E70"/>
    <w:rsid w:val="00295245"/>
    <w:rsid w:val="002952D4"/>
    <w:rsid w:val="0029567D"/>
    <w:rsid w:val="002956E6"/>
    <w:rsid w:val="002958AA"/>
    <w:rsid w:val="00295A8A"/>
    <w:rsid w:val="00296AA4"/>
    <w:rsid w:val="0029750D"/>
    <w:rsid w:val="00297849"/>
    <w:rsid w:val="0029787C"/>
    <w:rsid w:val="00297F92"/>
    <w:rsid w:val="002A002C"/>
    <w:rsid w:val="002A01A7"/>
    <w:rsid w:val="002A07BB"/>
    <w:rsid w:val="002A0829"/>
    <w:rsid w:val="002A09EB"/>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7CE"/>
    <w:rsid w:val="002C189F"/>
    <w:rsid w:val="002C1B85"/>
    <w:rsid w:val="002C1B8C"/>
    <w:rsid w:val="002C1BDF"/>
    <w:rsid w:val="002C2077"/>
    <w:rsid w:val="002C209F"/>
    <w:rsid w:val="002C24D6"/>
    <w:rsid w:val="002C26A2"/>
    <w:rsid w:val="002C2B48"/>
    <w:rsid w:val="002C325D"/>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4B9"/>
    <w:rsid w:val="002E1BBC"/>
    <w:rsid w:val="002E1EB9"/>
    <w:rsid w:val="002E23FE"/>
    <w:rsid w:val="002E2A9A"/>
    <w:rsid w:val="002E2BEC"/>
    <w:rsid w:val="002E2F0E"/>
    <w:rsid w:val="002E3AAC"/>
    <w:rsid w:val="002E3C1F"/>
    <w:rsid w:val="002E4076"/>
    <w:rsid w:val="002E4355"/>
    <w:rsid w:val="002E4488"/>
    <w:rsid w:val="002E48A5"/>
    <w:rsid w:val="002E4FC0"/>
    <w:rsid w:val="002E55F4"/>
    <w:rsid w:val="002E658F"/>
    <w:rsid w:val="002E6B1B"/>
    <w:rsid w:val="002E6E7F"/>
    <w:rsid w:val="002E6EAD"/>
    <w:rsid w:val="002E718E"/>
    <w:rsid w:val="002E7437"/>
    <w:rsid w:val="002E74A7"/>
    <w:rsid w:val="002E764D"/>
    <w:rsid w:val="002E786E"/>
    <w:rsid w:val="002E7A30"/>
    <w:rsid w:val="002F0058"/>
    <w:rsid w:val="002F03BB"/>
    <w:rsid w:val="002F0816"/>
    <w:rsid w:val="002F0D98"/>
    <w:rsid w:val="002F0DF9"/>
    <w:rsid w:val="002F1CA1"/>
    <w:rsid w:val="002F20B3"/>
    <w:rsid w:val="002F20DA"/>
    <w:rsid w:val="002F2A33"/>
    <w:rsid w:val="002F2AD7"/>
    <w:rsid w:val="002F2AEA"/>
    <w:rsid w:val="002F2C9F"/>
    <w:rsid w:val="002F303F"/>
    <w:rsid w:val="002F34CB"/>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55B"/>
    <w:rsid w:val="003067CA"/>
    <w:rsid w:val="00306925"/>
    <w:rsid w:val="00306CB2"/>
    <w:rsid w:val="00306CCC"/>
    <w:rsid w:val="003070DF"/>
    <w:rsid w:val="00307353"/>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28A"/>
    <w:rsid w:val="003114C2"/>
    <w:rsid w:val="00311958"/>
    <w:rsid w:val="0031247C"/>
    <w:rsid w:val="00312E86"/>
    <w:rsid w:val="00312F51"/>
    <w:rsid w:val="00312F5D"/>
    <w:rsid w:val="003130D6"/>
    <w:rsid w:val="00313B3C"/>
    <w:rsid w:val="003148DA"/>
    <w:rsid w:val="003149AD"/>
    <w:rsid w:val="00314E10"/>
    <w:rsid w:val="003152D6"/>
    <w:rsid w:val="0031542A"/>
    <w:rsid w:val="003159B3"/>
    <w:rsid w:val="00316072"/>
    <w:rsid w:val="003161B5"/>
    <w:rsid w:val="00316274"/>
    <w:rsid w:val="003162F7"/>
    <w:rsid w:val="00316473"/>
    <w:rsid w:val="00316837"/>
    <w:rsid w:val="00316C3D"/>
    <w:rsid w:val="00316ED6"/>
    <w:rsid w:val="00317148"/>
    <w:rsid w:val="00317605"/>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313"/>
    <w:rsid w:val="003344ED"/>
    <w:rsid w:val="0033496E"/>
    <w:rsid w:val="003349DD"/>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F95"/>
    <w:rsid w:val="00341181"/>
    <w:rsid w:val="00341D5C"/>
    <w:rsid w:val="00341DDB"/>
    <w:rsid w:val="00341DF6"/>
    <w:rsid w:val="00342758"/>
    <w:rsid w:val="0034283C"/>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057"/>
    <w:rsid w:val="0035131E"/>
    <w:rsid w:val="00351625"/>
    <w:rsid w:val="0035177D"/>
    <w:rsid w:val="00351996"/>
    <w:rsid w:val="003529FA"/>
    <w:rsid w:val="00352AE1"/>
    <w:rsid w:val="00352E0E"/>
    <w:rsid w:val="00352FA7"/>
    <w:rsid w:val="00353A33"/>
    <w:rsid w:val="00353B06"/>
    <w:rsid w:val="00353CA7"/>
    <w:rsid w:val="00354352"/>
    <w:rsid w:val="003544B6"/>
    <w:rsid w:val="0035512D"/>
    <w:rsid w:val="003551D3"/>
    <w:rsid w:val="003552F3"/>
    <w:rsid w:val="0035545C"/>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1D8"/>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294"/>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101D"/>
    <w:rsid w:val="0038152B"/>
    <w:rsid w:val="00381598"/>
    <w:rsid w:val="003816EC"/>
    <w:rsid w:val="00381CA4"/>
    <w:rsid w:val="00382485"/>
    <w:rsid w:val="00382807"/>
    <w:rsid w:val="00382AF4"/>
    <w:rsid w:val="00382FB0"/>
    <w:rsid w:val="003830F1"/>
    <w:rsid w:val="00383237"/>
    <w:rsid w:val="00383327"/>
    <w:rsid w:val="003839BB"/>
    <w:rsid w:val="00383B9B"/>
    <w:rsid w:val="0038403B"/>
    <w:rsid w:val="003842FA"/>
    <w:rsid w:val="0038465C"/>
    <w:rsid w:val="00384670"/>
    <w:rsid w:val="00384C3F"/>
    <w:rsid w:val="00385154"/>
    <w:rsid w:val="003858B7"/>
    <w:rsid w:val="00385C04"/>
    <w:rsid w:val="00385F65"/>
    <w:rsid w:val="00386880"/>
    <w:rsid w:val="003901B5"/>
    <w:rsid w:val="00390247"/>
    <w:rsid w:val="00390269"/>
    <w:rsid w:val="00390373"/>
    <w:rsid w:val="00390422"/>
    <w:rsid w:val="003908E9"/>
    <w:rsid w:val="003909F7"/>
    <w:rsid w:val="0039101C"/>
    <w:rsid w:val="003917C7"/>
    <w:rsid w:val="003917FB"/>
    <w:rsid w:val="00391941"/>
    <w:rsid w:val="003919AD"/>
    <w:rsid w:val="003919C3"/>
    <w:rsid w:val="00391A0C"/>
    <w:rsid w:val="00391E3A"/>
    <w:rsid w:val="00392103"/>
    <w:rsid w:val="00392383"/>
    <w:rsid w:val="00392816"/>
    <w:rsid w:val="00392A92"/>
    <w:rsid w:val="00392D50"/>
    <w:rsid w:val="00392FB8"/>
    <w:rsid w:val="00393A0C"/>
    <w:rsid w:val="003940B1"/>
    <w:rsid w:val="003941A1"/>
    <w:rsid w:val="003942AB"/>
    <w:rsid w:val="003942D8"/>
    <w:rsid w:val="00394A0C"/>
    <w:rsid w:val="0039517C"/>
    <w:rsid w:val="00395774"/>
    <w:rsid w:val="0039587E"/>
    <w:rsid w:val="00395B06"/>
    <w:rsid w:val="00395B23"/>
    <w:rsid w:val="00395DDC"/>
    <w:rsid w:val="00395E54"/>
    <w:rsid w:val="00395F87"/>
    <w:rsid w:val="00396256"/>
    <w:rsid w:val="003965C9"/>
    <w:rsid w:val="00396B62"/>
    <w:rsid w:val="00396D0E"/>
    <w:rsid w:val="00396D96"/>
    <w:rsid w:val="0039701F"/>
    <w:rsid w:val="003970EB"/>
    <w:rsid w:val="00397178"/>
    <w:rsid w:val="003973C0"/>
    <w:rsid w:val="00397401"/>
    <w:rsid w:val="003975AA"/>
    <w:rsid w:val="0039775A"/>
    <w:rsid w:val="00397A73"/>
    <w:rsid w:val="003A023B"/>
    <w:rsid w:val="003A0263"/>
    <w:rsid w:val="003A053A"/>
    <w:rsid w:val="003A087E"/>
    <w:rsid w:val="003A0C86"/>
    <w:rsid w:val="003A16C0"/>
    <w:rsid w:val="003A18FC"/>
    <w:rsid w:val="003A1EA6"/>
    <w:rsid w:val="003A1EEC"/>
    <w:rsid w:val="003A2532"/>
    <w:rsid w:val="003A2AE4"/>
    <w:rsid w:val="003A2C49"/>
    <w:rsid w:val="003A2EFF"/>
    <w:rsid w:val="003A317E"/>
    <w:rsid w:val="003A31B9"/>
    <w:rsid w:val="003A31D3"/>
    <w:rsid w:val="003A3482"/>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B6B"/>
    <w:rsid w:val="003A5E85"/>
    <w:rsid w:val="003A6481"/>
    <w:rsid w:val="003A6955"/>
    <w:rsid w:val="003B05C8"/>
    <w:rsid w:val="003B0B64"/>
    <w:rsid w:val="003B0FF3"/>
    <w:rsid w:val="003B109D"/>
    <w:rsid w:val="003B1609"/>
    <w:rsid w:val="003B177F"/>
    <w:rsid w:val="003B1DAA"/>
    <w:rsid w:val="003B1E20"/>
    <w:rsid w:val="003B1F2B"/>
    <w:rsid w:val="003B2A3E"/>
    <w:rsid w:val="003B2CA1"/>
    <w:rsid w:val="003B31E7"/>
    <w:rsid w:val="003B344A"/>
    <w:rsid w:val="003B3970"/>
    <w:rsid w:val="003B3D8D"/>
    <w:rsid w:val="003B4047"/>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D0F"/>
    <w:rsid w:val="003C4045"/>
    <w:rsid w:val="003C43CC"/>
    <w:rsid w:val="003C4781"/>
    <w:rsid w:val="003C49BB"/>
    <w:rsid w:val="003C4C25"/>
    <w:rsid w:val="003C4D3E"/>
    <w:rsid w:val="003C4F7E"/>
    <w:rsid w:val="003C5050"/>
    <w:rsid w:val="003C5A4F"/>
    <w:rsid w:val="003C5C70"/>
    <w:rsid w:val="003C5D74"/>
    <w:rsid w:val="003C5F61"/>
    <w:rsid w:val="003C61B6"/>
    <w:rsid w:val="003C62F1"/>
    <w:rsid w:val="003C6376"/>
    <w:rsid w:val="003C7031"/>
    <w:rsid w:val="003C77BF"/>
    <w:rsid w:val="003C7C7A"/>
    <w:rsid w:val="003C7FE3"/>
    <w:rsid w:val="003D0404"/>
    <w:rsid w:val="003D0554"/>
    <w:rsid w:val="003D0683"/>
    <w:rsid w:val="003D0FCE"/>
    <w:rsid w:val="003D1660"/>
    <w:rsid w:val="003D16A2"/>
    <w:rsid w:val="003D185B"/>
    <w:rsid w:val="003D1911"/>
    <w:rsid w:val="003D1DC8"/>
    <w:rsid w:val="003D2134"/>
    <w:rsid w:val="003D2220"/>
    <w:rsid w:val="003D2414"/>
    <w:rsid w:val="003D2A49"/>
    <w:rsid w:val="003D33E5"/>
    <w:rsid w:val="003D3479"/>
    <w:rsid w:val="003D350A"/>
    <w:rsid w:val="003D3966"/>
    <w:rsid w:val="003D3B4B"/>
    <w:rsid w:val="003D3DA8"/>
    <w:rsid w:val="003D3FBC"/>
    <w:rsid w:val="003D41A9"/>
    <w:rsid w:val="003D459D"/>
    <w:rsid w:val="003D4BAB"/>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BE3"/>
    <w:rsid w:val="003E1D4A"/>
    <w:rsid w:val="003E2610"/>
    <w:rsid w:val="003E3211"/>
    <w:rsid w:val="003E33F8"/>
    <w:rsid w:val="003E348B"/>
    <w:rsid w:val="003E37EC"/>
    <w:rsid w:val="003E3A61"/>
    <w:rsid w:val="003E3C3F"/>
    <w:rsid w:val="003E3EE2"/>
    <w:rsid w:val="003E4560"/>
    <w:rsid w:val="003E4B8F"/>
    <w:rsid w:val="003E5304"/>
    <w:rsid w:val="003E5685"/>
    <w:rsid w:val="003E5A03"/>
    <w:rsid w:val="003E5AB8"/>
    <w:rsid w:val="003E6413"/>
    <w:rsid w:val="003E652D"/>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A99"/>
    <w:rsid w:val="003F2E1B"/>
    <w:rsid w:val="003F2EBD"/>
    <w:rsid w:val="003F2ED9"/>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96C"/>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5F0"/>
    <w:rsid w:val="0042762E"/>
    <w:rsid w:val="004279F1"/>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10C"/>
    <w:rsid w:val="00436372"/>
    <w:rsid w:val="004367E7"/>
    <w:rsid w:val="00436A16"/>
    <w:rsid w:val="00436B24"/>
    <w:rsid w:val="00437B1D"/>
    <w:rsid w:val="00440D7D"/>
    <w:rsid w:val="00440DB9"/>
    <w:rsid w:val="00440F1A"/>
    <w:rsid w:val="00441DA5"/>
    <w:rsid w:val="00441F63"/>
    <w:rsid w:val="00442157"/>
    <w:rsid w:val="004421E6"/>
    <w:rsid w:val="00443032"/>
    <w:rsid w:val="00443B88"/>
    <w:rsid w:val="00443C1F"/>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73"/>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3CA8"/>
    <w:rsid w:val="00464069"/>
    <w:rsid w:val="00464080"/>
    <w:rsid w:val="004640A1"/>
    <w:rsid w:val="00464C9C"/>
    <w:rsid w:val="00464DC2"/>
    <w:rsid w:val="00464DE2"/>
    <w:rsid w:val="00464E72"/>
    <w:rsid w:val="004653AD"/>
    <w:rsid w:val="00465435"/>
    <w:rsid w:val="004655A3"/>
    <w:rsid w:val="004655D0"/>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3E"/>
    <w:rsid w:val="00474AB6"/>
    <w:rsid w:val="00474AD8"/>
    <w:rsid w:val="00474B79"/>
    <w:rsid w:val="00474E1D"/>
    <w:rsid w:val="004752A4"/>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D67"/>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EAF"/>
    <w:rsid w:val="004A2F6F"/>
    <w:rsid w:val="004A301D"/>
    <w:rsid w:val="004A301E"/>
    <w:rsid w:val="004A3143"/>
    <w:rsid w:val="004A357D"/>
    <w:rsid w:val="004A36AD"/>
    <w:rsid w:val="004A3B9C"/>
    <w:rsid w:val="004A3C21"/>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9D6"/>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F8B"/>
    <w:rsid w:val="004B7D92"/>
    <w:rsid w:val="004C03B0"/>
    <w:rsid w:val="004C09D2"/>
    <w:rsid w:val="004C0C7A"/>
    <w:rsid w:val="004C0F62"/>
    <w:rsid w:val="004C1531"/>
    <w:rsid w:val="004C1B8C"/>
    <w:rsid w:val="004C1C6E"/>
    <w:rsid w:val="004C2395"/>
    <w:rsid w:val="004C2946"/>
    <w:rsid w:val="004C2A3F"/>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634"/>
    <w:rsid w:val="004D16C4"/>
    <w:rsid w:val="004D2080"/>
    <w:rsid w:val="004D25E3"/>
    <w:rsid w:val="004D26A0"/>
    <w:rsid w:val="004D2859"/>
    <w:rsid w:val="004D2B90"/>
    <w:rsid w:val="004D2DB0"/>
    <w:rsid w:val="004D3183"/>
    <w:rsid w:val="004D3221"/>
    <w:rsid w:val="004D37DD"/>
    <w:rsid w:val="004D3A2E"/>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CA"/>
    <w:rsid w:val="004D6F2D"/>
    <w:rsid w:val="004D72ED"/>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31BB"/>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B9F"/>
    <w:rsid w:val="004F0313"/>
    <w:rsid w:val="004F03EF"/>
    <w:rsid w:val="004F041D"/>
    <w:rsid w:val="004F0AAD"/>
    <w:rsid w:val="004F0B37"/>
    <w:rsid w:val="004F0DC5"/>
    <w:rsid w:val="004F1281"/>
    <w:rsid w:val="004F16FD"/>
    <w:rsid w:val="004F1847"/>
    <w:rsid w:val="004F18A9"/>
    <w:rsid w:val="004F1D2D"/>
    <w:rsid w:val="004F1E56"/>
    <w:rsid w:val="004F1F53"/>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A8"/>
    <w:rsid w:val="004F6523"/>
    <w:rsid w:val="004F668D"/>
    <w:rsid w:val="004F6C78"/>
    <w:rsid w:val="004F7099"/>
    <w:rsid w:val="004F719A"/>
    <w:rsid w:val="004F7365"/>
    <w:rsid w:val="004F74B3"/>
    <w:rsid w:val="004F797D"/>
    <w:rsid w:val="004F7E08"/>
    <w:rsid w:val="0050072F"/>
    <w:rsid w:val="00500919"/>
    <w:rsid w:val="00500B14"/>
    <w:rsid w:val="00501151"/>
    <w:rsid w:val="00501323"/>
    <w:rsid w:val="0050143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5B86"/>
    <w:rsid w:val="0050606A"/>
    <w:rsid w:val="005060B6"/>
    <w:rsid w:val="00506465"/>
    <w:rsid w:val="0050664A"/>
    <w:rsid w:val="00506669"/>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DE9"/>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C1F"/>
    <w:rsid w:val="005171A3"/>
    <w:rsid w:val="00517C2B"/>
    <w:rsid w:val="00517F7C"/>
    <w:rsid w:val="0052006F"/>
    <w:rsid w:val="00520597"/>
    <w:rsid w:val="00520FCD"/>
    <w:rsid w:val="0052150B"/>
    <w:rsid w:val="00521902"/>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4F72"/>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90A"/>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5BE"/>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730"/>
    <w:rsid w:val="00573A47"/>
    <w:rsid w:val="00573AB9"/>
    <w:rsid w:val="00573C18"/>
    <w:rsid w:val="00574811"/>
    <w:rsid w:val="0057490E"/>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1A7A"/>
    <w:rsid w:val="00592176"/>
    <w:rsid w:val="00593309"/>
    <w:rsid w:val="005934A5"/>
    <w:rsid w:val="0059367F"/>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2FF7"/>
    <w:rsid w:val="005A351D"/>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45"/>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5C0"/>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28E"/>
    <w:rsid w:val="005F145D"/>
    <w:rsid w:val="005F15E3"/>
    <w:rsid w:val="005F1747"/>
    <w:rsid w:val="005F1B04"/>
    <w:rsid w:val="005F23D8"/>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A5B"/>
    <w:rsid w:val="005F613A"/>
    <w:rsid w:val="005F6708"/>
    <w:rsid w:val="005F6CA1"/>
    <w:rsid w:val="005F7296"/>
    <w:rsid w:val="005F7391"/>
    <w:rsid w:val="005F768A"/>
    <w:rsid w:val="005F7D64"/>
    <w:rsid w:val="00600053"/>
    <w:rsid w:val="0060046B"/>
    <w:rsid w:val="006006DB"/>
    <w:rsid w:val="00600D44"/>
    <w:rsid w:val="00600DD0"/>
    <w:rsid w:val="00600E52"/>
    <w:rsid w:val="00600F57"/>
    <w:rsid w:val="00601100"/>
    <w:rsid w:val="0060121A"/>
    <w:rsid w:val="00601245"/>
    <w:rsid w:val="00601265"/>
    <w:rsid w:val="0060129F"/>
    <w:rsid w:val="00601662"/>
    <w:rsid w:val="0060193C"/>
    <w:rsid w:val="00601951"/>
    <w:rsid w:val="00601C3C"/>
    <w:rsid w:val="00601D7D"/>
    <w:rsid w:val="00601FBF"/>
    <w:rsid w:val="0060297A"/>
    <w:rsid w:val="00602C35"/>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FD"/>
    <w:rsid w:val="0060595C"/>
    <w:rsid w:val="00605D74"/>
    <w:rsid w:val="00606400"/>
    <w:rsid w:val="0060689A"/>
    <w:rsid w:val="00606CF2"/>
    <w:rsid w:val="00606E5F"/>
    <w:rsid w:val="00606F06"/>
    <w:rsid w:val="00606F90"/>
    <w:rsid w:val="00607368"/>
    <w:rsid w:val="00607682"/>
    <w:rsid w:val="00607693"/>
    <w:rsid w:val="00607A41"/>
    <w:rsid w:val="00607C82"/>
    <w:rsid w:val="0061010E"/>
    <w:rsid w:val="00610141"/>
    <w:rsid w:val="006101FE"/>
    <w:rsid w:val="0061038A"/>
    <w:rsid w:val="00610431"/>
    <w:rsid w:val="006105BD"/>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A53"/>
    <w:rsid w:val="00615BC2"/>
    <w:rsid w:val="00615FB0"/>
    <w:rsid w:val="00616063"/>
    <w:rsid w:val="00616913"/>
    <w:rsid w:val="00616A14"/>
    <w:rsid w:val="00616B54"/>
    <w:rsid w:val="00616EB9"/>
    <w:rsid w:val="00616F06"/>
    <w:rsid w:val="0061715A"/>
    <w:rsid w:val="00617365"/>
    <w:rsid w:val="00617F6C"/>
    <w:rsid w:val="006200C8"/>
    <w:rsid w:val="00620159"/>
    <w:rsid w:val="006201CE"/>
    <w:rsid w:val="00620439"/>
    <w:rsid w:val="00620A45"/>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61A9"/>
    <w:rsid w:val="00626272"/>
    <w:rsid w:val="006265A5"/>
    <w:rsid w:val="00626C34"/>
    <w:rsid w:val="00627858"/>
    <w:rsid w:val="00627F8C"/>
    <w:rsid w:val="006305D9"/>
    <w:rsid w:val="0063062B"/>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8CC"/>
    <w:rsid w:val="00635FF0"/>
    <w:rsid w:val="00636397"/>
    <w:rsid w:val="006364FF"/>
    <w:rsid w:val="0063663D"/>
    <w:rsid w:val="0063667C"/>
    <w:rsid w:val="0063683C"/>
    <w:rsid w:val="00636CB1"/>
    <w:rsid w:val="00636D48"/>
    <w:rsid w:val="00637308"/>
    <w:rsid w:val="00637805"/>
    <w:rsid w:val="006378B1"/>
    <w:rsid w:val="00637A28"/>
    <w:rsid w:val="00637F3F"/>
    <w:rsid w:val="006402D3"/>
    <w:rsid w:val="0064081C"/>
    <w:rsid w:val="00640BBA"/>
    <w:rsid w:val="00640CF2"/>
    <w:rsid w:val="00640E7B"/>
    <w:rsid w:val="00640FE0"/>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9"/>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A65"/>
    <w:rsid w:val="00652F42"/>
    <w:rsid w:val="00653B2E"/>
    <w:rsid w:val="00653D38"/>
    <w:rsid w:val="00653DF1"/>
    <w:rsid w:val="00654EC0"/>
    <w:rsid w:val="00654F14"/>
    <w:rsid w:val="00654FCB"/>
    <w:rsid w:val="00655296"/>
    <w:rsid w:val="00655387"/>
    <w:rsid w:val="00655623"/>
    <w:rsid w:val="00655858"/>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515"/>
    <w:rsid w:val="00665654"/>
    <w:rsid w:val="006663C3"/>
    <w:rsid w:val="00666CB4"/>
    <w:rsid w:val="00666D34"/>
    <w:rsid w:val="00666D45"/>
    <w:rsid w:val="006676FB"/>
    <w:rsid w:val="0066771E"/>
    <w:rsid w:val="0066797C"/>
    <w:rsid w:val="006679D3"/>
    <w:rsid w:val="00667BB0"/>
    <w:rsid w:val="00670798"/>
    <w:rsid w:val="0067083E"/>
    <w:rsid w:val="00670B1C"/>
    <w:rsid w:val="0067118C"/>
    <w:rsid w:val="00671594"/>
    <w:rsid w:val="0067236F"/>
    <w:rsid w:val="006728BD"/>
    <w:rsid w:val="00672CB3"/>
    <w:rsid w:val="00672E3B"/>
    <w:rsid w:val="00672F8D"/>
    <w:rsid w:val="0067333C"/>
    <w:rsid w:val="0067353D"/>
    <w:rsid w:val="00673C55"/>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40"/>
    <w:rsid w:val="006779B2"/>
    <w:rsid w:val="0068031B"/>
    <w:rsid w:val="0068039A"/>
    <w:rsid w:val="006803D9"/>
    <w:rsid w:val="0068055C"/>
    <w:rsid w:val="006809E3"/>
    <w:rsid w:val="00680F3E"/>
    <w:rsid w:val="006811EF"/>
    <w:rsid w:val="0068155F"/>
    <w:rsid w:val="0068164C"/>
    <w:rsid w:val="00681674"/>
    <w:rsid w:val="00681F95"/>
    <w:rsid w:val="00682025"/>
    <w:rsid w:val="00682455"/>
    <w:rsid w:val="0068268D"/>
    <w:rsid w:val="00683194"/>
    <w:rsid w:val="00683749"/>
    <w:rsid w:val="006839A3"/>
    <w:rsid w:val="00683CDD"/>
    <w:rsid w:val="006844A9"/>
    <w:rsid w:val="006845F5"/>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D2"/>
    <w:rsid w:val="00690EF5"/>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B7F"/>
    <w:rsid w:val="00696CB8"/>
    <w:rsid w:val="00697179"/>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D2A"/>
    <w:rsid w:val="006B00DA"/>
    <w:rsid w:val="006B05B6"/>
    <w:rsid w:val="006B0776"/>
    <w:rsid w:val="006B0DDE"/>
    <w:rsid w:val="006B0FE3"/>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1B3"/>
    <w:rsid w:val="006B73B4"/>
    <w:rsid w:val="006B7412"/>
    <w:rsid w:val="006B7415"/>
    <w:rsid w:val="006B7450"/>
    <w:rsid w:val="006B74C8"/>
    <w:rsid w:val="006B7524"/>
    <w:rsid w:val="006B7548"/>
    <w:rsid w:val="006B7791"/>
    <w:rsid w:val="006C0111"/>
    <w:rsid w:val="006C0157"/>
    <w:rsid w:val="006C0339"/>
    <w:rsid w:val="006C09DB"/>
    <w:rsid w:val="006C10F2"/>
    <w:rsid w:val="006C110A"/>
    <w:rsid w:val="006C1B2A"/>
    <w:rsid w:val="006C215D"/>
    <w:rsid w:val="006C2331"/>
    <w:rsid w:val="006C2804"/>
    <w:rsid w:val="006C2E7A"/>
    <w:rsid w:val="006C312E"/>
    <w:rsid w:val="006C3170"/>
    <w:rsid w:val="006C364C"/>
    <w:rsid w:val="006C3B8C"/>
    <w:rsid w:val="006C4133"/>
    <w:rsid w:val="006C4385"/>
    <w:rsid w:val="006C44DE"/>
    <w:rsid w:val="006C45BE"/>
    <w:rsid w:val="006C46A3"/>
    <w:rsid w:val="006C4C7A"/>
    <w:rsid w:val="006C4E23"/>
    <w:rsid w:val="006C4EE0"/>
    <w:rsid w:val="006C50F3"/>
    <w:rsid w:val="006C51AA"/>
    <w:rsid w:val="006C56BB"/>
    <w:rsid w:val="006C5883"/>
    <w:rsid w:val="006C5DCF"/>
    <w:rsid w:val="006C6248"/>
    <w:rsid w:val="006C6355"/>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542F"/>
    <w:rsid w:val="006D5A20"/>
    <w:rsid w:val="006D634D"/>
    <w:rsid w:val="006D6516"/>
    <w:rsid w:val="006D67CF"/>
    <w:rsid w:val="006D6A38"/>
    <w:rsid w:val="006D6AC7"/>
    <w:rsid w:val="006D6B58"/>
    <w:rsid w:val="006D6D27"/>
    <w:rsid w:val="006D6E52"/>
    <w:rsid w:val="006D72D9"/>
    <w:rsid w:val="006D7902"/>
    <w:rsid w:val="006D7BD1"/>
    <w:rsid w:val="006D7FDA"/>
    <w:rsid w:val="006E043C"/>
    <w:rsid w:val="006E04D9"/>
    <w:rsid w:val="006E07AB"/>
    <w:rsid w:val="006E0B7B"/>
    <w:rsid w:val="006E0E96"/>
    <w:rsid w:val="006E11AB"/>
    <w:rsid w:val="006E14AD"/>
    <w:rsid w:val="006E188B"/>
    <w:rsid w:val="006E1B7C"/>
    <w:rsid w:val="006E2603"/>
    <w:rsid w:val="006E298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477"/>
    <w:rsid w:val="00700689"/>
    <w:rsid w:val="00700B0D"/>
    <w:rsid w:val="00700D81"/>
    <w:rsid w:val="00700F68"/>
    <w:rsid w:val="007014CA"/>
    <w:rsid w:val="00701D58"/>
    <w:rsid w:val="0070298E"/>
    <w:rsid w:val="00702A57"/>
    <w:rsid w:val="0070321C"/>
    <w:rsid w:val="00703293"/>
    <w:rsid w:val="007032CE"/>
    <w:rsid w:val="00703B06"/>
    <w:rsid w:val="00703E85"/>
    <w:rsid w:val="00704647"/>
    <w:rsid w:val="00704657"/>
    <w:rsid w:val="00704E0B"/>
    <w:rsid w:val="00705179"/>
    <w:rsid w:val="0070544C"/>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C41"/>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592"/>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58B"/>
    <w:rsid w:val="007338D2"/>
    <w:rsid w:val="00733904"/>
    <w:rsid w:val="0073397C"/>
    <w:rsid w:val="007348AD"/>
    <w:rsid w:val="00734AD2"/>
    <w:rsid w:val="00734B1E"/>
    <w:rsid w:val="00734D39"/>
    <w:rsid w:val="00734E32"/>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3F9F"/>
    <w:rsid w:val="00744532"/>
    <w:rsid w:val="0074456D"/>
    <w:rsid w:val="00744B03"/>
    <w:rsid w:val="00744D08"/>
    <w:rsid w:val="0074508D"/>
    <w:rsid w:val="007452DC"/>
    <w:rsid w:val="007453E5"/>
    <w:rsid w:val="00745674"/>
    <w:rsid w:val="00745B43"/>
    <w:rsid w:val="00745BE5"/>
    <w:rsid w:val="0074618A"/>
    <w:rsid w:val="007464F1"/>
    <w:rsid w:val="007467E2"/>
    <w:rsid w:val="00746A8D"/>
    <w:rsid w:val="00746B94"/>
    <w:rsid w:val="00746D88"/>
    <w:rsid w:val="00746ED7"/>
    <w:rsid w:val="007476B6"/>
    <w:rsid w:val="007479D8"/>
    <w:rsid w:val="00747AA6"/>
    <w:rsid w:val="00747CFD"/>
    <w:rsid w:val="00747F89"/>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84C"/>
    <w:rsid w:val="00761AAE"/>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20A8"/>
    <w:rsid w:val="00772381"/>
    <w:rsid w:val="007732C5"/>
    <w:rsid w:val="00773751"/>
    <w:rsid w:val="00774971"/>
    <w:rsid w:val="00774F20"/>
    <w:rsid w:val="00775578"/>
    <w:rsid w:val="0077579F"/>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4E00"/>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3A3"/>
    <w:rsid w:val="007A29EB"/>
    <w:rsid w:val="007A3664"/>
    <w:rsid w:val="007A37A7"/>
    <w:rsid w:val="007A3918"/>
    <w:rsid w:val="007A4302"/>
    <w:rsid w:val="007A4A2D"/>
    <w:rsid w:val="007A4C45"/>
    <w:rsid w:val="007A5272"/>
    <w:rsid w:val="007A5363"/>
    <w:rsid w:val="007A53DB"/>
    <w:rsid w:val="007A54F9"/>
    <w:rsid w:val="007A55C3"/>
    <w:rsid w:val="007A5914"/>
    <w:rsid w:val="007A5CE8"/>
    <w:rsid w:val="007A6275"/>
    <w:rsid w:val="007A6F07"/>
    <w:rsid w:val="007A7819"/>
    <w:rsid w:val="007A7A38"/>
    <w:rsid w:val="007B0028"/>
    <w:rsid w:val="007B01F0"/>
    <w:rsid w:val="007B0869"/>
    <w:rsid w:val="007B0CA0"/>
    <w:rsid w:val="007B0F20"/>
    <w:rsid w:val="007B1074"/>
    <w:rsid w:val="007B10B9"/>
    <w:rsid w:val="007B157A"/>
    <w:rsid w:val="007B1BA4"/>
    <w:rsid w:val="007B1D35"/>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E28"/>
    <w:rsid w:val="007C04A6"/>
    <w:rsid w:val="007C1269"/>
    <w:rsid w:val="007C1583"/>
    <w:rsid w:val="007C17DF"/>
    <w:rsid w:val="007C1861"/>
    <w:rsid w:val="007C1888"/>
    <w:rsid w:val="007C2082"/>
    <w:rsid w:val="007C20BE"/>
    <w:rsid w:val="007C2213"/>
    <w:rsid w:val="007C2217"/>
    <w:rsid w:val="007C2C27"/>
    <w:rsid w:val="007C2EA8"/>
    <w:rsid w:val="007C39CD"/>
    <w:rsid w:val="007C3AFA"/>
    <w:rsid w:val="007C3BD3"/>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F50"/>
    <w:rsid w:val="007D2028"/>
    <w:rsid w:val="007D2249"/>
    <w:rsid w:val="007D2253"/>
    <w:rsid w:val="007D299E"/>
    <w:rsid w:val="007D2A2E"/>
    <w:rsid w:val="007D2E8C"/>
    <w:rsid w:val="007D3FCB"/>
    <w:rsid w:val="007D439F"/>
    <w:rsid w:val="007D45AE"/>
    <w:rsid w:val="007D4712"/>
    <w:rsid w:val="007D4AF9"/>
    <w:rsid w:val="007D52BB"/>
    <w:rsid w:val="007D5568"/>
    <w:rsid w:val="007D562F"/>
    <w:rsid w:val="007D5A6A"/>
    <w:rsid w:val="007D5B61"/>
    <w:rsid w:val="007D612A"/>
    <w:rsid w:val="007D668C"/>
    <w:rsid w:val="007D6BEF"/>
    <w:rsid w:val="007D6CA8"/>
    <w:rsid w:val="007D7112"/>
    <w:rsid w:val="007D7145"/>
    <w:rsid w:val="007D7469"/>
    <w:rsid w:val="007D75A1"/>
    <w:rsid w:val="007D775B"/>
    <w:rsid w:val="007D7D1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3B3"/>
    <w:rsid w:val="007E569C"/>
    <w:rsid w:val="007E5758"/>
    <w:rsid w:val="007E5A41"/>
    <w:rsid w:val="007E5C7C"/>
    <w:rsid w:val="007E5D05"/>
    <w:rsid w:val="007E5D5A"/>
    <w:rsid w:val="007E5E58"/>
    <w:rsid w:val="007E6045"/>
    <w:rsid w:val="007E6A21"/>
    <w:rsid w:val="007E6BF2"/>
    <w:rsid w:val="007E6D2E"/>
    <w:rsid w:val="007E7001"/>
    <w:rsid w:val="007E70FB"/>
    <w:rsid w:val="007E75AE"/>
    <w:rsid w:val="007E7DDD"/>
    <w:rsid w:val="007E7F81"/>
    <w:rsid w:val="007F00B7"/>
    <w:rsid w:val="007F046C"/>
    <w:rsid w:val="007F0543"/>
    <w:rsid w:val="007F083A"/>
    <w:rsid w:val="007F0D71"/>
    <w:rsid w:val="007F0DB9"/>
    <w:rsid w:val="007F0FF1"/>
    <w:rsid w:val="007F10C6"/>
    <w:rsid w:val="007F1EE1"/>
    <w:rsid w:val="007F2381"/>
    <w:rsid w:val="007F24E7"/>
    <w:rsid w:val="007F2684"/>
    <w:rsid w:val="007F27B2"/>
    <w:rsid w:val="007F2B0D"/>
    <w:rsid w:val="007F2D2D"/>
    <w:rsid w:val="007F2D44"/>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A82"/>
    <w:rsid w:val="00800D1D"/>
    <w:rsid w:val="0080107C"/>
    <w:rsid w:val="00801409"/>
    <w:rsid w:val="008016C2"/>
    <w:rsid w:val="008016D8"/>
    <w:rsid w:val="00801AD9"/>
    <w:rsid w:val="00801AFC"/>
    <w:rsid w:val="00801DE1"/>
    <w:rsid w:val="00801E87"/>
    <w:rsid w:val="00801F52"/>
    <w:rsid w:val="008025C2"/>
    <w:rsid w:val="00802B95"/>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D97"/>
    <w:rsid w:val="00806E2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148"/>
    <w:rsid w:val="00813186"/>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42C8"/>
    <w:rsid w:val="008242E7"/>
    <w:rsid w:val="0082440B"/>
    <w:rsid w:val="00824733"/>
    <w:rsid w:val="00824BD0"/>
    <w:rsid w:val="00824F69"/>
    <w:rsid w:val="00824FB2"/>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2739"/>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0EEE"/>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193E"/>
    <w:rsid w:val="00851BE3"/>
    <w:rsid w:val="00851DDF"/>
    <w:rsid w:val="008522D2"/>
    <w:rsid w:val="00852431"/>
    <w:rsid w:val="008525C3"/>
    <w:rsid w:val="00852947"/>
    <w:rsid w:val="00852986"/>
    <w:rsid w:val="00852B21"/>
    <w:rsid w:val="00852CCD"/>
    <w:rsid w:val="00852FED"/>
    <w:rsid w:val="00853109"/>
    <w:rsid w:val="00853126"/>
    <w:rsid w:val="00853310"/>
    <w:rsid w:val="00853B08"/>
    <w:rsid w:val="00853B1D"/>
    <w:rsid w:val="00853B28"/>
    <w:rsid w:val="00853E6A"/>
    <w:rsid w:val="00853F08"/>
    <w:rsid w:val="00854638"/>
    <w:rsid w:val="008546B3"/>
    <w:rsid w:val="008547BD"/>
    <w:rsid w:val="00854A85"/>
    <w:rsid w:val="00854B99"/>
    <w:rsid w:val="00854D14"/>
    <w:rsid w:val="00854F7E"/>
    <w:rsid w:val="00855312"/>
    <w:rsid w:val="0085551E"/>
    <w:rsid w:val="0085564C"/>
    <w:rsid w:val="008556FC"/>
    <w:rsid w:val="00855A58"/>
    <w:rsid w:val="00855B2F"/>
    <w:rsid w:val="00855B5B"/>
    <w:rsid w:val="00855BA0"/>
    <w:rsid w:val="008566E4"/>
    <w:rsid w:val="00856939"/>
    <w:rsid w:val="00856AEA"/>
    <w:rsid w:val="00856E14"/>
    <w:rsid w:val="008575DB"/>
    <w:rsid w:val="0085774A"/>
    <w:rsid w:val="00860133"/>
    <w:rsid w:val="00860272"/>
    <w:rsid w:val="008605BA"/>
    <w:rsid w:val="008611FD"/>
    <w:rsid w:val="00861591"/>
    <w:rsid w:val="00861B15"/>
    <w:rsid w:val="00861D4E"/>
    <w:rsid w:val="00862040"/>
    <w:rsid w:val="0086219C"/>
    <w:rsid w:val="008628EA"/>
    <w:rsid w:val="00863040"/>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737"/>
    <w:rsid w:val="00877C4A"/>
    <w:rsid w:val="00880175"/>
    <w:rsid w:val="00880320"/>
    <w:rsid w:val="0088084C"/>
    <w:rsid w:val="00880B7E"/>
    <w:rsid w:val="00880D7D"/>
    <w:rsid w:val="008811E0"/>
    <w:rsid w:val="008815E3"/>
    <w:rsid w:val="008815EA"/>
    <w:rsid w:val="00881836"/>
    <w:rsid w:val="00881A73"/>
    <w:rsid w:val="00881D50"/>
    <w:rsid w:val="008824D0"/>
    <w:rsid w:val="008825FD"/>
    <w:rsid w:val="00882701"/>
    <w:rsid w:val="0088285A"/>
    <w:rsid w:val="008835C6"/>
    <w:rsid w:val="00883C0B"/>
    <w:rsid w:val="00883DC8"/>
    <w:rsid w:val="00884355"/>
    <w:rsid w:val="008843D7"/>
    <w:rsid w:val="00884E66"/>
    <w:rsid w:val="00884E90"/>
    <w:rsid w:val="00884FBD"/>
    <w:rsid w:val="0088548A"/>
    <w:rsid w:val="00885CFF"/>
    <w:rsid w:val="00885D73"/>
    <w:rsid w:val="00885FD6"/>
    <w:rsid w:val="00886154"/>
    <w:rsid w:val="0088653D"/>
    <w:rsid w:val="00886720"/>
    <w:rsid w:val="00886924"/>
    <w:rsid w:val="00886A19"/>
    <w:rsid w:val="00886C60"/>
    <w:rsid w:val="008879FD"/>
    <w:rsid w:val="00890241"/>
    <w:rsid w:val="008908A1"/>
    <w:rsid w:val="00890950"/>
    <w:rsid w:val="00890A7D"/>
    <w:rsid w:val="00890BC8"/>
    <w:rsid w:val="00890C1E"/>
    <w:rsid w:val="008912EF"/>
    <w:rsid w:val="0089185D"/>
    <w:rsid w:val="008918D5"/>
    <w:rsid w:val="008918F9"/>
    <w:rsid w:val="0089195B"/>
    <w:rsid w:val="00891C11"/>
    <w:rsid w:val="00891EB7"/>
    <w:rsid w:val="00891F28"/>
    <w:rsid w:val="0089220D"/>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61E"/>
    <w:rsid w:val="0089668F"/>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B7"/>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A7CAE"/>
    <w:rsid w:val="008B0647"/>
    <w:rsid w:val="008B06AE"/>
    <w:rsid w:val="008B1304"/>
    <w:rsid w:val="008B16D8"/>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6FF"/>
    <w:rsid w:val="008B6C91"/>
    <w:rsid w:val="008B71D8"/>
    <w:rsid w:val="008B738E"/>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0C5"/>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07E"/>
    <w:rsid w:val="008E5375"/>
    <w:rsid w:val="008E53C7"/>
    <w:rsid w:val="008E5B5E"/>
    <w:rsid w:val="008E6410"/>
    <w:rsid w:val="008E6492"/>
    <w:rsid w:val="008E7317"/>
    <w:rsid w:val="008E73AA"/>
    <w:rsid w:val="008E7836"/>
    <w:rsid w:val="008F0742"/>
    <w:rsid w:val="008F100E"/>
    <w:rsid w:val="008F107F"/>
    <w:rsid w:val="008F10FF"/>
    <w:rsid w:val="008F11E8"/>
    <w:rsid w:val="008F1A0F"/>
    <w:rsid w:val="008F1C13"/>
    <w:rsid w:val="008F2212"/>
    <w:rsid w:val="008F385B"/>
    <w:rsid w:val="008F4036"/>
    <w:rsid w:val="008F49C9"/>
    <w:rsid w:val="008F4AED"/>
    <w:rsid w:val="008F51B5"/>
    <w:rsid w:val="008F573C"/>
    <w:rsid w:val="008F583F"/>
    <w:rsid w:val="008F5F14"/>
    <w:rsid w:val="008F66F0"/>
    <w:rsid w:val="008F67AE"/>
    <w:rsid w:val="008F6AAA"/>
    <w:rsid w:val="008F6AB0"/>
    <w:rsid w:val="008F6AEC"/>
    <w:rsid w:val="008F6F1B"/>
    <w:rsid w:val="008F7F8F"/>
    <w:rsid w:val="008F7FE5"/>
    <w:rsid w:val="00900171"/>
    <w:rsid w:val="009003DE"/>
    <w:rsid w:val="00900AB7"/>
    <w:rsid w:val="009020BE"/>
    <w:rsid w:val="009022A4"/>
    <w:rsid w:val="00902788"/>
    <w:rsid w:val="0090284D"/>
    <w:rsid w:val="0090305A"/>
    <w:rsid w:val="00903B60"/>
    <w:rsid w:val="009041C1"/>
    <w:rsid w:val="00904AF5"/>
    <w:rsid w:val="00904D04"/>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349"/>
    <w:rsid w:val="0090742E"/>
    <w:rsid w:val="00907498"/>
    <w:rsid w:val="009076F1"/>
    <w:rsid w:val="00907C00"/>
    <w:rsid w:val="00907C67"/>
    <w:rsid w:val="00907F48"/>
    <w:rsid w:val="00910048"/>
    <w:rsid w:val="009108F5"/>
    <w:rsid w:val="00910913"/>
    <w:rsid w:val="00910B04"/>
    <w:rsid w:val="00910C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17801"/>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A5"/>
    <w:rsid w:val="009268DA"/>
    <w:rsid w:val="00926CF6"/>
    <w:rsid w:val="00926FD2"/>
    <w:rsid w:val="00927258"/>
    <w:rsid w:val="00927924"/>
    <w:rsid w:val="009279BF"/>
    <w:rsid w:val="00930A72"/>
    <w:rsid w:val="00930EC4"/>
    <w:rsid w:val="00930FD0"/>
    <w:rsid w:val="00931096"/>
    <w:rsid w:val="0093163C"/>
    <w:rsid w:val="009316C4"/>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5D"/>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E43"/>
    <w:rsid w:val="0096207B"/>
    <w:rsid w:val="0096219D"/>
    <w:rsid w:val="00962218"/>
    <w:rsid w:val="0096223E"/>
    <w:rsid w:val="00962799"/>
    <w:rsid w:val="00962A76"/>
    <w:rsid w:val="00962B60"/>
    <w:rsid w:val="00962E64"/>
    <w:rsid w:val="009639D5"/>
    <w:rsid w:val="009644DF"/>
    <w:rsid w:val="00964670"/>
    <w:rsid w:val="00965086"/>
    <w:rsid w:val="009652C5"/>
    <w:rsid w:val="009652DC"/>
    <w:rsid w:val="00965618"/>
    <w:rsid w:val="00965F4F"/>
    <w:rsid w:val="0096652E"/>
    <w:rsid w:val="00966AEF"/>
    <w:rsid w:val="0096703C"/>
    <w:rsid w:val="00967550"/>
    <w:rsid w:val="009676BC"/>
    <w:rsid w:val="00967728"/>
    <w:rsid w:val="00967C3D"/>
    <w:rsid w:val="00970009"/>
    <w:rsid w:val="00970510"/>
    <w:rsid w:val="009705A0"/>
    <w:rsid w:val="009707A3"/>
    <w:rsid w:val="009711A9"/>
    <w:rsid w:val="00971615"/>
    <w:rsid w:val="00971A43"/>
    <w:rsid w:val="00971FA4"/>
    <w:rsid w:val="0097292E"/>
    <w:rsid w:val="00972AE3"/>
    <w:rsid w:val="00972DE8"/>
    <w:rsid w:val="00972E95"/>
    <w:rsid w:val="00972F15"/>
    <w:rsid w:val="00973132"/>
    <w:rsid w:val="00973161"/>
    <w:rsid w:val="0097328A"/>
    <w:rsid w:val="009736CE"/>
    <w:rsid w:val="0097388E"/>
    <w:rsid w:val="0097407B"/>
    <w:rsid w:val="00974A4A"/>
    <w:rsid w:val="00974FE1"/>
    <w:rsid w:val="009759CF"/>
    <w:rsid w:val="00975A05"/>
    <w:rsid w:val="0097603E"/>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2582"/>
    <w:rsid w:val="00992772"/>
    <w:rsid w:val="00992822"/>
    <w:rsid w:val="00992A32"/>
    <w:rsid w:val="00992AD8"/>
    <w:rsid w:val="00992B34"/>
    <w:rsid w:val="0099307A"/>
    <w:rsid w:val="00993162"/>
    <w:rsid w:val="00993204"/>
    <w:rsid w:val="009936F3"/>
    <w:rsid w:val="00993E21"/>
    <w:rsid w:val="00993E45"/>
    <w:rsid w:val="00993ED5"/>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67B"/>
    <w:rsid w:val="009A0769"/>
    <w:rsid w:val="009A0AA5"/>
    <w:rsid w:val="009A0ABA"/>
    <w:rsid w:val="009A0E03"/>
    <w:rsid w:val="009A0E28"/>
    <w:rsid w:val="009A0E88"/>
    <w:rsid w:val="009A12A5"/>
    <w:rsid w:val="009A147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5C2C"/>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B"/>
    <w:rsid w:val="009B75A6"/>
    <w:rsid w:val="009B7710"/>
    <w:rsid w:val="009B787E"/>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84"/>
    <w:rsid w:val="009D34B5"/>
    <w:rsid w:val="009D3EE0"/>
    <w:rsid w:val="009D42BA"/>
    <w:rsid w:val="009D433A"/>
    <w:rsid w:val="009D4469"/>
    <w:rsid w:val="009D4652"/>
    <w:rsid w:val="009D4AA7"/>
    <w:rsid w:val="009D4F35"/>
    <w:rsid w:val="009D5064"/>
    <w:rsid w:val="009D5171"/>
    <w:rsid w:val="009D5A4B"/>
    <w:rsid w:val="009D5D34"/>
    <w:rsid w:val="009D5DA7"/>
    <w:rsid w:val="009D5E1A"/>
    <w:rsid w:val="009D6225"/>
    <w:rsid w:val="009D66F4"/>
    <w:rsid w:val="009D69E9"/>
    <w:rsid w:val="009D6B40"/>
    <w:rsid w:val="009D6EAE"/>
    <w:rsid w:val="009D7070"/>
    <w:rsid w:val="009D7199"/>
    <w:rsid w:val="009D720F"/>
    <w:rsid w:val="009D74C7"/>
    <w:rsid w:val="009D74F5"/>
    <w:rsid w:val="009D76C7"/>
    <w:rsid w:val="009D795B"/>
    <w:rsid w:val="009D7F86"/>
    <w:rsid w:val="009E01E8"/>
    <w:rsid w:val="009E0F9C"/>
    <w:rsid w:val="009E1231"/>
    <w:rsid w:val="009E1255"/>
    <w:rsid w:val="009E244A"/>
    <w:rsid w:val="009E26E3"/>
    <w:rsid w:val="009E27C1"/>
    <w:rsid w:val="009E2960"/>
    <w:rsid w:val="009E29DA"/>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2B4"/>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319"/>
    <w:rsid w:val="00A015FC"/>
    <w:rsid w:val="00A019B4"/>
    <w:rsid w:val="00A01E1B"/>
    <w:rsid w:val="00A02170"/>
    <w:rsid w:val="00A02A06"/>
    <w:rsid w:val="00A02A20"/>
    <w:rsid w:val="00A036A9"/>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C0C"/>
    <w:rsid w:val="00A12D87"/>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3E3"/>
    <w:rsid w:val="00A56641"/>
    <w:rsid w:val="00A5679C"/>
    <w:rsid w:val="00A575FA"/>
    <w:rsid w:val="00A5761E"/>
    <w:rsid w:val="00A57BA4"/>
    <w:rsid w:val="00A57FB5"/>
    <w:rsid w:val="00A60442"/>
    <w:rsid w:val="00A60470"/>
    <w:rsid w:val="00A608A7"/>
    <w:rsid w:val="00A608C0"/>
    <w:rsid w:val="00A6096B"/>
    <w:rsid w:val="00A60E2D"/>
    <w:rsid w:val="00A61413"/>
    <w:rsid w:val="00A61766"/>
    <w:rsid w:val="00A617AB"/>
    <w:rsid w:val="00A62302"/>
    <w:rsid w:val="00A62733"/>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4BC"/>
    <w:rsid w:val="00A87AEC"/>
    <w:rsid w:val="00A87DC6"/>
    <w:rsid w:val="00A9037C"/>
    <w:rsid w:val="00A90761"/>
    <w:rsid w:val="00A90B72"/>
    <w:rsid w:val="00A90FE2"/>
    <w:rsid w:val="00A911F2"/>
    <w:rsid w:val="00A917A5"/>
    <w:rsid w:val="00A91F75"/>
    <w:rsid w:val="00A92391"/>
    <w:rsid w:val="00A925B5"/>
    <w:rsid w:val="00A926C9"/>
    <w:rsid w:val="00A926DF"/>
    <w:rsid w:val="00A92904"/>
    <w:rsid w:val="00A92C9C"/>
    <w:rsid w:val="00A93109"/>
    <w:rsid w:val="00A93986"/>
    <w:rsid w:val="00A93A55"/>
    <w:rsid w:val="00A93E6C"/>
    <w:rsid w:val="00A945C8"/>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D2A"/>
    <w:rsid w:val="00AA0E2A"/>
    <w:rsid w:val="00AA0FA2"/>
    <w:rsid w:val="00AA1461"/>
    <w:rsid w:val="00AA15F3"/>
    <w:rsid w:val="00AA1635"/>
    <w:rsid w:val="00AA1A7B"/>
    <w:rsid w:val="00AA1B08"/>
    <w:rsid w:val="00AA1C07"/>
    <w:rsid w:val="00AA1D23"/>
    <w:rsid w:val="00AA1D6A"/>
    <w:rsid w:val="00AA20AD"/>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21D5"/>
    <w:rsid w:val="00AC2D56"/>
    <w:rsid w:val="00AC32DA"/>
    <w:rsid w:val="00AC33EC"/>
    <w:rsid w:val="00AC3490"/>
    <w:rsid w:val="00AC35F1"/>
    <w:rsid w:val="00AC387B"/>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3E59"/>
    <w:rsid w:val="00AD4002"/>
    <w:rsid w:val="00AD477D"/>
    <w:rsid w:val="00AD4C0E"/>
    <w:rsid w:val="00AD4CAD"/>
    <w:rsid w:val="00AD4D9A"/>
    <w:rsid w:val="00AD4E65"/>
    <w:rsid w:val="00AD5261"/>
    <w:rsid w:val="00AD54B0"/>
    <w:rsid w:val="00AD559E"/>
    <w:rsid w:val="00AD5C6B"/>
    <w:rsid w:val="00AD5CD4"/>
    <w:rsid w:val="00AD60C7"/>
    <w:rsid w:val="00AD629A"/>
    <w:rsid w:val="00AD6458"/>
    <w:rsid w:val="00AD6764"/>
    <w:rsid w:val="00AD6779"/>
    <w:rsid w:val="00AD6B96"/>
    <w:rsid w:val="00AD6FDC"/>
    <w:rsid w:val="00AD72E8"/>
    <w:rsid w:val="00AD7489"/>
    <w:rsid w:val="00AD7496"/>
    <w:rsid w:val="00AD789F"/>
    <w:rsid w:val="00AE0555"/>
    <w:rsid w:val="00AE0CC8"/>
    <w:rsid w:val="00AE1289"/>
    <w:rsid w:val="00AE1313"/>
    <w:rsid w:val="00AE13B6"/>
    <w:rsid w:val="00AE16C8"/>
    <w:rsid w:val="00AE1AB8"/>
    <w:rsid w:val="00AE1E64"/>
    <w:rsid w:val="00AE21AC"/>
    <w:rsid w:val="00AE25D5"/>
    <w:rsid w:val="00AE2BDA"/>
    <w:rsid w:val="00AE355B"/>
    <w:rsid w:val="00AE3D76"/>
    <w:rsid w:val="00AE44F6"/>
    <w:rsid w:val="00AE48DD"/>
    <w:rsid w:val="00AE4BE3"/>
    <w:rsid w:val="00AE53EB"/>
    <w:rsid w:val="00AE543D"/>
    <w:rsid w:val="00AE560D"/>
    <w:rsid w:val="00AE570F"/>
    <w:rsid w:val="00AE58EA"/>
    <w:rsid w:val="00AE5B22"/>
    <w:rsid w:val="00AE5D2D"/>
    <w:rsid w:val="00AE5EAA"/>
    <w:rsid w:val="00AE61B3"/>
    <w:rsid w:val="00AE61F5"/>
    <w:rsid w:val="00AE67F7"/>
    <w:rsid w:val="00AE691C"/>
    <w:rsid w:val="00AE6A87"/>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313"/>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811"/>
    <w:rsid w:val="00B04DC8"/>
    <w:rsid w:val="00B04E2A"/>
    <w:rsid w:val="00B053C8"/>
    <w:rsid w:val="00B059B6"/>
    <w:rsid w:val="00B059E3"/>
    <w:rsid w:val="00B05FB3"/>
    <w:rsid w:val="00B062B2"/>
    <w:rsid w:val="00B06336"/>
    <w:rsid w:val="00B06358"/>
    <w:rsid w:val="00B069AF"/>
    <w:rsid w:val="00B06CD2"/>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73"/>
    <w:rsid w:val="00B14586"/>
    <w:rsid w:val="00B145A3"/>
    <w:rsid w:val="00B149FA"/>
    <w:rsid w:val="00B14AC0"/>
    <w:rsid w:val="00B14B27"/>
    <w:rsid w:val="00B150A0"/>
    <w:rsid w:val="00B152C5"/>
    <w:rsid w:val="00B15963"/>
    <w:rsid w:val="00B15B25"/>
    <w:rsid w:val="00B15B26"/>
    <w:rsid w:val="00B16522"/>
    <w:rsid w:val="00B165B1"/>
    <w:rsid w:val="00B1770C"/>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0A6"/>
    <w:rsid w:val="00B2115A"/>
    <w:rsid w:val="00B21319"/>
    <w:rsid w:val="00B214DF"/>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11"/>
    <w:rsid w:val="00B24986"/>
    <w:rsid w:val="00B249B0"/>
    <w:rsid w:val="00B24F7A"/>
    <w:rsid w:val="00B252CF"/>
    <w:rsid w:val="00B25670"/>
    <w:rsid w:val="00B25B82"/>
    <w:rsid w:val="00B25DE3"/>
    <w:rsid w:val="00B25E44"/>
    <w:rsid w:val="00B25EFC"/>
    <w:rsid w:val="00B26251"/>
    <w:rsid w:val="00B2646C"/>
    <w:rsid w:val="00B265A4"/>
    <w:rsid w:val="00B272B5"/>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C51"/>
    <w:rsid w:val="00B31D5F"/>
    <w:rsid w:val="00B323A5"/>
    <w:rsid w:val="00B3241F"/>
    <w:rsid w:val="00B329D6"/>
    <w:rsid w:val="00B32AC3"/>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1EE9"/>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4BD"/>
    <w:rsid w:val="00B4560D"/>
    <w:rsid w:val="00B45863"/>
    <w:rsid w:val="00B45883"/>
    <w:rsid w:val="00B459FE"/>
    <w:rsid w:val="00B462E1"/>
    <w:rsid w:val="00B46486"/>
    <w:rsid w:val="00B46784"/>
    <w:rsid w:val="00B46A7D"/>
    <w:rsid w:val="00B4748F"/>
    <w:rsid w:val="00B4782B"/>
    <w:rsid w:val="00B47B5C"/>
    <w:rsid w:val="00B47EAD"/>
    <w:rsid w:val="00B50432"/>
    <w:rsid w:val="00B50594"/>
    <w:rsid w:val="00B51227"/>
    <w:rsid w:val="00B5145A"/>
    <w:rsid w:val="00B51C2E"/>
    <w:rsid w:val="00B5239D"/>
    <w:rsid w:val="00B5260C"/>
    <w:rsid w:val="00B52D28"/>
    <w:rsid w:val="00B52F99"/>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258"/>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E2F"/>
    <w:rsid w:val="00B64F84"/>
    <w:rsid w:val="00B6513E"/>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4BFA"/>
    <w:rsid w:val="00B75050"/>
    <w:rsid w:val="00B75439"/>
    <w:rsid w:val="00B755FF"/>
    <w:rsid w:val="00B7562E"/>
    <w:rsid w:val="00B756FD"/>
    <w:rsid w:val="00B75763"/>
    <w:rsid w:val="00B758FB"/>
    <w:rsid w:val="00B75904"/>
    <w:rsid w:val="00B75B7E"/>
    <w:rsid w:val="00B76311"/>
    <w:rsid w:val="00B763BD"/>
    <w:rsid w:val="00B76613"/>
    <w:rsid w:val="00B7681D"/>
    <w:rsid w:val="00B76AB0"/>
    <w:rsid w:val="00B76E95"/>
    <w:rsid w:val="00B76F50"/>
    <w:rsid w:val="00B77068"/>
    <w:rsid w:val="00B771B0"/>
    <w:rsid w:val="00B7734A"/>
    <w:rsid w:val="00B77519"/>
    <w:rsid w:val="00B77AAC"/>
    <w:rsid w:val="00B77AB2"/>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3CEA"/>
    <w:rsid w:val="00B94197"/>
    <w:rsid w:val="00B94528"/>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3A8"/>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3BAB"/>
    <w:rsid w:val="00BB449C"/>
    <w:rsid w:val="00BB49A3"/>
    <w:rsid w:val="00BB4DDF"/>
    <w:rsid w:val="00BB4F4E"/>
    <w:rsid w:val="00BB51D6"/>
    <w:rsid w:val="00BB5243"/>
    <w:rsid w:val="00BB528A"/>
    <w:rsid w:val="00BB53FB"/>
    <w:rsid w:val="00BB5650"/>
    <w:rsid w:val="00BB5736"/>
    <w:rsid w:val="00BB5F17"/>
    <w:rsid w:val="00BB5FE7"/>
    <w:rsid w:val="00BB61DC"/>
    <w:rsid w:val="00BB724F"/>
    <w:rsid w:val="00BB7A82"/>
    <w:rsid w:val="00BB7E33"/>
    <w:rsid w:val="00BB7E6F"/>
    <w:rsid w:val="00BB7E71"/>
    <w:rsid w:val="00BB7F45"/>
    <w:rsid w:val="00BC08B1"/>
    <w:rsid w:val="00BC11DE"/>
    <w:rsid w:val="00BC14B2"/>
    <w:rsid w:val="00BC1858"/>
    <w:rsid w:val="00BC19B6"/>
    <w:rsid w:val="00BC1D0D"/>
    <w:rsid w:val="00BC239E"/>
    <w:rsid w:val="00BC274A"/>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02"/>
    <w:rsid w:val="00BD25F1"/>
    <w:rsid w:val="00BD25FC"/>
    <w:rsid w:val="00BD2ACD"/>
    <w:rsid w:val="00BD2FDC"/>
    <w:rsid w:val="00BD32C6"/>
    <w:rsid w:val="00BD3441"/>
    <w:rsid w:val="00BD3889"/>
    <w:rsid w:val="00BD3CF8"/>
    <w:rsid w:val="00BD4224"/>
    <w:rsid w:val="00BD4289"/>
    <w:rsid w:val="00BD49A8"/>
    <w:rsid w:val="00BD4AE6"/>
    <w:rsid w:val="00BD5368"/>
    <w:rsid w:val="00BD552C"/>
    <w:rsid w:val="00BD664E"/>
    <w:rsid w:val="00BD67E0"/>
    <w:rsid w:val="00BD6853"/>
    <w:rsid w:val="00BD6921"/>
    <w:rsid w:val="00BD6E23"/>
    <w:rsid w:val="00BD6F0A"/>
    <w:rsid w:val="00BD6F6D"/>
    <w:rsid w:val="00BD73A9"/>
    <w:rsid w:val="00BD75E3"/>
    <w:rsid w:val="00BD775E"/>
    <w:rsid w:val="00BD78A2"/>
    <w:rsid w:val="00BD7B51"/>
    <w:rsid w:val="00BD7EAD"/>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087"/>
    <w:rsid w:val="00BE5498"/>
    <w:rsid w:val="00BE54D2"/>
    <w:rsid w:val="00BE55A8"/>
    <w:rsid w:val="00BE56E3"/>
    <w:rsid w:val="00BE5C01"/>
    <w:rsid w:val="00BE5D93"/>
    <w:rsid w:val="00BE629A"/>
    <w:rsid w:val="00BE63C4"/>
    <w:rsid w:val="00BE6758"/>
    <w:rsid w:val="00BE6C79"/>
    <w:rsid w:val="00BE6EB2"/>
    <w:rsid w:val="00BE6F73"/>
    <w:rsid w:val="00BE79A6"/>
    <w:rsid w:val="00BE7BB6"/>
    <w:rsid w:val="00BE7C7E"/>
    <w:rsid w:val="00BE7C81"/>
    <w:rsid w:val="00BE7E3D"/>
    <w:rsid w:val="00BE7FFA"/>
    <w:rsid w:val="00BF01C5"/>
    <w:rsid w:val="00BF03D2"/>
    <w:rsid w:val="00BF0447"/>
    <w:rsid w:val="00BF04CD"/>
    <w:rsid w:val="00BF0571"/>
    <w:rsid w:val="00BF05C9"/>
    <w:rsid w:val="00BF0C4F"/>
    <w:rsid w:val="00BF0D59"/>
    <w:rsid w:val="00BF0F77"/>
    <w:rsid w:val="00BF1126"/>
    <w:rsid w:val="00BF1705"/>
    <w:rsid w:val="00BF1B5E"/>
    <w:rsid w:val="00BF1E2F"/>
    <w:rsid w:val="00BF21A3"/>
    <w:rsid w:val="00BF2268"/>
    <w:rsid w:val="00BF2959"/>
    <w:rsid w:val="00BF2A9E"/>
    <w:rsid w:val="00BF2BC2"/>
    <w:rsid w:val="00BF2FA4"/>
    <w:rsid w:val="00BF3E6A"/>
    <w:rsid w:val="00BF3E94"/>
    <w:rsid w:val="00BF3ED2"/>
    <w:rsid w:val="00BF3F3E"/>
    <w:rsid w:val="00BF4115"/>
    <w:rsid w:val="00BF43DA"/>
    <w:rsid w:val="00BF46D1"/>
    <w:rsid w:val="00BF47B5"/>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41E9"/>
    <w:rsid w:val="00C04379"/>
    <w:rsid w:val="00C04B64"/>
    <w:rsid w:val="00C04BE6"/>
    <w:rsid w:val="00C05034"/>
    <w:rsid w:val="00C051D6"/>
    <w:rsid w:val="00C0589F"/>
    <w:rsid w:val="00C05CB0"/>
    <w:rsid w:val="00C05D11"/>
    <w:rsid w:val="00C05D6A"/>
    <w:rsid w:val="00C05ED2"/>
    <w:rsid w:val="00C0603E"/>
    <w:rsid w:val="00C06248"/>
    <w:rsid w:val="00C062D0"/>
    <w:rsid w:val="00C0632B"/>
    <w:rsid w:val="00C06AA2"/>
    <w:rsid w:val="00C06B9E"/>
    <w:rsid w:val="00C075D5"/>
    <w:rsid w:val="00C07870"/>
    <w:rsid w:val="00C07D7B"/>
    <w:rsid w:val="00C1067D"/>
    <w:rsid w:val="00C109A8"/>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75"/>
    <w:rsid w:val="00C2099B"/>
    <w:rsid w:val="00C20B5A"/>
    <w:rsid w:val="00C20FE1"/>
    <w:rsid w:val="00C21795"/>
    <w:rsid w:val="00C22121"/>
    <w:rsid w:val="00C223F8"/>
    <w:rsid w:val="00C22906"/>
    <w:rsid w:val="00C22A8F"/>
    <w:rsid w:val="00C22DCD"/>
    <w:rsid w:val="00C232BE"/>
    <w:rsid w:val="00C233A5"/>
    <w:rsid w:val="00C2358F"/>
    <w:rsid w:val="00C235B0"/>
    <w:rsid w:val="00C23913"/>
    <w:rsid w:val="00C23C37"/>
    <w:rsid w:val="00C23C7F"/>
    <w:rsid w:val="00C2403E"/>
    <w:rsid w:val="00C24230"/>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D36"/>
    <w:rsid w:val="00C27EE4"/>
    <w:rsid w:val="00C27F25"/>
    <w:rsid w:val="00C30545"/>
    <w:rsid w:val="00C30BB5"/>
    <w:rsid w:val="00C30BBA"/>
    <w:rsid w:val="00C30BD2"/>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B75"/>
    <w:rsid w:val="00C43C41"/>
    <w:rsid w:val="00C43E1D"/>
    <w:rsid w:val="00C4417C"/>
    <w:rsid w:val="00C4419D"/>
    <w:rsid w:val="00C447F4"/>
    <w:rsid w:val="00C45033"/>
    <w:rsid w:val="00C4512F"/>
    <w:rsid w:val="00C45174"/>
    <w:rsid w:val="00C4539F"/>
    <w:rsid w:val="00C457CE"/>
    <w:rsid w:val="00C46F9F"/>
    <w:rsid w:val="00C4736F"/>
    <w:rsid w:val="00C4740D"/>
    <w:rsid w:val="00C4752F"/>
    <w:rsid w:val="00C47767"/>
    <w:rsid w:val="00C50755"/>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36A6"/>
    <w:rsid w:val="00C5421C"/>
    <w:rsid w:val="00C542BD"/>
    <w:rsid w:val="00C543BB"/>
    <w:rsid w:val="00C54685"/>
    <w:rsid w:val="00C547EC"/>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19A"/>
    <w:rsid w:val="00C61220"/>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72D"/>
    <w:rsid w:val="00C65BF9"/>
    <w:rsid w:val="00C65F29"/>
    <w:rsid w:val="00C65F89"/>
    <w:rsid w:val="00C66820"/>
    <w:rsid w:val="00C66A02"/>
    <w:rsid w:val="00C66B37"/>
    <w:rsid w:val="00C66B8B"/>
    <w:rsid w:val="00C66F9E"/>
    <w:rsid w:val="00C66FA7"/>
    <w:rsid w:val="00C671B4"/>
    <w:rsid w:val="00C67812"/>
    <w:rsid w:val="00C67EC9"/>
    <w:rsid w:val="00C700DE"/>
    <w:rsid w:val="00C70374"/>
    <w:rsid w:val="00C70865"/>
    <w:rsid w:val="00C71194"/>
    <w:rsid w:val="00C71322"/>
    <w:rsid w:val="00C715E3"/>
    <w:rsid w:val="00C71B25"/>
    <w:rsid w:val="00C7224A"/>
    <w:rsid w:val="00C72423"/>
    <w:rsid w:val="00C728D6"/>
    <w:rsid w:val="00C728E2"/>
    <w:rsid w:val="00C72A31"/>
    <w:rsid w:val="00C72A5C"/>
    <w:rsid w:val="00C72C38"/>
    <w:rsid w:val="00C73ADE"/>
    <w:rsid w:val="00C74912"/>
    <w:rsid w:val="00C74B4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EF0"/>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48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08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10"/>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FE1"/>
    <w:rsid w:val="00CA3169"/>
    <w:rsid w:val="00CA3364"/>
    <w:rsid w:val="00CA33ED"/>
    <w:rsid w:val="00CA38F3"/>
    <w:rsid w:val="00CA3916"/>
    <w:rsid w:val="00CA43A7"/>
    <w:rsid w:val="00CA453D"/>
    <w:rsid w:val="00CA46F2"/>
    <w:rsid w:val="00CA4B25"/>
    <w:rsid w:val="00CA54F9"/>
    <w:rsid w:val="00CA57DE"/>
    <w:rsid w:val="00CA6358"/>
    <w:rsid w:val="00CA6517"/>
    <w:rsid w:val="00CA6CC9"/>
    <w:rsid w:val="00CA701B"/>
    <w:rsid w:val="00CA762A"/>
    <w:rsid w:val="00CA767A"/>
    <w:rsid w:val="00CA7901"/>
    <w:rsid w:val="00CA7979"/>
    <w:rsid w:val="00CA7AC2"/>
    <w:rsid w:val="00CA7B83"/>
    <w:rsid w:val="00CB014B"/>
    <w:rsid w:val="00CB01DB"/>
    <w:rsid w:val="00CB071D"/>
    <w:rsid w:val="00CB0D2C"/>
    <w:rsid w:val="00CB0D5D"/>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1EA"/>
    <w:rsid w:val="00CC2419"/>
    <w:rsid w:val="00CC2616"/>
    <w:rsid w:val="00CC2618"/>
    <w:rsid w:val="00CC2820"/>
    <w:rsid w:val="00CC2A07"/>
    <w:rsid w:val="00CC2BDC"/>
    <w:rsid w:val="00CC2DC5"/>
    <w:rsid w:val="00CC2F8A"/>
    <w:rsid w:val="00CC33CD"/>
    <w:rsid w:val="00CC35AE"/>
    <w:rsid w:val="00CC3687"/>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0DF1"/>
    <w:rsid w:val="00CD1A76"/>
    <w:rsid w:val="00CD1F34"/>
    <w:rsid w:val="00CD216B"/>
    <w:rsid w:val="00CD24AD"/>
    <w:rsid w:val="00CD250C"/>
    <w:rsid w:val="00CD25EE"/>
    <w:rsid w:val="00CD2631"/>
    <w:rsid w:val="00CD270D"/>
    <w:rsid w:val="00CD3012"/>
    <w:rsid w:val="00CD32F4"/>
    <w:rsid w:val="00CD343E"/>
    <w:rsid w:val="00CD351E"/>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4E15"/>
    <w:rsid w:val="00CE5011"/>
    <w:rsid w:val="00CE52BC"/>
    <w:rsid w:val="00CE563D"/>
    <w:rsid w:val="00CE5845"/>
    <w:rsid w:val="00CE5F1D"/>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B9A"/>
    <w:rsid w:val="00D03CCF"/>
    <w:rsid w:val="00D04359"/>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892"/>
    <w:rsid w:val="00D15C92"/>
    <w:rsid w:val="00D15DE3"/>
    <w:rsid w:val="00D160FD"/>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ABC"/>
    <w:rsid w:val="00D20CF9"/>
    <w:rsid w:val="00D21806"/>
    <w:rsid w:val="00D219F2"/>
    <w:rsid w:val="00D222EB"/>
    <w:rsid w:val="00D22A18"/>
    <w:rsid w:val="00D22DF5"/>
    <w:rsid w:val="00D23385"/>
    <w:rsid w:val="00D234AF"/>
    <w:rsid w:val="00D23ACC"/>
    <w:rsid w:val="00D23D30"/>
    <w:rsid w:val="00D23DAC"/>
    <w:rsid w:val="00D24026"/>
    <w:rsid w:val="00D24063"/>
    <w:rsid w:val="00D242B4"/>
    <w:rsid w:val="00D25399"/>
    <w:rsid w:val="00D253CE"/>
    <w:rsid w:val="00D25437"/>
    <w:rsid w:val="00D25E08"/>
    <w:rsid w:val="00D25E19"/>
    <w:rsid w:val="00D261B7"/>
    <w:rsid w:val="00D26963"/>
    <w:rsid w:val="00D27011"/>
    <w:rsid w:val="00D27B9E"/>
    <w:rsid w:val="00D30261"/>
    <w:rsid w:val="00D306EA"/>
    <w:rsid w:val="00D307E1"/>
    <w:rsid w:val="00D30A0E"/>
    <w:rsid w:val="00D30A57"/>
    <w:rsid w:val="00D30C17"/>
    <w:rsid w:val="00D30CE4"/>
    <w:rsid w:val="00D30E27"/>
    <w:rsid w:val="00D30FE1"/>
    <w:rsid w:val="00D317E6"/>
    <w:rsid w:val="00D31A2B"/>
    <w:rsid w:val="00D31B22"/>
    <w:rsid w:val="00D31C0A"/>
    <w:rsid w:val="00D326E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91A"/>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6412"/>
    <w:rsid w:val="00D46770"/>
    <w:rsid w:val="00D47155"/>
    <w:rsid w:val="00D4718A"/>
    <w:rsid w:val="00D47286"/>
    <w:rsid w:val="00D4767F"/>
    <w:rsid w:val="00D47685"/>
    <w:rsid w:val="00D4775C"/>
    <w:rsid w:val="00D47D87"/>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BE"/>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14CC"/>
    <w:rsid w:val="00D6194E"/>
    <w:rsid w:val="00D61B24"/>
    <w:rsid w:val="00D62052"/>
    <w:rsid w:val="00D620B0"/>
    <w:rsid w:val="00D6233D"/>
    <w:rsid w:val="00D62463"/>
    <w:rsid w:val="00D629C9"/>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6DD"/>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807"/>
    <w:rsid w:val="00D87B56"/>
    <w:rsid w:val="00D87FB0"/>
    <w:rsid w:val="00D903B4"/>
    <w:rsid w:val="00D90555"/>
    <w:rsid w:val="00D905F2"/>
    <w:rsid w:val="00D909CA"/>
    <w:rsid w:val="00D90A0E"/>
    <w:rsid w:val="00D90A93"/>
    <w:rsid w:val="00D90D20"/>
    <w:rsid w:val="00D915C2"/>
    <w:rsid w:val="00D916E8"/>
    <w:rsid w:val="00D9193F"/>
    <w:rsid w:val="00D91CAD"/>
    <w:rsid w:val="00D91F22"/>
    <w:rsid w:val="00D9240F"/>
    <w:rsid w:val="00D924D9"/>
    <w:rsid w:val="00D92C3B"/>
    <w:rsid w:val="00D93221"/>
    <w:rsid w:val="00D937AB"/>
    <w:rsid w:val="00D93ED7"/>
    <w:rsid w:val="00D93F94"/>
    <w:rsid w:val="00D9439A"/>
    <w:rsid w:val="00D94400"/>
    <w:rsid w:val="00D944EF"/>
    <w:rsid w:val="00D9484E"/>
    <w:rsid w:val="00D9492A"/>
    <w:rsid w:val="00D94B83"/>
    <w:rsid w:val="00D94D9F"/>
    <w:rsid w:val="00D94F40"/>
    <w:rsid w:val="00D9556D"/>
    <w:rsid w:val="00D95BA5"/>
    <w:rsid w:val="00D95D71"/>
    <w:rsid w:val="00D95E0F"/>
    <w:rsid w:val="00D95EFF"/>
    <w:rsid w:val="00D960B5"/>
    <w:rsid w:val="00D960C8"/>
    <w:rsid w:val="00D961E3"/>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51A"/>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2D"/>
    <w:rsid w:val="00DA6875"/>
    <w:rsid w:val="00DA6AEF"/>
    <w:rsid w:val="00DA6C09"/>
    <w:rsid w:val="00DA7018"/>
    <w:rsid w:val="00DA782E"/>
    <w:rsid w:val="00DA7B91"/>
    <w:rsid w:val="00DA7ED6"/>
    <w:rsid w:val="00DB0441"/>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4572"/>
    <w:rsid w:val="00DB45AC"/>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740"/>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E48"/>
    <w:rsid w:val="00DC50C7"/>
    <w:rsid w:val="00DC51F9"/>
    <w:rsid w:val="00DC5A1A"/>
    <w:rsid w:val="00DC5CEC"/>
    <w:rsid w:val="00DC60F0"/>
    <w:rsid w:val="00DC6167"/>
    <w:rsid w:val="00DC6207"/>
    <w:rsid w:val="00DC6C3B"/>
    <w:rsid w:val="00DC6D9A"/>
    <w:rsid w:val="00DC6F2A"/>
    <w:rsid w:val="00DC720C"/>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60B"/>
    <w:rsid w:val="00DE139E"/>
    <w:rsid w:val="00DE1669"/>
    <w:rsid w:val="00DE1BBF"/>
    <w:rsid w:val="00DE1C33"/>
    <w:rsid w:val="00DE1D05"/>
    <w:rsid w:val="00DE20EF"/>
    <w:rsid w:val="00DE2519"/>
    <w:rsid w:val="00DE25CB"/>
    <w:rsid w:val="00DE2C38"/>
    <w:rsid w:val="00DE2CEE"/>
    <w:rsid w:val="00DE2EB8"/>
    <w:rsid w:val="00DE2FEA"/>
    <w:rsid w:val="00DE32D0"/>
    <w:rsid w:val="00DE3490"/>
    <w:rsid w:val="00DE3C2B"/>
    <w:rsid w:val="00DE3D29"/>
    <w:rsid w:val="00DE4314"/>
    <w:rsid w:val="00DE4480"/>
    <w:rsid w:val="00DE458A"/>
    <w:rsid w:val="00DE52C3"/>
    <w:rsid w:val="00DE5577"/>
    <w:rsid w:val="00DE5948"/>
    <w:rsid w:val="00DE5C18"/>
    <w:rsid w:val="00DE659D"/>
    <w:rsid w:val="00DE66F2"/>
    <w:rsid w:val="00DE68B9"/>
    <w:rsid w:val="00DE6924"/>
    <w:rsid w:val="00DE77DD"/>
    <w:rsid w:val="00DF0AEE"/>
    <w:rsid w:val="00DF0BD1"/>
    <w:rsid w:val="00DF0E1C"/>
    <w:rsid w:val="00DF0F0D"/>
    <w:rsid w:val="00DF1B55"/>
    <w:rsid w:val="00DF1C23"/>
    <w:rsid w:val="00DF2126"/>
    <w:rsid w:val="00DF2569"/>
    <w:rsid w:val="00DF2618"/>
    <w:rsid w:val="00DF2E7F"/>
    <w:rsid w:val="00DF35C6"/>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5B2"/>
    <w:rsid w:val="00E00B80"/>
    <w:rsid w:val="00E00CDE"/>
    <w:rsid w:val="00E00F4C"/>
    <w:rsid w:val="00E01222"/>
    <w:rsid w:val="00E01676"/>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FD"/>
    <w:rsid w:val="00E148C7"/>
    <w:rsid w:val="00E14CF2"/>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1BF2"/>
    <w:rsid w:val="00E2293D"/>
    <w:rsid w:val="00E22D68"/>
    <w:rsid w:val="00E2325F"/>
    <w:rsid w:val="00E24A76"/>
    <w:rsid w:val="00E25980"/>
    <w:rsid w:val="00E25BF1"/>
    <w:rsid w:val="00E25CE6"/>
    <w:rsid w:val="00E25DFC"/>
    <w:rsid w:val="00E263D2"/>
    <w:rsid w:val="00E26700"/>
    <w:rsid w:val="00E2693D"/>
    <w:rsid w:val="00E26BD3"/>
    <w:rsid w:val="00E2740F"/>
    <w:rsid w:val="00E27515"/>
    <w:rsid w:val="00E27A4F"/>
    <w:rsid w:val="00E302E0"/>
    <w:rsid w:val="00E304E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8B"/>
    <w:rsid w:val="00E342AE"/>
    <w:rsid w:val="00E34B83"/>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384"/>
    <w:rsid w:val="00E374C0"/>
    <w:rsid w:val="00E378F8"/>
    <w:rsid w:val="00E402FD"/>
    <w:rsid w:val="00E404C9"/>
    <w:rsid w:val="00E40521"/>
    <w:rsid w:val="00E405DE"/>
    <w:rsid w:val="00E40656"/>
    <w:rsid w:val="00E406ED"/>
    <w:rsid w:val="00E40991"/>
    <w:rsid w:val="00E40D50"/>
    <w:rsid w:val="00E41456"/>
    <w:rsid w:val="00E414FC"/>
    <w:rsid w:val="00E41719"/>
    <w:rsid w:val="00E4175E"/>
    <w:rsid w:val="00E41A5A"/>
    <w:rsid w:val="00E41AF0"/>
    <w:rsid w:val="00E41D67"/>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D0"/>
    <w:rsid w:val="00E45216"/>
    <w:rsid w:val="00E45259"/>
    <w:rsid w:val="00E452CC"/>
    <w:rsid w:val="00E45325"/>
    <w:rsid w:val="00E453FE"/>
    <w:rsid w:val="00E45D09"/>
    <w:rsid w:val="00E46038"/>
    <w:rsid w:val="00E465CD"/>
    <w:rsid w:val="00E46764"/>
    <w:rsid w:val="00E467D2"/>
    <w:rsid w:val="00E46E89"/>
    <w:rsid w:val="00E46EE7"/>
    <w:rsid w:val="00E47090"/>
    <w:rsid w:val="00E47542"/>
    <w:rsid w:val="00E475B1"/>
    <w:rsid w:val="00E47A5A"/>
    <w:rsid w:val="00E47BF7"/>
    <w:rsid w:val="00E50048"/>
    <w:rsid w:val="00E505E3"/>
    <w:rsid w:val="00E50749"/>
    <w:rsid w:val="00E51397"/>
    <w:rsid w:val="00E5168A"/>
    <w:rsid w:val="00E51D84"/>
    <w:rsid w:val="00E51EBC"/>
    <w:rsid w:val="00E51FFA"/>
    <w:rsid w:val="00E52140"/>
    <w:rsid w:val="00E5215D"/>
    <w:rsid w:val="00E5228E"/>
    <w:rsid w:val="00E522A4"/>
    <w:rsid w:val="00E528F7"/>
    <w:rsid w:val="00E529CA"/>
    <w:rsid w:val="00E52C86"/>
    <w:rsid w:val="00E53359"/>
    <w:rsid w:val="00E53A6C"/>
    <w:rsid w:val="00E53B80"/>
    <w:rsid w:val="00E53CBD"/>
    <w:rsid w:val="00E53F28"/>
    <w:rsid w:val="00E54070"/>
    <w:rsid w:val="00E54095"/>
    <w:rsid w:val="00E542CA"/>
    <w:rsid w:val="00E54347"/>
    <w:rsid w:val="00E54594"/>
    <w:rsid w:val="00E54668"/>
    <w:rsid w:val="00E54855"/>
    <w:rsid w:val="00E54D41"/>
    <w:rsid w:val="00E55215"/>
    <w:rsid w:val="00E55216"/>
    <w:rsid w:val="00E55D4F"/>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1B1E"/>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E95"/>
    <w:rsid w:val="00E6625E"/>
    <w:rsid w:val="00E66407"/>
    <w:rsid w:val="00E669EE"/>
    <w:rsid w:val="00E66E82"/>
    <w:rsid w:val="00E670E6"/>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0FD6"/>
    <w:rsid w:val="00E71AD3"/>
    <w:rsid w:val="00E71C8A"/>
    <w:rsid w:val="00E71FD8"/>
    <w:rsid w:val="00E727B2"/>
    <w:rsid w:val="00E72CE8"/>
    <w:rsid w:val="00E72EBB"/>
    <w:rsid w:val="00E73102"/>
    <w:rsid w:val="00E736EB"/>
    <w:rsid w:val="00E73C4B"/>
    <w:rsid w:val="00E73DE8"/>
    <w:rsid w:val="00E73E87"/>
    <w:rsid w:val="00E73FA1"/>
    <w:rsid w:val="00E741BE"/>
    <w:rsid w:val="00E74348"/>
    <w:rsid w:val="00E7442D"/>
    <w:rsid w:val="00E744B5"/>
    <w:rsid w:val="00E74FBA"/>
    <w:rsid w:val="00E750FC"/>
    <w:rsid w:val="00E756E8"/>
    <w:rsid w:val="00E76080"/>
    <w:rsid w:val="00E76209"/>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7A8"/>
    <w:rsid w:val="00E84BC7"/>
    <w:rsid w:val="00E85679"/>
    <w:rsid w:val="00E85A79"/>
    <w:rsid w:val="00E85AE3"/>
    <w:rsid w:val="00E8642D"/>
    <w:rsid w:val="00E86484"/>
    <w:rsid w:val="00E868AC"/>
    <w:rsid w:val="00E86B47"/>
    <w:rsid w:val="00E86F55"/>
    <w:rsid w:val="00E86F80"/>
    <w:rsid w:val="00E87B68"/>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C8"/>
    <w:rsid w:val="00E924D8"/>
    <w:rsid w:val="00E926A1"/>
    <w:rsid w:val="00E9270C"/>
    <w:rsid w:val="00E92DE9"/>
    <w:rsid w:val="00E933AA"/>
    <w:rsid w:val="00E93847"/>
    <w:rsid w:val="00E93B61"/>
    <w:rsid w:val="00E93E2C"/>
    <w:rsid w:val="00E941F2"/>
    <w:rsid w:val="00E9437F"/>
    <w:rsid w:val="00E94474"/>
    <w:rsid w:val="00E94661"/>
    <w:rsid w:val="00E9485B"/>
    <w:rsid w:val="00E94A4A"/>
    <w:rsid w:val="00E94B4B"/>
    <w:rsid w:val="00E94BE6"/>
    <w:rsid w:val="00E95463"/>
    <w:rsid w:val="00E95876"/>
    <w:rsid w:val="00E95C33"/>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C8"/>
    <w:rsid w:val="00EA4FFD"/>
    <w:rsid w:val="00EA5032"/>
    <w:rsid w:val="00EA506E"/>
    <w:rsid w:val="00EA5643"/>
    <w:rsid w:val="00EA5A30"/>
    <w:rsid w:val="00EA5DA2"/>
    <w:rsid w:val="00EA61A9"/>
    <w:rsid w:val="00EA67F9"/>
    <w:rsid w:val="00EA69E8"/>
    <w:rsid w:val="00EA6C22"/>
    <w:rsid w:val="00EA6CC0"/>
    <w:rsid w:val="00EA78F8"/>
    <w:rsid w:val="00EA7FE4"/>
    <w:rsid w:val="00EB046B"/>
    <w:rsid w:val="00EB0537"/>
    <w:rsid w:val="00EB0608"/>
    <w:rsid w:val="00EB0898"/>
    <w:rsid w:val="00EB0A13"/>
    <w:rsid w:val="00EB0E1B"/>
    <w:rsid w:val="00EB174C"/>
    <w:rsid w:val="00EB1DAF"/>
    <w:rsid w:val="00EB1FD4"/>
    <w:rsid w:val="00EB2192"/>
    <w:rsid w:val="00EB2BC2"/>
    <w:rsid w:val="00EB2D7D"/>
    <w:rsid w:val="00EB2DC8"/>
    <w:rsid w:val="00EB34D8"/>
    <w:rsid w:val="00EB364C"/>
    <w:rsid w:val="00EB37DE"/>
    <w:rsid w:val="00EB38D2"/>
    <w:rsid w:val="00EB3C0D"/>
    <w:rsid w:val="00EB3E1C"/>
    <w:rsid w:val="00EB3E74"/>
    <w:rsid w:val="00EB4072"/>
    <w:rsid w:val="00EB4142"/>
    <w:rsid w:val="00EB46BA"/>
    <w:rsid w:val="00EB4801"/>
    <w:rsid w:val="00EB4940"/>
    <w:rsid w:val="00EB4A4D"/>
    <w:rsid w:val="00EB5397"/>
    <w:rsid w:val="00EB5A99"/>
    <w:rsid w:val="00EB64E0"/>
    <w:rsid w:val="00EB6651"/>
    <w:rsid w:val="00EB6A5E"/>
    <w:rsid w:val="00EB70E3"/>
    <w:rsid w:val="00EB73CB"/>
    <w:rsid w:val="00EB7511"/>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95F"/>
    <w:rsid w:val="00EC3E88"/>
    <w:rsid w:val="00EC41C7"/>
    <w:rsid w:val="00EC4269"/>
    <w:rsid w:val="00EC43EE"/>
    <w:rsid w:val="00EC4CB5"/>
    <w:rsid w:val="00EC58F8"/>
    <w:rsid w:val="00EC59EA"/>
    <w:rsid w:val="00EC6087"/>
    <w:rsid w:val="00EC6487"/>
    <w:rsid w:val="00EC6599"/>
    <w:rsid w:val="00EC6C26"/>
    <w:rsid w:val="00EC6D63"/>
    <w:rsid w:val="00EC6F42"/>
    <w:rsid w:val="00EC758B"/>
    <w:rsid w:val="00EC76CA"/>
    <w:rsid w:val="00ED0469"/>
    <w:rsid w:val="00ED046D"/>
    <w:rsid w:val="00ED0598"/>
    <w:rsid w:val="00ED0904"/>
    <w:rsid w:val="00ED107A"/>
    <w:rsid w:val="00ED17D9"/>
    <w:rsid w:val="00ED1E8C"/>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292"/>
    <w:rsid w:val="00EE03D9"/>
    <w:rsid w:val="00EE0680"/>
    <w:rsid w:val="00EE07E3"/>
    <w:rsid w:val="00EE082F"/>
    <w:rsid w:val="00EE0D6D"/>
    <w:rsid w:val="00EE10FA"/>
    <w:rsid w:val="00EE17B8"/>
    <w:rsid w:val="00EE186A"/>
    <w:rsid w:val="00EE18F4"/>
    <w:rsid w:val="00EE20C2"/>
    <w:rsid w:val="00EE2463"/>
    <w:rsid w:val="00EE26A5"/>
    <w:rsid w:val="00EE2782"/>
    <w:rsid w:val="00EE2952"/>
    <w:rsid w:val="00EE29E2"/>
    <w:rsid w:val="00EE2DDE"/>
    <w:rsid w:val="00EE3360"/>
    <w:rsid w:val="00EE3752"/>
    <w:rsid w:val="00EE3B96"/>
    <w:rsid w:val="00EE3EE7"/>
    <w:rsid w:val="00EE4004"/>
    <w:rsid w:val="00EE417D"/>
    <w:rsid w:val="00EE47D3"/>
    <w:rsid w:val="00EE4976"/>
    <w:rsid w:val="00EE4A1E"/>
    <w:rsid w:val="00EE4BAD"/>
    <w:rsid w:val="00EE4C9D"/>
    <w:rsid w:val="00EE4EC9"/>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A52"/>
    <w:rsid w:val="00EF0EBA"/>
    <w:rsid w:val="00EF1198"/>
    <w:rsid w:val="00EF16C7"/>
    <w:rsid w:val="00EF185F"/>
    <w:rsid w:val="00EF18AA"/>
    <w:rsid w:val="00EF1A82"/>
    <w:rsid w:val="00EF1E98"/>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F15"/>
    <w:rsid w:val="00F0352C"/>
    <w:rsid w:val="00F03641"/>
    <w:rsid w:val="00F03771"/>
    <w:rsid w:val="00F03BCD"/>
    <w:rsid w:val="00F03E06"/>
    <w:rsid w:val="00F041F7"/>
    <w:rsid w:val="00F047D3"/>
    <w:rsid w:val="00F049EF"/>
    <w:rsid w:val="00F04DA4"/>
    <w:rsid w:val="00F04F56"/>
    <w:rsid w:val="00F05072"/>
    <w:rsid w:val="00F052B4"/>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D54"/>
    <w:rsid w:val="00F12F54"/>
    <w:rsid w:val="00F13188"/>
    <w:rsid w:val="00F13300"/>
    <w:rsid w:val="00F13920"/>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B9"/>
    <w:rsid w:val="00F24325"/>
    <w:rsid w:val="00F24CBB"/>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40F"/>
    <w:rsid w:val="00F334D9"/>
    <w:rsid w:val="00F336D4"/>
    <w:rsid w:val="00F33775"/>
    <w:rsid w:val="00F337FB"/>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37A80"/>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5C2"/>
    <w:rsid w:val="00F5362D"/>
    <w:rsid w:val="00F53A91"/>
    <w:rsid w:val="00F53E3C"/>
    <w:rsid w:val="00F54408"/>
    <w:rsid w:val="00F54506"/>
    <w:rsid w:val="00F54987"/>
    <w:rsid w:val="00F54B24"/>
    <w:rsid w:val="00F54CEC"/>
    <w:rsid w:val="00F54DBD"/>
    <w:rsid w:val="00F55871"/>
    <w:rsid w:val="00F55CBC"/>
    <w:rsid w:val="00F563AD"/>
    <w:rsid w:val="00F56A4A"/>
    <w:rsid w:val="00F56BC8"/>
    <w:rsid w:val="00F57160"/>
    <w:rsid w:val="00F571A6"/>
    <w:rsid w:val="00F573C1"/>
    <w:rsid w:val="00F57FC2"/>
    <w:rsid w:val="00F60013"/>
    <w:rsid w:val="00F60660"/>
    <w:rsid w:val="00F60692"/>
    <w:rsid w:val="00F60AD3"/>
    <w:rsid w:val="00F60B18"/>
    <w:rsid w:val="00F60F42"/>
    <w:rsid w:val="00F61424"/>
    <w:rsid w:val="00F61E2F"/>
    <w:rsid w:val="00F6212F"/>
    <w:rsid w:val="00F62EAF"/>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C2B"/>
    <w:rsid w:val="00F66E0B"/>
    <w:rsid w:val="00F66E99"/>
    <w:rsid w:val="00F6700E"/>
    <w:rsid w:val="00F67149"/>
    <w:rsid w:val="00F673D6"/>
    <w:rsid w:val="00F67892"/>
    <w:rsid w:val="00F67D31"/>
    <w:rsid w:val="00F67D41"/>
    <w:rsid w:val="00F703C6"/>
    <w:rsid w:val="00F7089E"/>
    <w:rsid w:val="00F70B91"/>
    <w:rsid w:val="00F71027"/>
    <w:rsid w:val="00F7136B"/>
    <w:rsid w:val="00F714E6"/>
    <w:rsid w:val="00F71A39"/>
    <w:rsid w:val="00F71A7F"/>
    <w:rsid w:val="00F71D0E"/>
    <w:rsid w:val="00F71FAE"/>
    <w:rsid w:val="00F7213D"/>
    <w:rsid w:val="00F722CC"/>
    <w:rsid w:val="00F723BD"/>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5B92"/>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30B7"/>
    <w:rsid w:val="00F83515"/>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DD6"/>
    <w:rsid w:val="00F86EB5"/>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435E"/>
    <w:rsid w:val="00F94C06"/>
    <w:rsid w:val="00F94E95"/>
    <w:rsid w:val="00F9554A"/>
    <w:rsid w:val="00F96568"/>
    <w:rsid w:val="00F9687A"/>
    <w:rsid w:val="00F96ACF"/>
    <w:rsid w:val="00F96B2C"/>
    <w:rsid w:val="00F970E2"/>
    <w:rsid w:val="00F971FF"/>
    <w:rsid w:val="00F97264"/>
    <w:rsid w:val="00F97284"/>
    <w:rsid w:val="00FA00E7"/>
    <w:rsid w:val="00FA0520"/>
    <w:rsid w:val="00FA0650"/>
    <w:rsid w:val="00FA07F9"/>
    <w:rsid w:val="00FA0F52"/>
    <w:rsid w:val="00FA149B"/>
    <w:rsid w:val="00FA1570"/>
    <w:rsid w:val="00FA1A6C"/>
    <w:rsid w:val="00FA1D26"/>
    <w:rsid w:val="00FA1FDC"/>
    <w:rsid w:val="00FA271E"/>
    <w:rsid w:val="00FA3000"/>
    <w:rsid w:val="00FA38F8"/>
    <w:rsid w:val="00FA3DD4"/>
    <w:rsid w:val="00FA41BF"/>
    <w:rsid w:val="00FA4B05"/>
    <w:rsid w:val="00FA4B2E"/>
    <w:rsid w:val="00FA4B2F"/>
    <w:rsid w:val="00FA57E4"/>
    <w:rsid w:val="00FA5AC0"/>
    <w:rsid w:val="00FA5C09"/>
    <w:rsid w:val="00FA5F48"/>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904"/>
    <w:rsid w:val="00FB6A1C"/>
    <w:rsid w:val="00FB75B9"/>
    <w:rsid w:val="00FB7D11"/>
    <w:rsid w:val="00FB7DC2"/>
    <w:rsid w:val="00FB7E65"/>
    <w:rsid w:val="00FC00DA"/>
    <w:rsid w:val="00FC0657"/>
    <w:rsid w:val="00FC08F7"/>
    <w:rsid w:val="00FC0BC2"/>
    <w:rsid w:val="00FC0E17"/>
    <w:rsid w:val="00FC1028"/>
    <w:rsid w:val="00FC1121"/>
    <w:rsid w:val="00FC117D"/>
    <w:rsid w:val="00FC1644"/>
    <w:rsid w:val="00FC2A99"/>
    <w:rsid w:val="00FC2E37"/>
    <w:rsid w:val="00FC3588"/>
    <w:rsid w:val="00FC39BB"/>
    <w:rsid w:val="00FC3AD0"/>
    <w:rsid w:val="00FC3D04"/>
    <w:rsid w:val="00FC434C"/>
    <w:rsid w:val="00FC45DB"/>
    <w:rsid w:val="00FC4D34"/>
    <w:rsid w:val="00FC513A"/>
    <w:rsid w:val="00FC60C6"/>
    <w:rsid w:val="00FC6176"/>
    <w:rsid w:val="00FC61D7"/>
    <w:rsid w:val="00FC63A1"/>
    <w:rsid w:val="00FC663E"/>
    <w:rsid w:val="00FC6E74"/>
    <w:rsid w:val="00FC72FB"/>
    <w:rsid w:val="00FC7590"/>
    <w:rsid w:val="00FC7720"/>
    <w:rsid w:val="00FC777E"/>
    <w:rsid w:val="00FC7787"/>
    <w:rsid w:val="00FC788F"/>
    <w:rsid w:val="00FD04FC"/>
    <w:rsid w:val="00FD056A"/>
    <w:rsid w:val="00FD0684"/>
    <w:rsid w:val="00FD06D1"/>
    <w:rsid w:val="00FD07B5"/>
    <w:rsid w:val="00FD0DC0"/>
    <w:rsid w:val="00FD11DA"/>
    <w:rsid w:val="00FD15AC"/>
    <w:rsid w:val="00FD163B"/>
    <w:rsid w:val="00FD18BC"/>
    <w:rsid w:val="00FD1948"/>
    <w:rsid w:val="00FD2F70"/>
    <w:rsid w:val="00FD34AD"/>
    <w:rsid w:val="00FD35A0"/>
    <w:rsid w:val="00FD3740"/>
    <w:rsid w:val="00FD3796"/>
    <w:rsid w:val="00FD39C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CC7"/>
    <w:rsid w:val="00FE1E78"/>
    <w:rsid w:val="00FE220B"/>
    <w:rsid w:val="00FE2228"/>
    <w:rsid w:val="00FE22FA"/>
    <w:rsid w:val="00FE28DE"/>
    <w:rsid w:val="00FE31E0"/>
    <w:rsid w:val="00FE323D"/>
    <w:rsid w:val="00FE3308"/>
    <w:rsid w:val="00FE3AFF"/>
    <w:rsid w:val="00FE3C15"/>
    <w:rsid w:val="00FE3D07"/>
    <w:rsid w:val="00FE40DD"/>
    <w:rsid w:val="00FE4216"/>
    <w:rsid w:val="00FE4CEF"/>
    <w:rsid w:val="00FE5D65"/>
    <w:rsid w:val="00FE6333"/>
    <w:rsid w:val="00FE6420"/>
    <w:rsid w:val="00FE67F0"/>
    <w:rsid w:val="00FE6EFA"/>
    <w:rsid w:val="00FE740B"/>
    <w:rsid w:val="00FE7472"/>
    <w:rsid w:val="00FE77B8"/>
    <w:rsid w:val="00FE77E5"/>
    <w:rsid w:val="00FE7C1E"/>
    <w:rsid w:val="00FE7D37"/>
    <w:rsid w:val="00FF0034"/>
    <w:rsid w:val="00FF0174"/>
    <w:rsid w:val="00FF08F2"/>
    <w:rsid w:val="00FF0F94"/>
    <w:rsid w:val="00FF15AA"/>
    <w:rsid w:val="00FF15F0"/>
    <w:rsid w:val="00FF1709"/>
    <w:rsid w:val="00FF1C83"/>
    <w:rsid w:val="00FF1D8F"/>
    <w:rsid w:val="00FF20EB"/>
    <w:rsid w:val="00FF24FD"/>
    <w:rsid w:val="00FF2788"/>
    <w:rsid w:val="00FF2BB0"/>
    <w:rsid w:val="00FF2D3C"/>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15C1B8C"/>
    <w:rsid w:val="01AD03D7"/>
    <w:rsid w:val="01B52CF5"/>
    <w:rsid w:val="01C02D07"/>
    <w:rsid w:val="01D141F9"/>
    <w:rsid w:val="020B33FC"/>
    <w:rsid w:val="0212234F"/>
    <w:rsid w:val="023B72F7"/>
    <w:rsid w:val="024C338F"/>
    <w:rsid w:val="025101F4"/>
    <w:rsid w:val="027C3090"/>
    <w:rsid w:val="02836F1B"/>
    <w:rsid w:val="029B2623"/>
    <w:rsid w:val="02B41020"/>
    <w:rsid w:val="02BB3CD8"/>
    <w:rsid w:val="02CE7923"/>
    <w:rsid w:val="02EE65A7"/>
    <w:rsid w:val="02F56E71"/>
    <w:rsid w:val="03163115"/>
    <w:rsid w:val="0321181F"/>
    <w:rsid w:val="032A22DA"/>
    <w:rsid w:val="03413055"/>
    <w:rsid w:val="03740DE1"/>
    <w:rsid w:val="038F118E"/>
    <w:rsid w:val="03994471"/>
    <w:rsid w:val="03BE24C7"/>
    <w:rsid w:val="03CA4D95"/>
    <w:rsid w:val="03DE10F9"/>
    <w:rsid w:val="04063FE1"/>
    <w:rsid w:val="040E64C4"/>
    <w:rsid w:val="041C7221"/>
    <w:rsid w:val="042B0470"/>
    <w:rsid w:val="042B2DEA"/>
    <w:rsid w:val="042D2398"/>
    <w:rsid w:val="042E504F"/>
    <w:rsid w:val="04402907"/>
    <w:rsid w:val="04466C12"/>
    <w:rsid w:val="04780EF9"/>
    <w:rsid w:val="04A775D4"/>
    <w:rsid w:val="04A92701"/>
    <w:rsid w:val="04B37BA5"/>
    <w:rsid w:val="04C60576"/>
    <w:rsid w:val="04F5755C"/>
    <w:rsid w:val="052D2E12"/>
    <w:rsid w:val="052F619C"/>
    <w:rsid w:val="053C70C4"/>
    <w:rsid w:val="0550176B"/>
    <w:rsid w:val="05542D26"/>
    <w:rsid w:val="05833E73"/>
    <w:rsid w:val="059E6F5E"/>
    <w:rsid w:val="05CC7F10"/>
    <w:rsid w:val="05E773D7"/>
    <w:rsid w:val="060C32BF"/>
    <w:rsid w:val="062338B2"/>
    <w:rsid w:val="06387666"/>
    <w:rsid w:val="065A2E3C"/>
    <w:rsid w:val="06A2743B"/>
    <w:rsid w:val="06A5297F"/>
    <w:rsid w:val="06F409F4"/>
    <w:rsid w:val="06FB60AA"/>
    <w:rsid w:val="07120344"/>
    <w:rsid w:val="072C1E39"/>
    <w:rsid w:val="076759B9"/>
    <w:rsid w:val="07762FAE"/>
    <w:rsid w:val="077E5D37"/>
    <w:rsid w:val="07A677CA"/>
    <w:rsid w:val="07AA745C"/>
    <w:rsid w:val="07B64C34"/>
    <w:rsid w:val="07C97ADF"/>
    <w:rsid w:val="07CD1794"/>
    <w:rsid w:val="07D307CE"/>
    <w:rsid w:val="07DD2969"/>
    <w:rsid w:val="083A3518"/>
    <w:rsid w:val="084036F9"/>
    <w:rsid w:val="08483A71"/>
    <w:rsid w:val="08494C63"/>
    <w:rsid w:val="085C470B"/>
    <w:rsid w:val="086B7589"/>
    <w:rsid w:val="08773CF3"/>
    <w:rsid w:val="089D0478"/>
    <w:rsid w:val="08B006D7"/>
    <w:rsid w:val="08B936F5"/>
    <w:rsid w:val="08E74D7B"/>
    <w:rsid w:val="08F30DB8"/>
    <w:rsid w:val="08F80534"/>
    <w:rsid w:val="090F1421"/>
    <w:rsid w:val="09103B70"/>
    <w:rsid w:val="0912042F"/>
    <w:rsid w:val="091466A5"/>
    <w:rsid w:val="09221E5B"/>
    <w:rsid w:val="093E7CC7"/>
    <w:rsid w:val="09587C3E"/>
    <w:rsid w:val="097746F9"/>
    <w:rsid w:val="097B2B9E"/>
    <w:rsid w:val="097E40EF"/>
    <w:rsid w:val="09935C44"/>
    <w:rsid w:val="09A34570"/>
    <w:rsid w:val="09A5684A"/>
    <w:rsid w:val="09A62C4D"/>
    <w:rsid w:val="09A92753"/>
    <w:rsid w:val="09B6697F"/>
    <w:rsid w:val="09B85B3B"/>
    <w:rsid w:val="09BB14D2"/>
    <w:rsid w:val="09DA2212"/>
    <w:rsid w:val="09E3447B"/>
    <w:rsid w:val="09F6142F"/>
    <w:rsid w:val="0A060E98"/>
    <w:rsid w:val="0A072481"/>
    <w:rsid w:val="0A11327E"/>
    <w:rsid w:val="0A117E98"/>
    <w:rsid w:val="0A126BE0"/>
    <w:rsid w:val="0A154370"/>
    <w:rsid w:val="0A390467"/>
    <w:rsid w:val="0A3F2C4E"/>
    <w:rsid w:val="0A434962"/>
    <w:rsid w:val="0A441A18"/>
    <w:rsid w:val="0A5A7C08"/>
    <w:rsid w:val="0A60531E"/>
    <w:rsid w:val="0A9D4650"/>
    <w:rsid w:val="0AB47FA3"/>
    <w:rsid w:val="0AB53A78"/>
    <w:rsid w:val="0ABA30C8"/>
    <w:rsid w:val="0AC03FA5"/>
    <w:rsid w:val="0AC24C94"/>
    <w:rsid w:val="0AC90EC9"/>
    <w:rsid w:val="0ADE26BE"/>
    <w:rsid w:val="0AE07CD7"/>
    <w:rsid w:val="0AE21B53"/>
    <w:rsid w:val="0AE57866"/>
    <w:rsid w:val="0AEA4E9C"/>
    <w:rsid w:val="0AF10B25"/>
    <w:rsid w:val="0B392103"/>
    <w:rsid w:val="0B3C464E"/>
    <w:rsid w:val="0B4D5D14"/>
    <w:rsid w:val="0B633330"/>
    <w:rsid w:val="0B65633F"/>
    <w:rsid w:val="0B697B67"/>
    <w:rsid w:val="0BAB4C3D"/>
    <w:rsid w:val="0BAC2E82"/>
    <w:rsid w:val="0BD62AD1"/>
    <w:rsid w:val="0BDD4F7F"/>
    <w:rsid w:val="0BE25D6D"/>
    <w:rsid w:val="0BE609AD"/>
    <w:rsid w:val="0BEA0078"/>
    <w:rsid w:val="0BEC3A35"/>
    <w:rsid w:val="0BEC723D"/>
    <w:rsid w:val="0BF82C78"/>
    <w:rsid w:val="0BF871DD"/>
    <w:rsid w:val="0C0D6006"/>
    <w:rsid w:val="0C23162F"/>
    <w:rsid w:val="0C267773"/>
    <w:rsid w:val="0C3059AA"/>
    <w:rsid w:val="0C31443D"/>
    <w:rsid w:val="0C3C73DD"/>
    <w:rsid w:val="0C3D2519"/>
    <w:rsid w:val="0C4409B5"/>
    <w:rsid w:val="0C474B23"/>
    <w:rsid w:val="0C523899"/>
    <w:rsid w:val="0C5C01A7"/>
    <w:rsid w:val="0C5D5CD1"/>
    <w:rsid w:val="0C6803DE"/>
    <w:rsid w:val="0C6B1B4B"/>
    <w:rsid w:val="0C80621D"/>
    <w:rsid w:val="0C8B115B"/>
    <w:rsid w:val="0C8B154B"/>
    <w:rsid w:val="0C9870BD"/>
    <w:rsid w:val="0CC8716B"/>
    <w:rsid w:val="0D2B247C"/>
    <w:rsid w:val="0D4C5B63"/>
    <w:rsid w:val="0D4D5C1F"/>
    <w:rsid w:val="0D7B164F"/>
    <w:rsid w:val="0DA26547"/>
    <w:rsid w:val="0DC10F1B"/>
    <w:rsid w:val="0DDD6C64"/>
    <w:rsid w:val="0DFA2B38"/>
    <w:rsid w:val="0E4424D3"/>
    <w:rsid w:val="0E5C174E"/>
    <w:rsid w:val="0E656E44"/>
    <w:rsid w:val="0E8F546F"/>
    <w:rsid w:val="0ECE71CE"/>
    <w:rsid w:val="0ECF4CF8"/>
    <w:rsid w:val="0EE51B71"/>
    <w:rsid w:val="0EEB7A1B"/>
    <w:rsid w:val="0EF1099A"/>
    <w:rsid w:val="0F0B0C64"/>
    <w:rsid w:val="0F13783F"/>
    <w:rsid w:val="0F1E79A8"/>
    <w:rsid w:val="0F225B1B"/>
    <w:rsid w:val="0F3A62FB"/>
    <w:rsid w:val="0F4B68C1"/>
    <w:rsid w:val="0F4D2765"/>
    <w:rsid w:val="0F5E65E3"/>
    <w:rsid w:val="0F6708CF"/>
    <w:rsid w:val="0F670905"/>
    <w:rsid w:val="0F751750"/>
    <w:rsid w:val="0F8C76C9"/>
    <w:rsid w:val="0FA41AC2"/>
    <w:rsid w:val="0FA45281"/>
    <w:rsid w:val="0FA652EC"/>
    <w:rsid w:val="0FC22D8C"/>
    <w:rsid w:val="0FDB0940"/>
    <w:rsid w:val="0FE22570"/>
    <w:rsid w:val="0FE37E1F"/>
    <w:rsid w:val="0FEE14A0"/>
    <w:rsid w:val="1000027C"/>
    <w:rsid w:val="101C653D"/>
    <w:rsid w:val="102454BB"/>
    <w:rsid w:val="103740EA"/>
    <w:rsid w:val="103B6CD4"/>
    <w:rsid w:val="103C0192"/>
    <w:rsid w:val="10491FC2"/>
    <w:rsid w:val="109A4137"/>
    <w:rsid w:val="109E6281"/>
    <w:rsid w:val="10D34F95"/>
    <w:rsid w:val="10D46685"/>
    <w:rsid w:val="10DB12D4"/>
    <w:rsid w:val="10E41604"/>
    <w:rsid w:val="10F6565B"/>
    <w:rsid w:val="10F70901"/>
    <w:rsid w:val="10F83693"/>
    <w:rsid w:val="10F96D13"/>
    <w:rsid w:val="11021C7D"/>
    <w:rsid w:val="110221F0"/>
    <w:rsid w:val="11074F97"/>
    <w:rsid w:val="111E66CB"/>
    <w:rsid w:val="11241D3D"/>
    <w:rsid w:val="112627CA"/>
    <w:rsid w:val="11347E7E"/>
    <w:rsid w:val="1135225F"/>
    <w:rsid w:val="11401CA1"/>
    <w:rsid w:val="11440308"/>
    <w:rsid w:val="114D7A95"/>
    <w:rsid w:val="115C5293"/>
    <w:rsid w:val="11730667"/>
    <w:rsid w:val="11796160"/>
    <w:rsid w:val="117E3E17"/>
    <w:rsid w:val="11805D10"/>
    <w:rsid w:val="11895477"/>
    <w:rsid w:val="118E2A81"/>
    <w:rsid w:val="119E790B"/>
    <w:rsid w:val="11D56DE8"/>
    <w:rsid w:val="12574E45"/>
    <w:rsid w:val="126E0E9B"/>
    <w:rsid w:val="12773A64"/>
    <w:rsid w:val="129F51B9"/>
    <w:rsid w:val="129F55B4"/>
    <w:rsid w:val="12B90CDD"/>
    <w:rsid w:val="12CD5F7F"/>
    <w:rsid w:val="12DF1B96"/>
    <w:rsid w:val="12F240ED"/>
    <w:rsid w:val="12F77121"/>
    <w:rsid w:val="12FA24FC"/>
    <w:rsid w:val="12FD1D5A"/>
    <w:rsid w:val="13162160"/>
    <w:rsid w:val="131C7703"/>
    <w:rsid w:val="132C272D"/>
    <w:rsid w:val="13367949"/>
    <w:rsid w:val="133B6EA2"/>
    <w:rsid w:val="135A78BC"/>
    <w:rsid w:val="135E1DFD"/>
    <w:rsid w:val="13753F2D"/>
    <w:rsid w:val="138A7582"/>
    <w:rsid w:val="139E4991"/>
    <w:rsid w:val="13A17CB5"/>
    <w:rsid w:val="13BF16E4"/>
    <w:rsid w:val="13C700C8"/>
    <w:rsid w:val="13F8686A"/>
    <w:rsid w:val="14157C66"/>
    <w:rsid w:val="142060B0"/>
    <w:rsid w:val="14220676"/>
    <w:rsid w:val="14256D94"/>
    <w:rsid w:val="14295FF9"/>
    <w:rsid w:val="142F3427"/>
    <w:rsid w:val="1439496C"/>
    <w:rsid w:val="146B6173"/>
    <w:rsid w:val="148A72A9"/>
    <w:rsid w:val="148D1678"/>
    <w:rsid w:val="14A84FD4"/>
    <w:rsid w:val="14BA79FC"/>
    <w:rsid w:val="14BF227E"/>
    <w:rsid w:val="14E02FB8"/>
    <w:rsid w:val="15023451"/>
    <w:rsid w:val="15143747"/>
    <w:rsid w:val="151A457F"/>
    <w:rsid w:val="151D27FC"/>
    <w:rsid w:val="15271942"/>
    <w:rsid w:val="152B7105"/>
    <w:rsid w:val="15512989"/>
    <w:rsid w:val="156472EC"/>
    <w:rsid w:val="156D4BAB"/>
    <w:rsid w:val="15767F10"/>
    <w:rsid w:val="15822045"/>
    <w:rsid w:val="15896B57"/>
    <w:rsid w:val="15A77600"/>
    <w:rsid w:val="15AD65B8"/>
    <w:rsid w:val="15B346EC"/>
    <w:rsid w:val="15E73CAB"/>
    <w:rsid w:val="15F41F95"/>
    <w:rsid w:val="15FF679C"/>
    <w:rsid w:val="161359E4"/>
    <w:rsid w:val="163123B9"/>
    <w:rsid w:val="163B0040"/>
    <w:rsid w:val="163B6B2A"/>
    <w:rsid w:val="163D31CD"/>
    <w:rsid w:val="164B23C7"/>
    <w:rsid w:val="165F040B"/>
    <w:rsid w:val="16677C45"/>
    <w:rsid w:val="167166CC"/>
    <w:rsid w:val="167F3718"/>
    <w:rsid w:val="169948C7"/>
    <w:rsid w:val="169C3915"/>
    <w:rsid w:val="16BD4E15"/>
    <w:rsid w:val="16BE3E4A"/>
    <w:rsid w:val="16CE21C7"/>
    <w:rsid w:val="16D3682E"/>
    <w:rsid w:val="170352FB"/>
    <w:rsid w:val="17277B54"/>
    <w:rsid w:val="173D4823"/>
    <w:rsid w:val="173E162A"/>
    <w:rsid w:val="173F4087"/>
    <w:rsid w:val="174C0270"/>
    <w:rsid w:val="17667170"/>
    <w:rsid w:val="176A0AF3"/>
    <w:rsid w:val="177C6745"/>
    <w:rsid w:val="177D4640"/>
    <w:rsid w:val="177E0356"/>
    <w:rsid w:val="179A6E4A"/>
    <w:rsid w:val="17A35DD9"/>
    <w:rsid w:val="17B95D08"/>
    <w:rsid w:val="17CD6238"/>
    <w:rsid w:val="17CE02F4"/>
    <w:rsid w:val="181C77B5"/>
    <w:rsid w:val="182E0B4B"/>
    <w:rsid w:val="1830534F"/>
    <w:rsid w:val="18483872"/>
    <w:rsid w:val="186D26D8"/>
    <w:rsid w:val="18764C2C"/>
    <w:rsid w:val="187B650B"/>
    <w:rsid w:val="188921B8"/>
    <w:rsid w:val="18895AA4"/>
    <w:rsid w:val="18AB670D"/>
    <w:rsid w:val="18B01273"/>
    <w:rsid w:val="18E55DD6"/>
    <w:rsid w:val="19001ABD"/>
    <w:rsid w:val="1925508E"/>
    <w:rsid w:val="1943599D"/>
    <w:rsid w:val="195E14CB"/>
    <w:rsid w:val="196D7E33"/>
    <w:rsid w:val="19786AB4"/>
    <w:rsid w:val="197C3252"/>
    <w:rsid w:val="197D4B08"/>
    <w:rsid w:val="198312AC"/>
    <w:rsid w:val="198F42C2"/>
    <w:rsid w:val="198F6607"/>
    <w:rsid w:val="19946D61"/>
    <w:rsid w:val="199975A1"/>
    <w:rsid w:val="19B1636F"/>
    <w:rsid w:val="19B505BD"/>
    <w:rsid w:val="19B60703"/>
    <w:rsid w:val="19B62F85"/>
    <w:rsid w:val="19C83055"/>
    <w:rsid w:val="19CD6532"/>
    <w:rsid w:val="19CF42D6"/>
    <w:rsid w:val="19DC39F9"/>
    <w:rsid w:val="19E40E8E"/>
    <w:rsid w:val="19F241A9"/>
    <w:rsid w:val="19F965B8"/>
    <w:rsid w:val="1A0D18ED"/>
    <w:rsid w:val="1A101645"/>
    <w:rsid w:val="1A2B00E3"/>
    <w:rsid w:val="1A340E9B"/>
    <w:rsid w:val="1A360A0F"/>
    <w:rsid w:val="1A5E4E62"/>
    <w:rsid w:val="1A665593"/>
    <w:rsid w:val="1A6A57EF"/>
    <w:rsid w:val="1A763790"/>
    <w:rsid w:val="1A7669BD"/>
    <w:rsid w:val="1A865E7A"/>
    <w:rsid w:val="1A8D6167"/>
    <w:rsid w:val="1AAF43A8"/>
    <w:rsid w:val="1AC3075B"/>
    <w:rsid w:val="1ACE2B6A"/>
    <w:rsid w:val="1AD93AA5"/>
    <w:rsid w:val="1ADB15D2"/>
    <w:rsid w:val="1AED4D6F"/>
    <w:rsid w:val="1AF66D4C"/>
    <w:rsid w:val="1B013EC6"/>
    <w:rsid w:val="1B06430C"/>
    <w:rsid w:val="1B2A32F8"/>
    <w:rsid w:val="1B5A2117"/>
    <w:rsid w:val="1B5C57F5"/>
    <w:rsid w:val="1B63432F"/>
    <w:rsid w:val="1B6D5C31"/>
    <w:rsid w:val="1B927805"/>
    <w:rsid w:val="1B9D7873"/>
    <w:rsid w:val="1BA850AA"/>
    <w:rsid w:val="1BB9141E"/>
    <w:rsid w:val="1BC13C6A"/>
    <w:rsid w:val="1BDA6E4C"/>
    <w:rsid w:val="1BE20E3F"/>
    <w:rsid w:val="1BE42072"/>
    <w:rsid w:val="1C115EF6"/>
    <w:rsid w:val="1C187CC5"/>
    <w:rsid w:val="1C1D317C"/>
    <w:rsid w:val="1C321CEA"/>
    <w:rsid w:val="1C475512"/>
    <w:rsid w:val="1C4E5985"/>
    <w:rsid w:val="1C5C6156"/>
    <w:rsid w:val="1C871639"/>
    <w:rsid w:val="1C8C76C3"/>
    <w:rsid w:val="1C993A16"/>
    <w:rsid w:val="1CCE27F5"/>
    <w:rsid w:val="1CD56EE4"/>
    <w:rsid w:val="1CE36074"/>
    <w:rsid w:val="1CF670B8"/>
    <w:rsid w:val="1CFB6769"/>
    <w:rsid w:val="1D0A42CA"/>
    <w:rsid w:val="1D261670"/>
    <w:rsid w:val="1D293562"/>
    <w:rsid w:val="1D41206F"/>
    <w:rsid w:val="1D430342"/>
    <w:rsid w:val="1D66740C"/>
    <w:rsid w:val="1D784F39"/>
    <w:rsid w:val="1DC110DE"/>
    <w:rsid w:val="1DEF1430"/>
    <w:rsid w:val="1E0765FF"/>
    <w:rsid w:val="1E2A62D0"/>
    <w:rsid w:val="1E306135"/>
    <w:rsid w:val="1E4D70BE"/>
    <w:rsid w:val="1E5A5274"/>
    <w:rsid w:val="1E5B791D"/>
    <w:rsid w:val="1E6B582B"/>
    <w:rsid w:val="1E7338B6"/>
    <w:rsid w:val="1E8D3F61"/>
    <w:rsid w:val="1E9416FC"/>
    <w:rsid w:val="1EA42BEC"/>
    <w:rsid w:val="1ED75E29"/>
    <w:rsid w:val="1EE377FF"/>
    <w:rsid w:val="1F1D0F67"/>
    <w:rsid w:val="1F1E7FD1"/>
    <w:rsid w:val="1F374D99"/>
    <w:rsid w:val="1F4637B8"/>
    <w:rsid w:val="1FC92E4F"/>
    <w:rsid w:val="1FCA6AD3"/>
    <w:rsid w:val="1FD2008D"/>
    <w:rsid w:val="1FDE4028"/>
    <w:rsid w:val="1FE10EDF"/>
    <w:rsid w:val="1FFC6F85"/>
    <w:rsid w:val="201522AA"/>
    <w:rsid w:val="202255CA"/>
    <w:rsid w:val="20340E93"/>
    <w:rsid w:val="206F76D1"/>
    <w:rsid w:val="20781843"/>
    <w:rsid w:val="2091561C"/>
    <w:rsid w:val="209D0D2C"/>
    <w:rsid w:val="209F456A"/>
    <w:rsid w:val="20A11725"/>
    <w:rsid w:val="20A25ED8"/>
    <w:rsid w:val="20AB6D46"/>
    <w:rsid w:val="20B308A1"/>
    <w:rsid w:val="20D013B4"/>
    <w:rsid w:val="20D90408"/>
    <w:rsid w:val="20DA0168"/>
    <w:rsid w:val="21412C99"/>
    <w:rsid w:val="21496927"/>
    <w:rsid w:val="214A482F"/>
    <w:rsid w:val="214F0117"/>
    <w:rsid w:val="21597306"/>
    <w:rsid w:val="21802014"/>
    <w:rsid w:val="21810EFE"/>
    <w:rsid w:val="21901F4F"/>
    <w:rsid w:val="21A444C8"/>
    <w:rsid w:val="21A5278A"/>
    <w:rsid w:val="21B63479"/>
    <w:rsid w:val="21B8487C"/>
    <w:rsid w:val="21C13A0B"/>
    <w:rsid w:val="21C916C4"/>
    <w:rsid w:val="21E5030B"/>
    <w:rsid w:val="220F1C97"/>
    <w:rsid w:val="22384ACD"/>
    <w:rsid w:val="223B2344"/>
    <w:rsid w:val="22537C28"/>
    <w:rsid w:val="227D76CE"/>
    <w:rsid w:val="2281406F"/>
    <w:rsid w:val="22A77D8C"/>
    <w:rsid w:val="22AF4A11"/>
    <w:rsid w:val="22B02A4E"/>
    <w:rsid w:val="22B8269B"/>
    <w:rsid w:val="22C44F3A"/>
    <w:rsid w:val="22D93EB7"/>
    <w:rsid w:val="22DB07A8"/>
    <w:rsid w:val="22FA3332"/>
    <w:rsid w:val="23010DAF"/>
    <w:rsid w:val="23072B2C"/>
    <w:rsid w:val="23127854"/>
    <w:rsid w:val="231E09F7"/>
    <w:rsid w:val="2333194B"/>
    <w:rsid w:val="23383C8A"/>
    <w:rsid w:val="233F576D"/>
    <w:rsid w:val="23604671"/>
    <w:rsid w:val="23746F1D"/>
    <w:rsid w:val="23750F35"/>
    <w:rsid w:val="23773514"/>
    <w:rsid w:val="23A5494B"/>
    <w:rsid w:val="23A7217C"/>
    <w:rsid w:val="23AD1BD5"/>
    <w:rsid w:val="23AF5512"/>
    <w:rsid w:val="23D10C22"/>
    <w:rsid w:val="24046497"/>
    <w:rsid w:val="243D5B3A"/>
    <w:rsid w:val="243F2B37"/>
    <w:rsid w:val="24472FBE"/>
    <w:rsid w:val="244C3251"/>
    <w:rsid w:val="24607B0F"/>
    <w:rsid w:val="246109E4"/>
    <w:rsid w:val="247129DF"/>
    <w:rsid w:val="248654D3"/>
    <w:rsid w:val="248E0B5A"/>
    <w:rsid w:val="24946808"/>
    <w:rsid w:val="249C39D3"/>
    <w:rsid w:val="24A33524"/>
    <w:rsid w:val="24B05BEC"/>
    <w:rsid w:val="24CE08F5"/>
    <w:rsid w:val="24F25E06"/>
    <w:rsid w:val="24F64D5F"/>
    <w:rsid w:val="25197E50"/>
    <w:rsid w:val="251F16A2"/>
    <w:rsid w:val="25272196"/>
    <w:rsid w:val="252B6AEB"/>
    <w:rsid w:val="2549103A"/>
    <w:rsid w:val="254D1C5E"/>
    <w:rsid w:val="255D500D"/>
    <w:rsid w:val="25635ABD"/>
    <w:rsid w:val="25637C92"/>
    <w:rsid w:val="256C1686"/>
    <w:rsid w:val="257432FD"/>
    <w:rsid w:val="25797C16"/>
    <w:rsid w:val="25807175"/>
    <w:rsid w:val="25905FC6"/>
    <w:rsid w:val="25965D4B"/>
    <w:rsid w:val="25DE276F"/>
    <w:rsid w:val="25EC6622"/>
    <w:rsid w:val="260D5DD5"/>
    <w:rsid w:val="2614529A"/>
    <w:rsid w:val="261F2925"/>
    <w:rsid w:val="26241050"/>
    <w:rsid w:val="26641479"/>
    <w:rsid w:val="26A02046"/>
    <w:rsid w:val="26D63325"/>
    <w:rsid w:val="26ED51E7"/>
    <w:rsid w:val="26F5217A"/>
    <w:rsid w:val="26F83705"/>
    <w:rsid w:val="27097897"/>
    <w:rsid w:val="270B1DEB"/>
    <w:rsid w:val="27330503"/>
    <w:rsid w:val="27376968"/>
    <w:rsid w:val="273A2F2F"/>
    <w:rsid w:val="275670D9"/>
    <w:rsid w:val="27664377"/>
    <w:rsid w:val="27705ECD"/>
    <w:rsid w:val="277B186B"/>
    <w:rsid w:val="278A3B13"/>
    <w:rsid w:val="279C6A8F"/>
    <w:rsid w:val="27A05A79"/>
    <w:rsid w:val="27B413E3"/>
    <w:rsid w:val="27F34621"/>
    <w:rsid w:val="27F75876"/>
    <w:rsid w:val="280712B5"/>
    <w:rsid w:val="2807484F"/>
    <w:rsid w:val="283C5464"/>
    <w:rsid w:val="28423D9D"/>
    <w:rsid w:val="284654C2"/>
    <w:rsid w:val="285A5EF5"/>
    <w:rsid w:val="286D0883"/>
    <w:rsid w:val="28842D57"/>
    <w:rsid w:val="2893739E"/>
    <w:rsid w:val="28A74C1A"/>
    <w:rsid w:val="28C15F12"/>
    <w:rsid w:val="28CB5BC4"/>
    <w:rsid w:val="28D50B24"/>
    <w:rsid w:val="28D8496E"/>
    <w:rsid w:val="28DC5745"/>
    <w:rsid w:val="28E479CB"/>
    <w:rsid w:val="28F22EC0"/>
    <w:rsid w:val="28FB7C42"/>
    <w:rsid w:val="290F33D9"/>
    <w:rsid w:val="291762CC"/>
    <w:rsid w:val="293B501E"/>
    <w:rsid w:val="29471778"/>
    <w:rsid w:val="2980767B"/>
    <w:rsid w:val="29827E02"/>
    <w:rsid w:val="29870C03"/>
    <w:rsid w:val="2990129E"/>
    <w:rsid w:val="29AD4614"/>
    <w:rsid w:val="29B473E0"/>
    <w:rsid w:val="29B73795"/>
    <w:rsid w:val="29BB1A89"/>
    <w:rsid w:val="29C230AD"/>
    <w:rsid w:val="29C72459"/>
    <w:rsid w:val="29EB64D6"/>
    <w:rsid w:val="2A064A60"/>
    <w:rsid w:val="2A323CC9"/>
    <w:rsid w:val="2A3A5C8B"/>
    <w:rsid w:val="2A770838"/>
    <w:rsid w:val="2A7E2034"/>
    <w:rsid w:val="2A88466F"/>
    <w:rsid w:val="2A8C31C6"/>
    <w:rsid w:val="2ABC5633"/>
    <w:rsid w:val="2AC7542D"/>
    <w:rsid w:val="2AE34A9F"/>
    <w:rsid w:val="2AE54604"/>
    <w:rsid w:val="2AEA2E94"/>
    <w:rsid w:val="2AFD4CC5"/>
    <w:rsid w:val="2B08651B"/>
    <w:rsid w:val="2B0873F8"/>
    <w:rsid w:val="2B0A494B"/>
    <w:rsid w:val="2B164ADE"/>
    <w:rsid w:val="2B3722B7"/>
    <w:rsid w:val="2B394C93"/>
    <w:rsid w:val="2B4C1381"/>
    <w:rsid w:val="2B80186F"/>
    <w:rsid w:val="2BAE164F"/>
    <w:rsid w:val="2BCD4DC7"/>
    <w:rsid w:val="2BD34AB3"/>
    <w:rsid w:val="2BF15617"/>
    <w:rsid w:val="2C155BEB"/>
    <w:rsid w:val="2C4812EC"/>
    <w:rsid w:val="2C493ECD"/>
    <w:rsid w:val="2C4D2093"/>
    <w:rsid w:val="2C797BC8"/>
    <w:rsid w:val="2C8E5DD9"/>
    <w:rsid w:val="2C9E5117"/>
    <w:rsid w:val="2CD474F9"/>
    <w:rsid w:val="2CE7470A"/>
    <w:rsid w:val="2D25295B"/>
    <w:rsid w:val="2D465A87"/>
    <w:rsid w:val="2D49332C"/>
    <w:rsid w:val="2D4B4194"/>
    <w:rsid w:val="2D6C64CF"/>
    <w:rsid w:val="2D6F1828"/>
    <w:rsid w:val="2D805224"/>
    <w:rsid w:val="2D836CA7"/>
    <w:rsid w:val="2D9A5493"/>
    <w:rsid w:val="2DB70FC3"/>
    <w:rsid w:val="2DE06954"/>
    <w:rsid w:val="2DF11F7F"/>
    <w:rsid w:val="2E074793"/>
    <w:rsid w:val="2E0916AF"/>
    <w:rsid w:val="2E4375F4"/>
    <w:rsid w:val="2E467345"/>
    <w:rsid w:val="2E4E5CF5"/>
    <w:rsid w:val="2E6A5F39"/>
    <w:rsid w:val="2E77446F"/>
    <w:rsid w:val="2E910F20"/>
    <w:rsid w:val="2EA9484A"/>
    <w:rsid w:val="2EC47C2B"/>
    <w:rsid w:val="2EC72681"/>
    <w:rsid w:val="2ED45EBC"/>
    <w:rsid w:val="2ED7292E"/>
    <w:rsid w:val="2EF72C3C"/>
    <w:rsid w:val="2F031AF2"/>
    <w:rsid w:val="2F1262F0"/>
    <w:rsid w:val="2F1A7A74"/>
    <w:rsid w:val="2F2041C3"/>
    <w:rsid w:val="2F254FFA"/>
    <w:rsid w:val="2F2B60AF"/>
    <w:rsid w:val="2F351AA1"/>
    <w:rsid w:val="2F420188"/>
    <w:rsid w:val="2F490D6D"/>
    <w:rsid w:val="2F672131"/>
    <w:rsid w:val="2F6F2FEA"/>
    <w:rsid w:val="2F74493B"/>
    <w:rsid w:val="2F816ADF"/>
    <w:rsid w:val="2F8B3281"/>
    <w:rsid w:val="2F8D71FE"/>
    <w:rsid w:val="2FCA6BA4"/>
    <w:rsid w:val="2FDC4998"/>
    <w:rsid w:val="30377994"/>
    <w:rsid w:val="30397E43"/>
    <w:rsid w:val="304772E7"/>
    <w:rsid w:val="304E4645"/>
    <w:rsid w:val="305C7CF8"/>
    <w:rsid w:val="305E1BE3"/>
    <w:rsid w:val="305E5A20"/>
    <w:rsid w:val="307B4B60"/>
    <w:rsid w:val="309857EA"/>
    <w:rsid w:val="30AC6746"/>
    <w:rsid w:val="30B7170B"/>
    <w:rsid w:val="30C74874"/>
    <w:rsid w:val="30D74EE7"/>
    <w:rsid w:val="30DB3034"/>
    <w:rsid w:val="30E10BCA"/>
    <w:rsid w:val="311A36FA"/>
    <w:rsid w:val="31217818"/>
    <w:rsid w:val="31220100"/>
    <w:rsid w:val="317D3178"/>
    <w:rsid w:val="317D78B4"/>
    <w:rsid w:val="31825334"/>
    <w:rsid w:val="3189615B"/>
    <w:rsid w:val="318A3915"/>
    <w:rsid w:val="31923274"/>
    <w:rsid w:val="31AD0FB8"/>
    <w:rsid w:val="31BD4DEC"/>
    <w:rsid w:val="31CB268E"/>
    <w:rsid w:val="31D1684D"/>
    <w:rsid w:val="31DE08D3"/>
    <w:rsid w:val="31EF6277"/>
    <w:rsid w:val="32130D2B"/>
    <w:rsid w:val="322A2AC0"/>
    <w:rsid w:val="32380D19"/>
    <w:rsid w:val="3286142E"/>
    <w:rsid w:val="32B37FBF"/>
    <w:rsid w:val="32CC3224"/>
    <w:rsid w:val="32E6544F"/>
    <w:rsid w:val="32F71241"/>
    <w:rsid w:val="33026CC5"/>
    <w:rsid w:val="330E7E56"/>
    <w:rsid w:val="33392F0E"/>
    <w:rsid w:val="33655903"/>
    <w:rsid w:val="33764DB8"/>
    <w:rsid w:val="337874BC"/>
    <w:rsid w:val="338761EA"/>
    <w:rsid w:val="338F6B01"/>
    <w:rsid w:val="339325E3"/>
    <w:rsid w:val="339E007E"/>
    <w:rsid w:val="33C4477D"/>
    <w:rsid w:val="33F57504"/>
    <w:rsid w:val="33F73630"/>
    <w:rsid w:val="3417307B"/>
    <w:rsid w:val="342B09E2"/>
    <w:rsid w:val="34370AFD"/>
    <w:rsid w:val="34390853"/>
    <w:rsid w:val="343D3CB9"/>
    <w:rsid w:val="345278D1"/>
    <w:rsid w:val="34696841"/>
    <w:rsid w:val="34A24838"/>
    <w:rsid w:val="34A33F34"/>
    <w:rsid w:val="34AD54EC"/>
    <w:rsid w:val="34C51CF2"/>
    <w:rsid w:val="34DC0E1F"/>
    <w:rsid w:val="34EC1320"/>
    <w:rsid w:val="34F044CD"/>
    <w:rsid w:val="34F61016"/>
    <w:rsid w:val="34FD45E2"/>
    <w:rsid w:val="35061878"/>
    <w:rsid w:val="350D1981"/>
    <w:rsid w:val="35103A2A"/>
    <w:rsid w:val="35374677"/>
    <w:rsid w:val="356671CB"/>
    <w:rsid w:val="3584576E"/>
    <w:rsid w:val="35A23E5D"/>
    <w:rsid w:val="35AF6C76"/>
    <w:rsid w:val="35C464CA"/>
    <w:rsid w:val="35E8113F"/>
    <w:rsid w:val="35FD5922"/>
    <w:rsid w:val="36761E29"/>
    <w:rsid w:val="36814EFF"/>
    <w:rsid w:val="369210DE"/>
    <w:rsid w:val="3696421B"/>
    <w:rsid w:val="36A036FB"/>
    <w:rsid w:val="36AD7AFE"/>
    <w:rsid w:val="36C947EF"/>
    <w:rsid w:val="36CF72D9"/>
    <w:rsid w:val="376452CB"/>
    <w:rsid w:val="37832694"/>
    <w:rsid w:val="378D71EA"/>
    <w:rsid w:val="37C223DC"/>
    <w:rsid w:val="37C6248B"/>
    <w:rsid w:val="37DE74B9"/>
    <w:rsid w:val="37F4192F"/>
    <w:rsid w:val="37F90288"/>
    <w:rsid w:val="37FB6DA3"/>
    <w:rsid w:val="37FF4EF6"/>
    <w:rsid w:val="38042588"/>
    <w:rsid w:val="38523D5A"/>
    <w:rsid w:val="38634327"/>
    <w:rsid w:val="38A50479"/>
    <w:rsid w:val="38A5150F"/>
    <w:rsid w:val="38C661FC"/>
    <w:rsid w:val="38C80A3D"/>
    <w:rsid w:val="38D26DAE"/>
    <w:rsid w:val="38DF7FBF"/>
    <w:rsid w:val="391324E5"/>
    <w:rsid w:val="3916468D"/>
    <w:rsid w:val="3917518E"/>
    <w:rsid w:val="39455B8E"/>
    <w:rsid w:val="39464A7A"/>
    <w:rsid w:val="397A30CF"/>
    <w:rsid w:val="398101C0"/>
    <w:rsid w:val="3982537B"/>
    <w:rsid w:val="399C1379"/>
    <w:rsid w:val="39B761BD"/>
    <w:rsid w:val="39CB38EA"/>
    <w:rsid w:val="39F238BD"/>
    <w:rsid w:val="39F80C6A"/>
    <w:rsid w:val="39FF5FEF"/>
    <w:rsid w:val="3A1D44FB"/>
    <w:rsid w:val="3A3B03D2"/>
    <w:rsid w:val="3A5F5D65"/>
    <w:rsid w:val="3A9800AE"/>
    <w:rsid w:val="3A9D3BAE"/>
    <w:rsid w:val="3AB2555B"/>
    <w:rsid w:val="3AB62744"/>
    <w:rsid w:val="3AB84DB4"/>
    <w:rsid w:val="3AC15D50"/>
    <w:rsid w:val="3AD65514"/>
    <w:rsid w:val="3AE57099"/>
    <w:rsid w:val="3AEC4B5C"/>
    <w:rsid w:val="3B025CFA"/>
    <w:rsid w:val="3B2A49A6"/>
    <w:rsid w:val="3B2B12BE"/>
    <w:rsid w:val="3B4C2256"/>
    <w:rsid w:val="3B535B8B"/>
    <w:rsid w:val="3B5F5256"/>
    <w:rsid w:val="3B750639"/>
    <w:rsid w:val="3B761076"/>
    <w:rsid w:val="3B997066"/>
    <w:rsid w:val="3B9A048D"/>
    <w:rsid w:val="3BA1367A"/>
    <w:rsid w:val="3BB80F8B"/>
    <w:rsid w:val="3BC95674"/>
    <w:rsid w:val="3C015AFD"/>
    <w:rsid w:val="3C1614B3"/>
    <w:rsid w:val="3C64489B"/>
    <w:rsid w:val="3C6F006C"/>
    <w:rsid w:val="3C733828"/>
    <w:rsid w:val="3C827BF1"/>
    <w:rsid w:val="3C891EA8"/>
    <w:rsid w:val="3C943EB3"/>
    <w:rsid w:val="3CA149F0"/>
    <w:rsid w:val="3CA944AD"/>
    <w:rsid w:val="3CB62ACB"/>
    <w:rsid w:val="3CBB49B0"/>
    <w:rsid w:val="3CC173D0"/>
    <w:rsid w:val="3CD23884"/>
    <w:rsid w:val="3D1A116E"/>
    <w:rsid w:val="3D372564"/>
    <w:rsid w:val="3D3C0BE1"/>
    <w:rsid w:val="3D887D56"/>
    <w:rsid w:val="3D9413EE"/>
    <w:rsid w:val="3D9668EA"/>
    <w:rsid w:val="3DB464DD"/>
    <w:rsid w:val="3DB70C10"/>
    <w:rsid w:val="3DBC54A9"/>
    <w:rsid w:val="3DCE090C"/>
    <w:rsid w:val="3DCF2A16"/>
    <w:rsid w:val="3DCF34F4"/>
    <w:rsid w:val="3DD117D1"/>
    <w:rsid w:val="3DD2747B"/>
    <w:rsid w:val="3DDF6E8D"/>
    <w:rsid w:val="3E0C6A7C"/>
    <w:rsid w:val="3E0F4AA6"/>
    <w:rsid w:val="3E3A58B6"/>
    <w:rsid w:val="3E4742FE"/>
    <w:rsid w:val="3E4E2EF3"/>
    <w:rsid w:val="3E671725"/>
    <w:rsid w:val="3E6A42BD"/>
    <w:rsid w:val="3E7C14F9"/>
    <w:rsid w:val="3E9034CD"/>
    <w:rsid w:val="3E912D31"/>
    <w:rsid w:val="3ED52B94"/>
    <w:rsid w:val="3EDD3571"/>
    <w:rsid w:val="3EE3531B"/>
    <w:rsid w:val="3F3003F8"/>
    <w:rsid w:val="3F507497"/>
    <w:rsid w:val="3F5D3C95"/>
    <w:rsid w:val="3F633F65"/>
    <w:rsid w:val="3F8549FE"/>
    <w:rsid w:val="3F943D3B"/>
    <w:rsid w:val="3F952928"/>
    <w:rsid w:val="3F9B3F3C"/>
    <w:rsid w:val="3FB5054F"/>
    <w:rsid w:val="3FB937A0"/>
    <w:rsid w:val="3FC47462"/>
    <w:rsid w:val="3FC5684D"/>
    <w:rsid w:val="3FC92FD9"/>
    <w:rsid w:val="3FDD46CB"/>
    <w:rsid w:val="3FFE7EC0"/>
    <w:rsid w:val="40002FA5"/>
    <w:rsid w:val="4003428B"/>
    <w:rsid w:val="400A4234"/>
    <w:rsid w:val="402756C8"/>
    <w:rsid w:val="4029600D"/>
    <w:rsid w:val="40311B15"/>
    <w:rsid w:val="404726F5"/>
    <w:rsid w:val="405B1A75"/>
    <w:rsid w:val="4061683B"/>
    <w:rsid w:val="40691F70"/>
    <w:rsid w:val="406B2214"/>
    <w:rsid w:val="40702B76"/>
    <w:rsid w:val="40AD0D47"/>
    <w:rsid w:val="40D8634D"/>
    <w:rsid w:val="40DA2F23"/>
    <w:rsid w:val="40EE53E4"/>
    <w:rsid w:val="41165B4F"/>
    <w:rsid w:val="412F1210"/>
    <w:rsid w:val="414B0EC9"/>
    <w:rsid w:val="415B14B5"/>
    <w:rsid w:val="41780CB9"/>
    <w:rsid w:val="41AC54EC"/>
    <w:rsid w:val="41CD1C04"/>
    <w:rsid w:val="41D766EE"/>
    <w:rsid w:val="41FE7695"/>
    <w:rsid w:val="421C5F77"/>
    <w:rsid w:val="424875DA"/>
    <w:rsid w:val="42646D24"/>
    <w:rsid w:val="428061EE"/>
    <w:rsid w:val="428D509C"/>
    <w:rsid w:val="42B26877"/>
    <w:rsid w:val="42BC06BC"/>
    <w:rsid w:val="42C2502C"/>
    <w:rsid w:val="42ED4EC4"/>
    <w:rsid w:val="42F23148"/>
    <w:rsid w:val="431607FB"/>
    <w:rsid w:val="432C043C"/>
    <w:rsid w:val="434F0B77"/>
    <w:rsid w:val="4351367F"/>
    <w:rsid w:val="43651752"/>
    <w:rsid w:val="436D4A94"/>
    <w:rsid w:val="4379059E"/>
    <w:rsid w:val="43793E36"/>
    <w:rsid w:val="438F5009"/>
    <w:rsid w:val="43960663"/>
    <w:rsid w:val="439F1C45"/>
    <w:rsid w:val="43B35551"/>
    <w:rsid w:val="43B75C31"/>
    <w:rsid w:val="43C76A09"/>
    <w:rsid w:val="43CE0E1B"/>
    <w:rsid w:val="43CF0737"/>
    <w:rsid w:val="43E90179"/>
    <w:rsid w:val="43FF456A"/>
    <w:rsid w:val="44216B4B"/>
    <w:rsid w:val="44285DD1"/>
    <w:rsid w:val="4449023B"/>
    <w:rsid w:val="445F7976"/>
    <w:rsid w:val="446A3B54"/>
    <w:rsid w:val="44783B45"/>
    <w:rsid w:val="447D749D"/>
    <w:rsid w:val="448333B9"/>
    <w:rsid w:val="448A7E6C"/>
    <w:rsid w:val="449737E0"/>
    <w:rsid w:val="44A02588"/>
    <w:rsid w:val="44BD7D62"/>
    <w:rsid w:val="44C63248"/>
    <w:rsid w:val="44CB6305"/>
    <w:rsid w:val="44CE58A3"/>
    <w:rsid w:val="44D35F46"/>
    <w:rsid w:val="44F97F66"/>
    <w:rsid w:val="45051B04"/>
    <w:rsid w:val="45107FB9"/>
    <w:rsid w:val="45500C9E"/>
    <w:rsid w:val="45643158"/>
    <w:rsid w:val="45764F95"/>
    <w:rsid w:val="457A148F"/>
    <w:rsid w:val="45B340D9"/>
    <w:rsid w:val="45CB4754"/>
    <w:rsid w:val="45E23127"/>
    <w:rsid w:val="46116BA5"/>
    <w:rsid w:val="46135C8B"/>
    <w:rsid w:val="462546CC"/>
    <w:rsid w:val="46387B5D"/>
    <w:rsid w:val="463C7400"/>
    <w:rsid w:val="464D1E82"/>
    <w:rsid w:val="466013C5"/>
    <w:rsid w:val="468849EF"/>
    <w:rsid w:val="468A2E8C"/>
    <w:rsid w:val="468F428C"/>
    <w:rsid w:val="469C5A0C"/>
    <w:rsid w:val="46AA3A06"/>
    <w:rsid w:val="46BB2067"/>
    <w:rsid w:val="46F57B1D"/>
    <w:rsid w:val="47376772"/>
    <w:rsid w:val="473C2A7F"/>
    <w:rsid w:val="474471F4"/>
    <w:rsid w:val="47575373"/>
    <w:rsid w:val="476A5D4C"/>
    <w:rsid w:val="47724D24"/>
    <w:rsid w:val="478D7730"/>
    <w:rsid w:val="47954216"/>
    <w:rsid w:val="47956F85"/>
    <w:rsid w:val="47983EBA"/>
    <w:rsid w:val="47A71ADE"/>
    <w:rsid w:val="47AB7002"/>
    <w:rsid w:val="47B05086"/>
    <w:rsid w:val="47BA55BB"/>
    <w:rsid w:val="47BA62E1"/>
    <w:rsid w:val="47BE7D85"/>
    <w:rsid w:val="47C90A71"/>
    <w:rsid w:val="47CA62D8"/>
    <w:rsid w:val="47CD35ED"/>
    <w:rsid w:val="47E442B8"/>
    <w:rsid w:val="48012FA0"/>
    <w:rsid w:val="48087BDA"/>
    <w:rsid w:val="480F3623"/>
    <w:rsid w:val="481A1965"/>
    <w:rsid w:val="481B5FD3"/>
    <w:rsid w:val="48360268"/>
    <w:rsid w:val="483D18E2"/>
    <w:rsid w:val="483F667B"/>
    <w:rsid w:val="4844536A"/>
    <w:rsid w:val="484A143C"/>
    <w:rsid w:val="48572C26"/>
    <w:rsid w:val="486E44F0"/>
    <w:rsid w:val="48742F68"/>
    <w:rsid w:val="488E20E8"/>
    <w:rsid w:val="48990B51"/>
    <w:rsid w:val="48B46A44"/>
    <w:rsid w:val="48CD723F"/>
    <w:rsid w:val="48EA49F9"/>
    <w:rsid w:val="48FC672D"/>
    <w:rsid w:val="492E2172"/>
    <w:rsid w:val="492F2E4B"/>
    <w:rsid w:val="49452979"/>
    <w:rsid w:val="49695EC6"/>
    <w:rsid w:val="496C2F01"/>
    <w:rsid w:val="49707518"/>
    <w:rsid w:val="49B762A1"/>
    <w:rsid w:val="49E94A68"/>
    <w:rsid w:val="49EB0A1F"/>
    <w:rsid w:val="49FF3D0C"/>
    <w:rsid w:val="4A073AD2"/>
    <w:rsid w:val="4A094D9D"/>
    <w:rsid w:val="4A1D5176"/>
    <w:rsid w:val="4A325A21"/>
    <w:rsid w:val="4A462D6E"/>
    <w:rsid w:val="4A4C5CF6"/>
    <w:rsid w:val="4A693B47"/>
    <w:rsid w:val="4A7242BC"/>
    <w:rsid w:val="4A7A7B9B"/>
    <w:rsid w:val="4A895988"/>
    <w:rsid w:val="4AA3188B"/>
    <w:rsid w:val="4AF6728D"/>
    <w:rsid w:val="4B077ED6"/>
    <w:rsid w:val="4B2D67FE"/>
    <w:rsid w:val="4B360D4E"/>
    <w:rsid w:val="4B4158E7"/>
    <w:rsid w:val="4B4675BC"/>
    <w:rsid w:val="4B4F5E83"/>
    <w:rsid w:val="4B555E6A"/>
    <w:rsid w:val="4B584A81"/>
    <w:rsid w:val="4B610C87"/>
    <w:rsid w:val="4BB65FA3"/>
    <w:rsid w:val="4BB970E7"/>
    <w:rsid w:val="4BCE49FB"/>
    <w:rsid w:val="4BD146C3"/>
    <w:rsid w:val="4BEC31B7"/>
    <w:rsid w:val="4BF01A79"/>
    <w:rsid w:val="4C160148"/>
    <w:rsid w:val="4C2E31A9"/>
    <w:rsid w:val="4C2F11A5"/>
    <w:rsid w:val="4C3420E3"/>
    <w:rsid w:val="4C497D7F"/>
    <w:rsid w:val="4C7A3EE5"/>
    <w:rsid w:val="4C856846"/>
    <w:rsid w:val="4C9F7513"/>
    <w:rsid w:val="4CA05C33"/>
    <w:rsid w:val="4CB538CD"/>
    <w:rsid w:val="4CE13531"/>
    <w:rsid w:val="4CE6089F"/>
    <w:rsid w:val="4CF6116C"/>
    <w:rsid w:val="4D0732C0"/>
    <w:rsid w:val="4D0974E9"/>
    <w:rsid w:val="4D0A53E4"/>
    <w:rsid w:val="4D0B693C"/>
    <w:rsid w:val="4D1328FC"/>
    <w:rsid w:val="4D387B17"/>
    <w:rsid w:val="4D4D4D19"/>
    <w:rsid w:val="4D832030"/>
    <w:rsid w:val="4DCC56D3"/>
    <w:rsid w:val="4DCD7164"/>
    <w:rsid w:val="4E13750E"/>
    <w:rsid w:val="4E2F04E0"/>
    <w:rsid w:val="4E741560"/>
    <w:rsid w:val="4EAC60B4"/>
    <w:rsid w:val="4EB9262C"/>
    <w:rsid w:val="4EC1071B"/>
    <w:rsid w:val="4ED6401F"/>
    <w:rsid w:val="4EDB28AC"/>
    <w:rsid w:val="4EEC3808"/>
    <w:rsid w:val="4EF64306"/>
    <w:rsid w:val="4F006F0A"/>
    <w:rsid w:val="4F026F7F"/>
    <w:rsid w:val="4F0E4EF4"/>
    <w:rsid w:val="4F3B5999"/>
    <w:rsid w:val="4F3C3035"/>
    <w:rsid w:val="4F7B341F"/>
    <w:rsid w:val="4F7C685C"/>
    <w:rsid w:val="4F8B7C8E"/>
    <w:rsid w:val="4F8C68D4"/>
    <w:rsid w:val="4FB26B28"/>
    <w:rsid w:val="4FC13DA1"/>
    <w:rsid w:val="4FD75865"/>
    <w:rsid w:val="4FD82961"/>
    <w:rsid w:val="4FDE27A0"/>
    <w:rsid w:val="500017D2"/>
    <w:rsid w:val="502D453C"/>
    <w:rsid w:val="5037605F"/>
    <w:rsid w:val="503F5866"/>
    <w:rsid w:val="50465844"/>
    <w:rsid w:val="50672A43"/>
    <w:rsid w:val="507B28EC"/>
    <w:rsid w:val="50AB0AA0"/>
    <w:rsid w:val="50B04721"/>
    <w:rsid w:val="50C75FB2"/>
    <w:rsid w:val="50F62307"/>
    <w:rsid w:val="510A3B55"/>
    <w:rsid w:val="511E5A4C"/>
    <w:rsid w:val="51207E27"/>
    <w:rsid w:val="51400981"/>
    <w:rsid w:val="514109A6"/>
    <w:rsid w:val="51472B45"/>
    <w:rsid w:val="51564440"/>
    <w:rsid w:val="51744E62"/>
    <w:rsid w:val="5174646D"/>
    <w:rsid w:val="51785B9E"/>
    <w:rsid w:val="51880281"/>
    <w:rsid w:val="518E78FE"/>
    <w:rsid w:val="51A9549E"/>
    <w:rsid w:val="51AA1F93"/>
    <w:rsid w:val="51E342F0"/>
    <w:rsid w:val="520603DE"/>
    <w:rsid w:val="52423420"/>
    <w:rsid w:val="5255381C"/>
    <w:rsid w:val="526324F7"/>
    <w:rsid w:val="52690D98"/>
    <w:rsid w:val="52792D28"/>
    <w:rsid w:val="5296324A"/>
    <w:rsid w:val="52C00A8E"/>
    <w:rsid w:val="52C861B5"/>
    <w:rsid w:val="52C93041"/>
    <w:rsid w:val="52CB11FB"/>
    <w:rsid w:val="52E06909"/>
    <w:rsid w:val="52FD167C"/>
    <w:rsid w:val="5300014E"/>
    <w:rsid w:val="53117170"/>
    <w:rsid w:val="53182E70"/>
    <w:rsid w:val="53263B4D"/>
    <w:rsid w:val="53516FF9"/>
    <w:rsid w:val="535B7AFB"/>
    <w:rsid w:val="5376581B"/>
    <w:rsid w:val="537F012E"/>
    <w:rsid w:val="538F4B2E"/>
    <w:rsid w:val="53A072A3"/>
    <w:rsid w:val="53A7412F"/>
    <w:rsid w:val="53B557CD"/>
    <w:rsid w:val="53BD26A2"/>
    <w:rsid w:val="53C35A9B"/>
    <w:rsid w:val="53E943EF"/>
    <w:rsid w:val="53FA1BF4"/>
    <w:rsid w:val="54017F74"/>
    <w:rsid w:val="54076A65"/>
    <w:rsid w:val="542078EF"/>
    <w:rsid w:val="542742CB"/>
    <w:rsid w:val="54505A70"/>
    <w:rsid w:val="546B34F8"/>
    <w:rsid w:val="54776EC7"/>
    <w:rsid w:val="54847C87"/>
    <w:rsid w:val="548549A1"/>
    <w:rsid w:val="54AA04FA"/>
    <w:rsid w:val="54DD1EEC"/>
    <w:rsid w:val="54E2491B"/>
    <w:rsid w:val="54FE0E50"/>
    <w:rsid w:val="55355E0E"/>
    <w:rsid w:val="55365B23"/>
    <w:rsid w:val="554C460F"/>
    <w:rsid w:val="55567089"/>
    <w:rsid w:val="55571B81"/>
    <w:rsid w:val="555C11F5"/>
    <w:rsid w:val="555F1287"/>
    <w:rsid w:val="558E352D"/>
    <w:rsid w:val="55B13093"/>
    <w:rsid w:val="55EC321D"/>
    <w:rsid w:val="55F95F7A"/>
    <w:rsid w:val="560E26A8"/>
    <w:rsid w:val="56127E03"/>
    <w:rsid w:val="561F3FBA"/>
    <w:rsid w:val="562F1735"/>
    <w:rsid w:val="564F3BC9"/>
    <w:rsid w:val="5668011B"/>
    <w:rsid w:val="56AE318E"/>
    <w:rsid w:val="56B0373D"/>
    <w:rsid w:val="56BD3C40"/>
    <w:rsid w:val="56C7110A"/>
    <w:rsid w:val="56D107A8"/>
    <w:rsid w:val="572139FA"/>
    <w:rsid w:val="572312F3"/>
    <w:rsid w:val="57351D81"/>
    <w:rsid w:val="574A13DD"/>
    <w:rsid w:val="57592421"/>
    <w:rsid w:val="5765294B"/>
    <w:rsid w:val="579C5F99"/>
    <w:rsid w:val="579D4C50"/>
    <w:rsid w:val="57B851B7"/>
    <w:rsid w:val="57BC23A1"/>
    <w:rsid w:val="57C7141B"/>
    <w:rsid w:val="57D35754"/>
    <w:rsid w:val="57EB137D"/>
    <w:rsid w:val="58333EC8"/>
    <w:rsid w:val="584B5206"/>
    <w:rsid w:val="587902B5"/>
    <w:rsid w:val="58904C9C"/>
    <w:rsid w:val="58F46F15"/>
    <w:rsid w:val="5905445E"/>
    <w:rsid w:val="59317F1E"/>
    <w:rsid w:val="59323DF6"/>
    <w:rsid w:val="59646D08"/>
    <w:rsid w:val="59697B34"/>
    <w:rsid w:val="5972245C"/>
    <w:rsid w:val="59761B78"/>
    <w:rsid w:val="598D51A4"/>
    <w:rsid w:val="599D4259"/>
    <w:rsid w:val="599F15D6"/>
    <w:rsid w:val="59B9306D"/>
    <w:rsid w:val="59BF198C"/>
    <w:rsid w:val="5A090793"/>
    <w:rsid w:val="5A220DC2"/>
    <w:rsid w:val="5A2E29D7"/>
    <w:rsid w:val="5A4A44C2"/>
    <w:rsid w:val="5A4E7D2E"/>
    <w:rsid w:val="5A513FF3"/>
    <w:rsid w:val="5A542E7A"/>
    <w:rsid w:val="5A5B2C6C"/>
    <w:rsid w:val="5A6B011D"/>
    <w:rsid w:val="5A6D1419"/>
    <w:rsid w:val="5A6F4C71"/>
    <w:rsid w:val="5A7E2774"/>
    <w:rsid w:val="5A863CB4"/>
    <w:rsid w:val="5A8B5C76"/>
    <w:rsid w:val="5AAE4B9D"/>
    <w:rsid w:val="5ABE665F"/>
    <w:rsid w:val="5AD0104C"/>
    <w:rsid w:val="5AD3367F"/>
    <w:rsid w:val="5AD84F59"/>
    <w:rsid w:val="5AEC0966"/>
    <w:rsid w:val="5AED3B83"/>
    <w:rsid w:val="5B291F55"/>
    <w:rsid w:val="5B2A0805"/>
    <w:rsid w:val="5B2D08C9"/>
    <w:rsid w:val="5B5D2688"/>
    <w:rsid w:val="5B6509E5"/>
    <w:rsid w:val="5B667CDE"/>
    <w:rsid w:val="5B673850"/>
    <w:rsid w:val="5B6F17D1"/>
    <w:rsid w:val="5B710AA2"/>
    <w:rsid w:val="5B7A24DA"/>
    <w:rsid w:val="5B873EE8"/>
    <w:rsid w:val="5B902958"/>
    <w:rsid w:val="5BAF55A8"/>
    <w:rsid w:val="5BB256CB"/>
    <w:rsid w:val="5BC64E63"/>
    <w:rsid w:val="5BED07EA"/>
    <w:rsid w:val="5BFD2EE4"/>
    <w:rsid w:val="5C051DB0"/>
    <w:rsid w:val="5C1342F8"/>
    <w:rsid w:val="5C295830"/>
    <w:rsid w:val="5C5772B0"/>
    <w:rsid w:val="5CE27946"/>
    <w:rsid w:val="5D14295F"/>
    <w:rsid w:val="5D247600"/>
    <w:rsid w:val="5D350F25"/>
    <w:rsid w:val="5D461DE8"/>
    <w:rsid w:val="5D4B2146"/>
    <w:rsid w:val="5D67589A"/>
    <w:rsid w:val="5D7B3DBD"/>
    <w:rsid w:val="5D866E62"/>
    <w:rsid w:val="5DA060EA"/>
    <w:rsid w:val="5DA32190"/>
    <w:rsid w:val="5DC33B33"/>
    <w:rsid w:val="5DCA336B"/>
    <w:rsid w:val="5DE26C0E"/>
    <w:rsid w:val="5DE566DC"/>
    <w:rsid w:val="5DFC53BA"/>
    <w:rsid w:val="5E2036E3"/>
    <w:rsid w:val="5E2D2846"/>
    <w:rsid w:val="5E2E44FF"/>
    <w:rsid w:val="5E394E72"/>
    <w:rsid w:val="5E3968E0"/>
    <w:rsid w:val="5E5A41E8"/>
    <w:rsid w:val="5E746B7E"/>
    <w:rsid w:val="5E82030A"/>
    <w:rsid w:val="5E844F4E"/>
    <w:rsid w:val="5E8836AF"/>
    <w:rsid w:val="5E931C3D"/>
    <w:rsid w:val="5EB14F51"/>
    <w:rsid w:val="5EB475D8"/>
    <w:rsid w:val="5EC04B4D"/>
    <w:rsid w:val="5EE20336"/>
    <w:rsid w:val="5EF05338"/>
    <w:rsid w:val="5EFF3430"/>
    <w:rsid w:val="5EFF40C9"/>
    <w:rsid w:val="5F33240F"/>
    <w:rsid w:val="5F550DA3"/>
    <w:rsid w:val="5F5D414E"/>
    <w:rsid w:val="5F610503"/>
    <w:rsid w:val="5F8C59B0"/>
    <w:rsid w:val="5FB31174"/>
    <w:rsid w:val="5FB478FF"/>
    <w:rsid w:val="5FD23794"/>
    <w:rsid w:val="5FDF5F82"/>
    <w:rsid w:val="5FEE0C9A"/>
    <w:rsid w:val="5FF3268D"/>
    <w:rsid w:val="60031CA7"/>
    <w:rsid w:val="602473D5"/>
    <w:rsid w:val="60335BFF"/>
    <w:rsid w:val="60484173"/>
    <w:rsid w:val="605C0F36"/>
    <w:rsid w:val="605E11DD"/>
    <w:rsid w:val="605F50BB"/>
    <w:rsid w:val="609008D7"/>
    <w:rsid w:val="60953E19"/>
    <w:rsid w:val="60B430E0"/>
    <w:rsid w:val="60B61C2B"/>
    <w:rsid w:val="60BB2412"/>
    <w:rsid w:val="60C0271D"/>
    <w:rsid w:val="60CC5C2C"/>
    <w:rsid w:val="60D360D3"/>
    <w:rsid w:val="60D8449B"/>
    <w:rsid w:val="60D92A63"/>
    <w:rsid w:val="60DB77BD"/>
    <w:rsid w:val="60FA18B8"/>
    <w:rsid w:val="60FF4446"/>
    <w:rsid w:val="610278EA"/>
    <w:rsid w:val="61114623"/>
    <w:rsid w:val="611767A2"/>
    <w:rsid w:val="611E7305"/>
    <w:rsid w:val="613245AC"/>
    <w:rsid w:val="61423CB7"/>
    <w:rsid w:val="61437C40"/>
    <w:rsid w:val="614B123F"/>
    <w:rsid w:val="61633E16"/>
    <w:rsid w:val="61AF3280"/>
    <w:rsid w:val="61DB7677"/>
    <w:rsid w:val="61E97DB0"/>
    <w:rsid w:val="61F54B0E"/>
    <w:rsid w:val="620B7B6C"/>
    <w:rsid w:val="621B46DF"/>
    <w:rsid w:val="621E0D0C"/>
    <w:rsid w:val="62207DBC"/>
    <w:rsid w:val="628F325B"/>
    <w:rsid w:val="62D548A1"/>
    <w:rsid w:val="62FB7EA1"/>
    <w:rsid w:val="62FE2766"/>
    <w:rsid w:val="631D6ACB"/>
    <w:rsid w:val="634C0CA1"/>
    <w:rsid w:val="635E5A92"/>
    <w:rsid w:val="637242A9"/>
    <w:rsid w:val="63872FC3"/>
    <w:rsid w:val="63A06B06"/>
    <w:rsid w:val="63A41C56"/>
    <w:rsid w:val="63A924D9"/>
    <w:rsid w:val="63BE1C9B"/>
    <w:rsid w:val="63C90E34"/>
    <w:rsid w:val="63CA1879"/>
    <w:rsid w:val="63CA29B6"/>
    <w:rsid w:val="63E73A40"/>
    <w:rsid w:val="640907BF"/>
    <w:rsid w:val="64222CD4"/>
    <w:rsid w:val="64264962"/>
    <w:rsid w:val="6451257B"/>
    <w:rsid w:val="645E5DB3"/>
    <w:rsid w:val="64780863"/>
    <w:rsid w:val="649D4C85"/>
    <w:rsid w:val="64C502C8"/>
    <w:rsid w:val="64C64EF2"/>
    <w:rsid w:val="64D2615B"/>
    <w:rsid w:val="64D34CD7"/>
    <w:rsid w:val="64D77899"/>
    <w:rsid w:val="64F84503"/>
    <w:rsid w:val="64FB22CE"/>
    <w:rsid w:val="64FE3CA6"/>
    <w:rsid w:val="65026177"/>
    <w:rsid w:val="65027FB1"/>
    <w:rsid w:val="650326BD"/>
    <w:rsid w:val="65072197"/>
    <w:rsid w:val="65350015"/>
    <w:rsid w:val="653760C8"/>
    <w:rsid w:val="65531C5D"/>
    <w:rsid w:val="65651885"/>
    <w:rsid w:val="656817BC"/>
    <w:rsid w:val="656A498D"/>
    <w:rsid w:val="658B2689"/>
    <w:rsid w:val="658D1A78"/>
    <w:rsid w:val="659975A1"/>
    <w:rsid w:val="659D2806"/>
    <w:rsid w:val="659F2D69"/>
    <w:rsid w:val="65BB13D7"/>
    <w:rsid w:val="65C161C9"/>
    <w:rsid w:val="65C4402E"/>
    <w:rsid w:val="65CF2076"/>
    <w:rsid w:val="65D01048"/>
    <w:rsid w:val="65E3029C"/>
    <w:rsid w:val="65FE1D4B"/>
    <w:rsid w:val="66102D68"/>
    <w:rsid w:val="6616351F"/>
    <w:rsid w:val="664C2976"/>
    <w:rsid w:val="664F6749"/>
    <w:rsid w:val="665B1FEC"/>
    <w:rsid w:val="666E2176"/>
    <w:rsid w:val="667600B8"/>
    <w:rsid w:val="668A7E1B"/>
    <w:rsid w:val="6696561A"/>
    <w:rsid w:val="669C4EA5"/>
    <w:rsid w:val="66C64F54"/>
    <w:rsid w:val="66E22112"/>
    <w:rsid w:val="671F4C3D"/>
    <w:rsid w:val="672C725B"/>
    <w:rsid w:val="672D548D"/>
    <w:rsid w:val="6731631F"/>
    <w:rsid w:val="6733751D"/>
    <w:rsid w:val="67565B78"/>
    <w:rsid w:val="676E1A23"/>
    <w:rsid w:val="679113E9"/>
    <w:rsid w:val="679C7636"/>
    <w:rsid w:val="67B30DE3"/>
    <w:rsid w:val="67B66CE6"/>
    <w:rsid w:val="67F00A63"/>
    <w:rsid w:val="68191370"/>
    <w:rsid w:val="683F3588"/>
    <w:rsid w:val="68431C17"/>
    <w:rsid w:val="6845686E"/>
    <w:rsid w:val="684A3153"/>
    <w:rsid w:val="684D4420"/>
    <w:rsid w:val="68641E84"/>
    <w:rsid w:val="686F590D"/>
    <w:rsid w:val="688137B3"/>
    <w:rsid w:val="6886630B"/>
    <w:rsid w:val="68BA0BA8"/>
    <w:rsid w:val="68C26609"/>
    <w:rsid w:val="68E62F92"/>
    <w:rsid w:val="68FD458D"/>
    <w:rsid w:val="691B4CD4"/>
    <w:rsid w:val="69232287"/>
    <w:rsid w:val="694E3DCB"/>
    <w:rsid w:val="69527625"/>
    <w:rsid w:val="695D784E"/>
    <w:rsid w:val="69705FF1"/>
    <w:rsid w:val="69BC37A7"/>
    <w:rsid w:val="69C6564D"/>
    <w:rsid w:val="69E1177C"/>
    <w:rsid w:val="69E31E2C"/>
    <w:rsid w:val="6A0118A2"/>
    <w:rsid w:val="6A0E2A85"/>
    <w:rsid w:val="6A24320F"/>
    <w:rsid w:val="6A325BC9"/>
    <w:rsid w:val="6A3D0467"/>
    <w:rsid w:val="6A3F62AD"/>
    <w:rsid w:val="6A48070B"/>
    <w:rsid w:val="6A5357C0"/>
    <w:rsid w:val="6A561BDF"/>
    <w:rsid w:val="6A694633"/>
    <w:rsid w:val="6A873F79"/>
    <w:rsid w:val="6A8E2D73"/>
    <w:rsid w:val="6AE42BCF"/>
    <w:rsid w:val="6AF85CA8"/>
    <w:rsid w:val="6AFA743B"/>
    <w:rsid w:val="6B0A6E73"/>
    <w:rsid w:val="6B332C21"/>
    <w:rsid w:val="6B4D64B6"/>
    <w:rsid w:val="6B6850E9"/>
    <w:rsid w:val="6B6907AA"/>
    <w:rsid w:val="6B6E7B4C"/>
    <w:rsid w:val="6B71592F"/>
    <w:rsid w:val="6B7851FB"/>
    <w:rsid w:val="6B885FA7"/>
    <w:rsid w:val="6B895614"/>
    <w:rsid w:val="6B9204DE"/>
    <w:rsid w:val="6B9B4E80"/>
    <w:rsid w:val="6BA763E9"/>
    <w:rsid w:val="6BB42C9F"/>
    <w:rsid w:val="6BD52A63"/>
    <w:rsid w:val="6C131D18"/>
    <w:rsid w:val="6C157B31"/>
    <w:rsid w:val="6C1E7D01"/>
    <w:rsid w:val="6C3B3262"/>
    <w:rsid w:val="6C4F1ECB"/>
    <w:rsid w:val="6C652343"/>
    <w:rsid w:val="6C6B379B"/>
    <w:rsid w:val="6C8C7D35"/>
    <w:rsid w:val="6C9B617D"/>
    <w:rsid w:val="6CD968D0"/>
    <w:rsid w:val="6CF15A94"/>
    <w:rsid w:val="6D292007"/>
    <w:rsid w:val="6D406186"/>
    <w:rsid w:val="6D476ABD"/>
    <w:rsid w:val="6D495E7B"/>
    <w:rsid w:val="6D5118E8"/>
    <w:rsid w:val="6D55513E"/>
    <w:rsid w:val="6D5C484E"/>
    <w:rsid w:val="6D642B67"/>
    <w:rsid w:val="6D6E1B1E"/>
    <w:rsid w:val="6D817A53"/>
    <w:rsid w:val="6D936C28"/>
    <w:rsid w:val="6DA74ED6"/>
    <w:rsid w:val="6DB00C2B"/>
    <w:rsid w:val="6DD94583"/>
    <w:rsid w:val="6E125E1E"/>
    <w:rsid w:val="6E1323F7"/>
    <w:rsid w:val="6E371F21"/>
    <w:rsid w:val="6E8B5C9F"/>
    <w:rsid w:val="6E9E5F4A"/>
    <w:rsid w:val="6EA61615"/>
    <w:rsid w:val="6EA834DF"/>
    <w:rsid w:val="6EF06DAD"/>
    <w:rsid w:val="6F007A3F"/>
    <w:rsid w:val="6F607FE4"/>
    <w:rsid w:val="6F675267"/>
    <w:rsid w:val="6F6D4E06"/>
    <w:rsid w:val="6F730960"/>
    <w:rsid w:val="6F7C2ED8"/>
    <w:rsid w:val="6F954F12"/>
    <w:rsid w:val="6FA223F6"/>
    <w:rsid w:val="6FD60E02"/>
    <w:rsid w:val="6FEC2815"/>
    <w:rsid w:val="70193D56"/>
    <w:rsid w:val="70287EE3"/>
    <w:rsid w:val="703C1D45"/>
    <w:rsid w:val="70406CA5"/>
    <w:rsid w:val="706B1940"/>
    <w:rsid w:val="70706EBF"/>
    <w:rsid w:val="70B1431D"/>
    <w:rsid w:val="70B701DA"/>
    <w:rsid w:val="70C36A24"/>
    <w:rsid w:val="70D051C6"/>
    <w:rsid w:val="70E02C07"/>
    <w:rsid w:val="71165EDA"/>
    <w:rsid w:val="711807E4"/>
    <w:rsid w:val="712449F8"/>
    <w:rsid w:val="71426333"/>
    <w:rsid w:val="714B16AF"/>
    <w:rsid w:val="714C502B"/>
    <w:rsid w:val="71516271"/>
    <w:rsid w:val="717E7EFB"/>
    <w:rsid w:val="71986586"/>
    <w:rsid w:val="71C773DD"/>
    <w:rsid w:val="71C928F6"/>
    <w:rsid w:val="71D175F7"/>
    <w:rsid w:val="71EF6CF3"/>
    <w:rsid w:val="71F25CF3"/>
    <w:rsid w:val="72013C33"/>
    <w:rsid w:val="72051B9F"/>
    <w:rsid w:val="72234BC1"/>
    <w:rsid w:val="72263C75"/>
    <w:rsid w:val="724E0039"/>
    <w:rsid w:val="725356E5"/>
    <w:rsid w:val="72667D19"/>
    <w:rsid w:val="728674C2"/>
    <w:rsid w:val="72972D83"/>
    <w:rsid w:val="72A30558"/>
    <w:rsid w:val="72A66A17"/>
    <w:rsid w:val="72AF4F50"/>
    <w:rsid w:val="72B13451"/>
    <w:rsid w:val="72BA4191"/>
    <w:rsid w:val="72C030F0"/>
    <w:rsid w:val="72CE4E7F"/>
    <w:rsid w:val="72DB2D25"/>
    <w:rsid w:val="72F03263"/>
    <w:rsid w:val="730C4DB0"/>
    <w:rsid w:val="730F3D31"/>
    <w:rsid w:val="731D65A4"/>
    <w:rsid w:val="732145F1"/>
    <w:rsid w:val="73265B53"/>
    <w:rsid w:val="73347106"/>
    <w:rsid w:val="735D765F"/>
    <w:rsid w:val="736835A5"/>
    <w:rsid w:val="736A0A3E"/>
    <w:rsid w:val="736E566D"/>
    <w:rsid w:val="736F1BCD"/>
    <w:rsid w:val="7384753B"/>
    <w:rsid w:val="73EB06FE"/>
    <w:rsid w:val="73ED030A"/>
    <w:rsid w:val="73ED0EC7"/>
    <w:rsid w:val="74001E7B"/>
    <w:rsid w:val="740760EE"/>
    <w:rsid w:val="74136CD5"/>
    <w:rsid w:val="74280096"/>
    <w:rsid w:val="74372947"/>
    <w:rsid w:val="74407120"/>
    <w:rsid w:val="744B2E25"/>
    <w:rsid w:val="74822324"/>
    <w:rsid w:val="74882D47"/>
    <w:rsid w:val="74897CF6"/>
    <w:rsid w:val="748D473B"/>
    <w:rsid w:val="7492250F"/>
    <w:rsid w:val="74B23B86"/>
    <w:rsid w:val="74DB683A"/>
    <w:rsid w:val="74E63169"/>
    <w:rsid w:val="750941EA"/>
    <w:rsid w:val="750D4ED8"/>
    <w:rsid w:val="75310B58"/>
    <w:rsid w:val="755F2A95"/>
    <w:rsid w:val="756516AB"/>
    <w:rsid w:val="75672750"/>
    <w:rsid w:val="757C3C2A"/>
    <w:rsid w:val="75DF0DE4"/>
    <w:rsid w:val="75E31F44"/>
    <w:rsid w:val="75F45394"/>
    <w:rsid w:val="75FD6BC3"/>
    <w:rsid w:val="761A2102"/>
    <w:rsid w:val="764C3962"/>
    <w:rsid w:val="765B0BBA"/>
    <w:rsid w:val="76612DAE"/>
    <w:rsid w:val="766E17DB"/>
    <w:rsid w:val="76720F15"/>
    <w:rsid w:val="76A45A07"/>
    <w:rsid w:val="76C450EA"/>
    <w:rsid w:val="76CA2EAF"/>
    <w:rsid w:val="76DA54BF"/>
    <w:rsid w:val="771D4623"/>
    <w:rsid w:val="77366D37"/>
    <w:rsid w:val="77440389"/>
    <w:rsid w:val="77684980"/>
    <w:rsid w:val="778656DA"/>
    <w:rsid w:val="77892776"/>
    <w:rsid w:val="779B0879"/>
    <w:rsid w:val="779F1ABE"/>
    <w:rsid w:val="77A51B76"/>
    <w:rsid w:val="77A54136"/>
    <w:rsid w:val="77A750A9"/>
    <w:rsid w:val="77AA39C2"/>
    <w:rsid w:val="77CD2392"/>
    <w:rsid w:val="77E21659"/>
    <w:rsid w:val="77FF77F0"/>
    <w:rsid w:val="781432FA"/>
    <w:rsid w:val="78573CA1"/>
    <w:rsid w:val="78616BB1"/>
    <w:rsid w:val="78810771"/>
    <w:rsid w:val="78811E89"/>
    <w:rsid w:val="78A21E7B"/>
    <w:rsid w:val="78A254A1"/>
    <w:rsid w:val="78AB0D53"/>
    <w:rsid w:val="78B439BB"/>
    <w:rsid w:val="78C45E47"/>
    <w:rsid w:val="78CD246C"/>
    <w:rsid w:val="78F34B87"/>
    <w:rsid w:val="790B6F3F"/>
    <w:rsid w:val="7913381D"/>
    <w:rsid w:val="791820E0"/>
    <w:rsid w:val="793909D0"/>
    <w:rsid w:val="79392E27"/>
    <w:rsid w:val="793D798F"/>
    <w:rsid w:val="795C4BE1"/>
    <w:rsid w:val="795D06BE"/>
    <w:rsid w:val="795F20FC"/>
    <w:rsid w:val="798B467F"/>
    <w:rsid w:val="7991039E"/>
    <w:rsid w:val="79911621"/>
    <w:rsid w:val="79AE7E06"/>
    <w:rsid w:val="79D6194B"/>
    <w:rsid w:val="79DA05A4"/>
    <w:rsid w:val="79DE6118"/>
    <w:rsid w:val="79EB6C9D"/>
    <w:rsid w:val="7A2960D9"/>
    <w:rsid w:val="7A3B36EF"/>
    <w:rsid w:val="7A3D307C"/>
    <w:rsid w:val="7A68637B"/>
    <w:rsid w:val="7A797D7D"/>
    <w:rsid w:val="7AA81568"/>
    <w:rsid w:val="7ABE45DA"/>
    <w:rsid w:val="7AD44310"/>
    <w:rsid w:val="7AE24B43"/>
    <w:rsid w:val="7AE6025C"/>
    <w:rsid w:val="7AF07C19"/>
    <w:rsid w:val="7B0A45F3"/>
    <w:rsid w:val="7B0D0FD5"/>
    <w:rsid w:val="7B446C0D"/>
    <w:rsid w:val="7B510660"/>
    <w:rsid w:val="7B5F54E9"/>
    <w:rsid w:val="7B707181"/>
    <w:rsid w:val="7B7544F3"/>
    <w:rsid w:val="7B7E057D"/>
    <w:rsid w:val="7B9C6A13"/>
    <w:rsid w:val="7BBB0221"/>
    <w:rsid w:val="7BC17D68"/>
    <w:rsid w:val="7BCB0E2E"/>
    <w:rsid w:val="7BE03EBF"/>
    <w:rsid w:val="7BE72590"/>
    <w:rsid w:val="7C1021AF"/>
    <w:rsid w:val="7C115E3A"/>
    <w:rsid w:val="7C246C64"/>
    <w:rsid w:val="7C294FEA"/>
    <w:rsid w:val="7C6164E8"/>
    <w:rsid w:val="7C713F98"/>
    <w:rsid w:val="7C7A47D9"/>
    <w:rsid w:val="7CAB6E35"/>
    <w:rsid w:val="7CB07E29"/>
    <w:rsid w:val="7D016819"/>
    <w:rsid w:val="7D1B6F19"/>
    <w:rsid w:val="7D48785E"/>
    <w:rsid w:val="7D4F4018"/>
    <w:rsid w:val="7D5774EA"/>
    <w:rsid w:val="7D5845B0"/>
    <w:rsid w:val="7D6E6EF2"/>
    <w:rsid w:val="7D846A30"/>
    <w:rsid w:val="7D8F6597"/>
    <w:rsid w:val="7D9059F7"/>
    <w:rsid w:val="7D994E68"/>
    <w:rsid w:val="7D9F1F62"/>
    <w:rsid w:val="7DB73D99"/>
    <w:rsid w:val="7DBE23F7"/>
    <w:rsid w:val="7E0C591E"/>
    <w:rsid w:val="7E121A42"/>
    <w:rsid w:val="7E150F4A"/>
    <w:rsid w:val="7E161214"/>
    <w:rsid w:val="7E347A81"/>
    <w:rsid w:val="7E3D1BC5"/>
    <w:rsid w:val="7E3D7D35"/>
    <w:rsid w:val="7E535845"/>
    <w:rsid w:val="7E701D64"/>
    <w:rsid w:val="7E806089"/>
    <w:rsid w:val="7E8C03CE"/>
    <w:rsid w:val="7EA138B2"/>
    <w:rsid w:val="7EA91618"/>
    <w:rsid w:val="7EA92848"/>
    <w:rsid w:val="7ED2429C"/>
    <w:rsid w:val="7ED7260E"/>
    <w:rsid w:val="7F021946"/>
    <w:rsid w:val="7F1A1248"/>
    <w:rsid w:val="7F1C5567"/>
    <w:rsid w:val="7F2705DE"/>
    <w:rsid w:val="7F2B4920"/>
    <w:rsid w:val="7F2C7FA5"/>
    <w:rsid w:val="7F366302"/>
    <w:rsid w:val="7F3A01D5"/>
    <w:rsid w:val="7F40233C"/>
    <w:rsid w:val="7F560F49"/>
    <w:rsid w:val="7F5E7974"/>
    <w:rsid w:val="7F6A4989"/>
    <w:rsid w:val="7F6E32DD"/>
    <w:rsid w:val="7F957981"/>
    <w:rsid w:val="7FA3227B"/>
    <w:rsid w:val="7FA96067"/>
    <w:rsid w:val="7FAA2416"/>
    <w:rsid w:val="7FAC6A77"/>
    <w:rsid w:val="7FC4066F"/>
    <w:rsid w:val="7FE53196"/>
    <w:rsid w:val="7FE8095D"/>
    <w:rsid w:val="7FFC3C9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iPriority="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楷体_GB2312" w:hAnsi="Times New Roman" w:eastAsia="楷体_GB2312" w:cs="Times New Roman"/>
      <w:kern w:val="2"/>
      <w:sz w:val="24"/>
      <w:lang w:val="en-US" w:eastAsia="zh-CN" w:bidi="ar-SA"/>
    </w:rPr>
  </w:style>
  <w:style w:type="paragraph" w:styleId="2">
    <w:name w:val="heading 1"/>
    <w:basedOn w:val="1"/>
    <w:next w:val="1"/>
    <w:link w:val="43"/>
    <w:qFormat/>
    <w:uiPriority w:val="9"/>
    <w:pPr>
      <w:keepNext/>
      <w:keepLines/>
      <w:numPr>
        <w:ilvl w:val="0"/>
        <w:numId w:val="1"/>
      </w:numPr>
      <w:spacing w:before="100" w:after="100" w:line="360" w:lineRule="auto"/>
      <w:outlineLvl w:val="0"/>
    </w:pPr>
    <w:rPr>
      <w:b/>
      <w:bCs/>
      <w:kern w:val="44"/>
      <w:sz w:val="36"/>
      <w:szCs w:val="44"/>
    </w:rPr>
  </w:style>
  <w:style w:type="paragraph" w:styleId="3">
    <w:name w:val="heading 2"/>
    <w:basedOn w:val="1"/>
    <w:next w:val="1"/>
    <w:link w:val="44"/>
    <w:qFormat/>
    <w:uiPriority w:val="9"/>
    <w:pPr>
      <w:keepNext/>
      <w:keepLines/>
      <w:numPr>
        <w:ilvl w:val="1"/>
        <w:numId w:val="1"/>
      </w:numPr>
      <w:tabs>
        <w:tab w:val="left" w:pos="432"/>
      </w:tabs>
      <w:spacing w:before="100"/>
      <w:outlineLvl w:val="1"/>
    </w:pPr>
    <w:rPr>
      <w:rFonts w:hAnsi="宋体"/>
      <w:b/>
      <w:sz w:val="28"/>
    </w:rPr>
  </w:style>
  <w:style w:type="paragraph" w:styleId="4">
    <w:name w:val="heading 3"/>
    <w:basedOn w:val="1"/>
    <w:next w:val="1"/>
    <w:link w:val="45"/>
    <w:qFormat/>
    <w:uiPriority w:val="9"/>
    <w:pPr>
      <w:keepNext/>
      <w:keepLines/>
      <w:numPr>
        <w:ilvl w:val="2"/>
        <w:numId w:val="1"/>
      </w:numPr>
      <w:tabs>
        <w:tab w:val="left" w:pos="432"/>
      </w:tabs>
      <w:spacing w:before="260" w:after="260" w:line="416" w:lineRule="auto"/>
      <w:outlineLvl w:val="2"/>
    </w:pPr>
    <w:rPr>
      <w:b/>
      <w:bCs/>
      <w:sz w:val="32"/>
      <w:szCs w:val="32"/>
    </w:rPr>
  </w:style>
  <w:style w:type="paragraph" w:styleId="5">
    <w:name w:val="heading 4"/>
    <w:basedOn w:val="1"/>
    <w:next w:val="6"/>
    <w:link w:val="46"/>
    <w:qFormat/>
    <w:uiPriority w:val="9"/>
    <w:pPr>
      <w:keepNext/>
      <w:numPr>
        <w:ilvl w:val="3"/>
        <w:numId w:val="1"/>
      </w:numPr>
      <w:tabs>
        <w:tab w:val="left" w:pos="432"/>
      </w:tabs>
      <w:spacing w:line="400" w:lineRule="exact"/>
      <w:outlineLvl w:val="3"/>
    </w:pPr>
    <w:rPr>
      <w:sz w:val="28"/>
    </w:rPr>
  </w:style>
  <w:style w:type="paragraph" w:styleId="7">
    <w:name w:val="heading 5"/>
    <w:basedOn w:val="1"/>
    <w:next w:val="6"/>
    <w:link w:val="47"/>
    <w:qFormat/>
    <w:uiPriority w:val="9"/>
    <w:pPr>
      <w:keepNext/>
      <w:keepLines/>
      <w:numPr>
        <w:ilvl w:val="4"/>
        <w:numId w:val="1"/>
      </w:numPr>
      <w:tabs>
        <w:tab w:val="left" w:pos="432"/>
      </w:tabs>
      <w:spacing w:before="280" w:after="290" w:line="376" w:lineRule="auto"/>
      <w:outlineLvl w:val="4"/>
    </w:pPr>
    <w:rPr>
      <w:b/>
      <w:sz w:val="28"/>
    </w:rPr>
  </w:style>
  <w:style w:type="paragraph" w:styleId="8">
    <w:name w:val="heading 6"/>
    <w:basedOn w:val="1"/>
    <w:next w:val="6"/>
    <w:link w:val="48"/>
    <w:qFormat/>
    <w:uiPriority w:val="9"/>
    <w:pPr>
      <w:keepNext/>
      <w:keepLines/>
      <w:numPr>
        <w:ilvl w:val="5"/>
        <w:numId w:val="1"/>
      </w:numPr>
      <w:tabs>
        <w:tab w:val="left" w:pos="432"/>
      </w:tabs>
      <w:spacing w:before="240" w:after="64" w:line="320" w:lineRule="auto"/>
      <w:outlineLvl w:val="5"/>
    </w:pPr>
    <w:rPr>
      <w:rFonts w:ascii="Arial" w:hAnsi="Arial" w:eastAsia="黑体"/>
      <w:b/>
    </w:rPr>
  </w:style>
  <w:style w:type="paragraph" w:styleId="9">
    <w:name w:val="heading 7"/>
    <w:basedOn w:val="1"/>
    <w:next w:val="6"/>
    <w:link w:val="49"/>
    <w:qFormat/>
    <w:uiPriority w:val="9"/>
    <w:pPr>
      <w:keepNext/>
      <w:keepLines/>
      <w:numPr>
        <w:ilvl w:val="6"/>
        <w:numId w:val="1"/>
      </w:numPr>
      <w:tabs>
        <w:tab w:val="left" w:pos="432"/>
      </w:tabs>
      <w:spacing w:before="240" w:after="64" w:line="320" w:lineRule="auto"/>
      <w:outlineLvl w:val="6"/>
    </w:pPr>
    <w:rPr>
      <w:b/>
    </w:rPr>
  </w:style>
  <w:style w:type="paragraph" w:styleId="10">
    <w:name w:val="heading 8"/>
    <w:basedOn w:val="1"/>
    <w:next w:val="6"/>
    <w:link w:val="50"/>
    <w:qFormat/>
    <w:uiPriority w:val="9"/>
    <w:pPr>
      <w:keepNext/>
      <w:keepLines/>
      <w:numPr>
        <w:ilvl w:val="7"/>
        <w:numId w:val="1"/>
      </w:numPr>
      <w:tabs>
        <w:tab w:val="left" w:pos="432"/>
      </w:tabs>
      <w:spacing w:before="240" w:after="64" w:line="320" w:lineRule="auto"/>
      <w:outlineLvl w:val="7"/>
    </w:pPr>
    <w:rPr>
      <w:rFonts w:ascii="Arial" w:hAnsi="Arial" w:eastAsia="黑体"/>
    </w:rPr>
  </w:style>
  <w:style w:type="paragraph" w:styleId="11">
    <w:name w:val="heading 9"/>
    <w:basedOn w:val="1"/>
    <w:next w:val="6"/>
    <w:qFormat/>
    <w:uiPriority w:val="0"/>
    <w:pPr>
      <w:keepNext/>
      <w:keepLines/>
      <w:numPr>
        <w:ilvl w:val="8"/>
        <w:numId w:val="1"/>
      </w:numPr>
      <w:tabs>
        <w:tab w:val="left" w:pos="432"/>
      </w:tabs>
      <w:spacing w:before="240" w:after="64" w:line="320" w:lineRule="auto"/>
      <w:outlineLvl w:val="8"/>
    </w:pPr>
    <w:rPr>
      <w:rFonts w:ascii="Arial" w:hAnsi="Arial" w:eastAsia="黑体"/>
      <w:sz w:val="21"/>
    </w:rPr>
  </w:style>
  <w:style w:type="character" w:default="1" w:styleId="38">
    <w:name w:val="Default Paragraph Font"/>
    <w:semiHidden/>
    <w:unhideWhenUsed/>
    <w:qFormat/>
    <w:uiPriority w:val="1"/>
  </w:style>
  <w:style w:type="table" w:default="1" w:styleId="36">
    <w:name w:val="Normal Table"/>
    <w:semiHidden/>
    <w:unhideWhenUsed/>
    <w:qFormat/>
    <w:uiPriority w:val="99"/>
    <w:tblPr>
      <w:tblLayout w:type="fixed"/>
      <w:tblCellMar>
        <w:top w:w="0" w:type="dxa"/>
        <w:left w:w="108" w:type="dxa"/>
        <w:bottom w:w="0" w:type="dxa"/>
        <w:right w:w="108" w:type="dxa"/>
      </w:tblCellMar>
    </w:tblPr>
  </w:style>
  <w:style w:type="paragraph" w:styleId="6">
    <w:name w:val="Normal Indent"/>
    <w:basedOn w:val="1"/>
    <w:qFormat/>
    <w:uiPriority w:val="0"/>
    <w:pPr>
      <w:ind w:firstLine="420"/>
    </w:pPr>
  </w:style>
  <w:style w:type="paragraph" w:styleId="12">
    <w:name w:val="toc 7"/>
    <w:basedOn w:val="1"/>
    <w:next w:val="1"/>
    <w:semiHidden/>
    <w:qFormat/>
    <w:uiPriority w:val="0"/>
    <w:pPr>
      <w:ind w:left="2520"/>
    </w:pPr>
  </w:style>
  <w:style w:type="paragraph" w:styleId="13">
    <w:name w:val="Document Map"/>
    <w:basedOn w:val="1"/>
    <w:link w:val="53"/>
    <w:qFormat/>
    <w:uiPriority w:val="0"/>
    <w:rPr>
      <w:rFonts w:ascii="宋体" w:eastAsia="宋体"/>
      <w:sz w:val="18"/>
      <w:szCs w:val="18"/>
    </w:rPr>
  </w:style>
  <w:style w:type="paragraph" w:styleId="14">
    <w:name w:val="annotation text"/>
    <w:basedOn w:val="1"/>
    <w:link w:val="51"/>
    <w:qFormat/>
    <w:uiPriority w:val="99"/>
    <w:pPr>
      <w:jc w:val="left"/>
    </w:pPr>
    <w:rPr>
      <w:rFonts w:hint="eastAsia"/>
    </w:rPr>
  </w:style>
  <w:style w:type="paragraph" w:styleId="15">
    <w:name w:val="Body Text 3"/>
    <w:basedOn w:val="1"/>
    <w:link w:val="54"/>
    <w:qFormat/>
    <w:uiPriority w:val="0"/>
    <w:rPr>
      <w:rFonts w:ascii="仿宋_GB2312" w:eastAsia="仿宋_GB2312"/>
      <w:sz w:val="28"/>
    </w:rPr>
  </w:style>
  <w:style w:type="paragraph" w:styleId="16">
    <w:name w:val="Body Text"/>
    <w:basedOn w:val="1"/>
    <w:link w:val="55"/>
    <w:qFormat/>
    <w:uiPriority w:val="0"/>
    <w:rPr>
      <w:rFonts w:eastAsia="仿宋_GB2312"/>
    </w:rPr>
  </w:style>
  <w:style w:type="paragraph" w:styleId="17">
    <w:name w:val="Body Text Indent"/>
    <w:basedOn w:val="1"/>
    <w:qFormat/>
    <w:uiPriority w:val="0"/>
    <w:pPr>
      <w:ind w:left="420"/>
    </w:pPr>
    <w:rPr>
      <w:rFonts w:eastAsia="仿宋_GB2312"/>
      <w:sz w:val="28"/>
    </w:rPr>
  </w:style>
  <w:style w:type="paragraph" w:styleId="18">
    <w:name w:val="toc 5"/>
    <w:basedOn w:val="1"/>
    <w:next w:val="1"/>
    <w:semiHidden/>
    <w:qFormat/>
    <w:uiPriority w:val="0"/>
    <w:pPr>
      <w:ind w:left="1680"/>
    </w:pPr>
  </w:style>
  <w:style w:type="paragraph" w:styleId="19">
    <w:name w:val="toc 3"/>
    <w:basedOn w:val="1"/>
    <w:next w:val="1"/>
    <w:semiHidden/>
    <w:qFormat/>
    <w:uiPriority w:val="0"/>
    <w:pPr>
      <w:ind w:left="840"/>
    </w:pPr>
  </w:style>
  <w:style w:type="paragraph" w:styleId="20">
    <w:name w:val="toc 8"/>
    <w:basedOn w:val="1"/>
    <w:next w:val="1"/>
    <w:semiHidden/>
    <w:qFormat/>
    <w:uiPriority w:val="0"/>
    <w:pPr>
      <w:ind w:left="2940"/>
    </w:pPr>
  </w:style>
  <w:style w:type="paragraph" w:styleId="21">
    <w:name w:val="Date"/>
    <w:basedOn w:val="1"/>
    <w:next w:val="1"/>
    <w:link w:val="56"/>
    <w:qFormat/>
    <w:uiPriority w:val="0"/>
    <w:rPr>
      <w:rFonts w:ascii="CG Times" w:hAnsi="CG Times"/>
      <w:sz w:val="28"/>
    </w:rPr>
  </w:style>
  <w:style w:type="paragraph" w:styleId="22">
    <w:name w:val="Body Text Indent 2"/>
    <w:basedOn w:val="1"/>
    <w:qFormat/>
    <w:uiPriority w:val="0"/>
    <w:pPr>
      <w:spacing w:line="560" w:lineRule="exact"/>
      <w:ind w:firstLine="425"/>
    </w:pPr>
    <w:rPr>
      <w:color w:val="FF00FF"/>
      <w:sz w:val="28"/>
    </w:rPr>
  </w:style>
  <w:style w:type="paragraph" w:styleId="23">
    <w:name w:val="Balloon Text"/>
    <w:basedOn w:val="1"/>
    <w:link w:val="57"/>
    <w:qFormat/>
    <w:uiPriority w:val="99"/>
    <w:rPr>
      <w:sz w:val="18"/>
      <w:szCs w:val="18"/>
    </w:rPr>
  </w:style>
  <w:style w:type="paragraph" w:styleId="24">
    <w:name w:val="footer"/>
    <w:basedOn w:val="1"/>
    <w:link w:val="58"/>
    <w:qFormat/>
    <w:uiPriority w:val="99"/>
    <w:pPr>
      <w:tabs>
        <w:tab w:val="center" w:pos="4153"/>
        <w:tab w:val="right" w:pos="8306"/>
      </w:tabs>
      <w:snapToGrid w:val="0"/>
      <w:jc w:val="left"/>
    </w:pPr>
    <w:rPr>
      <w:sz w:val="18"/>
      <w:szCs w:val="18"/>
    </w:rPr>
  </w:style>
  <w:style w:type="paragraph" w:styleId="25">
    <w:name w:val="header"/>
    <w:basedOn w:val="1"/>
    <w:link w:val="59"/>
    <w:qFormat/>
    <w:uiPriority w:val="99"/>
    <w:pPr>
      <w:pBdr>
        <w:bottom w:val="single" w:color="auto" w:sz="6" w:space="1"/>
      </w:pBdr>
      <w:tabs>
        <w:tab w:val="center" w:pos="4153"/>
        <w:tab w:val="right" w:pos="8306"/>
      </w:tabs>
      <w:snapToGrid w:val="0"/>
      <w:jc w:val="center"/>
    </w:pPr>
    <w:rPr>
      <w:sz w:val="18"/>
    </w:rPr>
  </w:style>
  <w:style w:type="paragraph" w:styleId="26">
    <w:name w:val="toc 1"/>
    <w:basedOn w:val="1"/>
    <w:next w:val="1"/>
    <w:semiHidden/>
    <w:qFormat/>
    <w:uiPriority w:val="0"/>
  </w:style>
  <w:style w:type="paragraph" w:styleId="27">
    <w:name w:val="toc 4"/>
    <w:basedOn w:val="1"/>
    <w:next w:val="1"/>
    <w:semiHidden/>
    <w:qFormat/>
    <w:uiPriority w:val="0"/>
    <w:pPr>
      <w:ind w:left="1260"/>
    </w:pPr>
  </w:style>
  <w:style w:type="paragraph" w:styleId="28">
    <w:name w:val="Subtitle"/>
    <w:basedOn w:val="1"/>
    <w:next w:val="1"/>
    <w:link w:val="74"/>
    <w:qFormat/>
    <w:uiPriority w:val="11"/>
    <w:pPr>
      <w:spacing w:before="240" w:after="60" w:line="312" w:lineRule="auto"/>
      <w:jc w:val="center"/>
      <w:outlineLvl w:val="1"/>
    </w:pPr>
    <w:rPr>
      <w:rFonts w:asciiTheme="minorHAnsi" w:hAnsiTheme="minorHAnsi" w:eastAsiaTheme="minorEastAsia" w:cstheme="minorBidi"/>
      <w:b/>
      <w:bCs/>
      <w:kern w:val="28"/>
      <w:sz w:val="32"/>
      <w:szCs w:val="32"/>
    </w:rPr>
  </w:style>
  <w:style w:type="paragraph" w:styleId="29">
    <w:name w:val="toc 6"/>
    <w:basedOn w:val="1"/>
    <w:next w:val="1"/>
    <w:semiHidden/>
    <w:qFormat/>
    <w:uiPriority w:val="0"/>
    <w:pPr>
      <w:ind w:left="2100"/>
    </w:pPr>
  </w:style>
  <w:style w:type="paragraph" w:styleId="30">
    <w:name w:val="Body Text Indent 3"/>
    <w:basedOn w:val="1"/>
    <w:link w:val="60"/>
    <w:qFormat/>
    <w:uiPriority w:val="0"/>
    <w:pPr>
      <w:spacing w:line="560" w:lineRule="exact"/>
      <w:ind w:firstLine="420"/>
    </w:pPr>
    <w:rPr>
      <w:sz w:val="28"/>
    </w:rPr>
  </w:style>
  <w:style w:type="paragraph" w:styleId="31">
    <w:name w:val="toc 2"/>
    <w:basedOn w:val="1"/>
    <w:next w:val="1"/>
    <w:semiHidden/>
    <w:qFormat/>
    <w:uiPriority w:val="0"/>
    <w:pPr>
      <w:ind w:left="420"/>
    </w:pPr>
  </w:style>
  <w:style w:type="paragraph" w:styleId="32">
    <w:name w:val="toc 9"/>
    <w:basedOn w:val="1"/>
    <w:next w:val="1"/>
    <w:semiHidden/>
    <w:qFormat/>
    <w:uiPriority w:val="0"/>
    <w:pPr>
      <w:ind w:left="3360"/>
    </w:pPr>
  </w:style>
  <w:style w:type="paragraph" w:styleId="33">
    <w:name w:val="Body Text 2"/>
    <w:basedOn w:val="1"/>
    <w:qFormat/>
    <w:uiPriority w:val="0"/>
    <w:pPr>
      <w:jc w:val="center"/>
    </w:pPr>
    <w:rPr>
      <w:rFonts w:ascii="CG Times" w:hAnsi="CG Times" w:eastAsia="隶书"/>
      <w:b/>
      <w:sz w:val="52"/>
    </w:rPr>
  </w:style>
  <w:style w:type="paragraph" w:styleId="34">
    <w:name w:val="Normal (Web)"/>
    <w:basedOn w:val="1"/>
    <w:semiHidden/>
    <w:unhideWhenUsed/>
    <w:qFormat/>
    <w:uiPriority w:val="0"/>
  </w:style>
  <w:style w:type="paragraph" w:styleId="35">
    <w:name w:val="annotation subject"/>
    <w:basedOn w:val="14"/>
    <w:next w:val="14"/>
    <w:link w:val="52"/>
    <w:qFormat/>
    <w:uiPriority w:val="99"/>
    <w:rPr>
      <w:b/>
      <w:bCs/>
    </w:rPr>
  </w:style>
  <w:style w:type="table" w:styleId="37">
    <w:name w:val="Table Grid"/>
    <w:basedOn w:val="36"/>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character" w:styleId="39">
    <w:name w:val="Strong"/>
    <w:basedOn w:val="38"/>
    <w:qFormat/>
    <w:uiPriority w:val="22"/>
    <w:rPr>
      <w:b/>
      <w:bCs/>
    </w:rPr>
  </w:style>
  <w:style w:type="character" w:styleId="40">
    <w:name w:val="page number"/>
    <w:basedOn w:val="38"/>
    <w:qFormat/>
    <w:uiPriority w:val="0"/>
  </w:style>
  <w:style w:type="character" w:styleId="41">
    <w:name w:val="Hyperlink"/>
    <w:qFormat/>
    <w:uiPriority w:val="0"/>
    <w:rPr>
      <w:color w:val="0000FF"/>
      <w:u w:val="single"/>
    </w:rPr>
  </w:style>
  <w:style w:type="character" w:styleId="42">
    <w:name w:val="annotation reference"/>
    <w:qFormat/>
    <w:uiPriority w:val="99"/>
    <w:rPr>
      <w:sz w:val="21"/>
      <w:szCs w:val="21"/>
    </w:rPr>
  </w:style>
  <w:style w:type="character" w:customStyle="1" w:styleId="43">
    <w:name w:val="标题 1 Char"/>
    <w:basedOn w:val="38"/>
    <w:link w:val="2"/>
    <w:qFormat/>
    <w:uiPriority w:val="9"/>
    <w:rPr>
      <w:rFonts w:ascii="楷体_GB2312" w:eastAsia="楷体_GB2312"/>
      <w:b/>
      <w:bCs/>
      <w:kern w:val="44"/>
      <w:sz w:val="36"/>
      <w:szCs w:val="44"/>
    </w:rPr>
  </w:style>
  <w:style w:type="character" w:customStyle="1" w:styleId="44">
    <w:name w:val="标题 2 Char"/>
    <w:basedOn w:val="38"/>
    <w:link w:val="3"/>
    <w:qFormat/>
    <w:uiPriority w:val="9"/>
    <w:rPr>
      <w:rFonts w:ascii="楷体_GB2312" w:hAnsi="宋体" w:eastAsia="楷体_GB2312"/>
      <w:b/>
      <w:kern w:val="2"/>
      <w:sz w:val="28"/>
    </w:rPr>
  </w:style>
  <w:style w:type="character" w:customStyle="1" w:styleId="45">
    <w:name w:val="标题 3 Char"/>
    <w:basedOn w:val="38"/>
    <w:link w:val="4"/>
    <w:qFormat/>
    <w:uiPriority w:val="9"/>
    <w:rPr>
      <w:rFonts w:ascii="楷体_GB2312" w:eastAsia="楷体_GB2312"/>
      <w:b/>
      <w:bCs/>
      <w:kern w:val="2"/>
      <w:sz w:val="32"/>
      <w:szCs w:val="32"/>
    </w:rPr>
  </w:style>
  <w:style w:type="character" w:customStyle="1" w:styleId="46">
    <w:name w:val="标题 4 Char"/>
    <w:basedOn w:val="38"/>
    <w:link w:val="5"/>
    <w:qFormat/>
    <w:uiPriority w:val="9"/>
    <w:rPr>
      <w:rFonts w:ascii="楷体_GB2312" w:eastAsia="楷体_GB2312"/>
      <w:kern w:val="2"/>
      <w:sz w:val="28"/>
    </w:rPr>
  </w:style>
  <w:style w:type="character" w:customStyle="1" w:styleId="47">
    <w:name w:val="标题 5 Char"/>
    <w:basedOn w:val="38"/>
    <w:link w:val="7"/>
    <w:qFormat/>
    <w:uiPriority w:val="9"/>
    <w:rPr>
      <w:rFonts w:ascii="楷体_GB2312" w:eastAsia="楷体_GB2312"/>
      <w:b/>
      <w:kern w:val="2"/>
      <w:sz w:val="28"/>
    </w:rPr>
  </w:style>
  <w:style w:type="character" w:customStyle="1" w:styleId="48">
    <w:name w:val="标题 6 Char"/>
    <w:basedOn w:val="38"/>
    <w:link w:val="8"/>
    <w:qFormat/>
    <w:uiPriority w:val="9"/>
    <w:rPr>
      <w:rFonts w:ascii="Arial" w:hAnsi="Arial" w:eastAsia="黑体"/>
      <w:b/>
      <w:kern w:val="2"/>
      <w:sz w:val="24"/>
    </w:rPr>
  </w:style>
  <w:style w:type="character" w:customStyle="1" w:styleId="49">
    <w:name w:val="标题 7 Char"/>
    <w:basedOn w:val="38"/>
    <w:link w:val="9"/>
    <w:qFormat/>
    <w:uiPriority w:val="9"/>
    <w:rPr>
      <w:rFonts w:ascii="楷体_GB2312" w:eastAsia="楷体_GB2312"/>
      <w:b/>
      <w:kern w:val="2"/>
      <w:sz w:val="24"/>
    </w:rPr>
  </w:style>
  <w:style w:type="character" w:customStyle="1" w:styleId="50">
    <w:name w:val="标题 8 Char"/>
    <w:basedOn w:val="38"/>
    <w:link w:val="10"/>
    <w:qFormat/>
    <w:uiPriority w:val="9"/>
    <w:rPr>
      <w:rFonts w:ascii="Arial" w:hAnsi="Arial" w:eastAsia="黑体"/>
      <w:kern w:val="2"/>
      <w:sz w:val="24"/>
    </w:rPr>
  </w:style>
  <w:style w:type="character" w:customStyle="1" w:styleId="51">
    <w:name w:val="批注文字 Char"/>
    <w:link w:val="14"/>
    <w:qFormat/>
    <w:uiPriority w:val="99"/>
    <w:rPr>
      <w:rFonts w:ascii="楷体_GB2312" w:eastAsia="楷体_GB2312"/>
      <w:kern w:val="2"/>
      <w:sz w:val="24"/>
    </w:rPr>
  </w:style>
  <w:style w:type="character" w:customStyle="1" w:styleId="52">
    <w:name w:val="批注主题 Char"/>
    <w:basedOn w:val="51"/>
    <w:link w:val="35"/>
    <w:qFormat/>
    <w:uiPriority w:val="99"/>
    <w:rPr>
      <w:rFonts w:ascii="楷体_GB2312" w:eastAsia="楷体_GB2312"/>
      <w:b/>
      <w:bCs/>
      <w:kern w:val="2"/>
      <w:sz w:val="24"/>
    </w:rPr>
  </w:style>
  <w:style w:type="character" w:customStyle="1" w:styleId="53">
    <w:name w:val="文档结构图 Char"/>
    <w:link w:val="13"/>
    <w:qFormat/>
    <w:uiPriority w:val="0"/>
    <w:rPr>
      <w:rFonts w:ascii="宋体"/>
      <w:kern w:val="2"/>
      <w:sz w:val="18"/>
      <w:szCs w:val="18"/>
    </w:rPr>
  </w:style>
  <w:style w:type="character" w:customStyle="1" w:styleId="54">
    <w:name w:val="正文文本 3 Char"/>
    <w:link w:val="15"/>
    <w:qFormat/>
    <w:uiPriority w:val="0"/>
    <w:rPr>
      <w:rFonts w:ascii="仿宋_GB2312" w:eastAsia="仿宋_GB2312"/>
      <w:kern w:val="2"/>
      <w:sz w:val="28"/>
    </w:rPr>
  </w:style>
  <w:style w:type="character" w:customStyle="1" w:styleId="55">
    <w:name w:val="正文文本 Char"/>
    <w:basedOn w:val="38"/>
    <w:link w:val="16"/>
    <w:qFormat/>
    <w:uiPriority w:val="0"/>
    <w:rPr>
      <w:rFonts w:ascii="楷体_GB2312" w:eastAsia="仿宋_GB2312"/>
      <w:kern w:val="2"/>
      <w:sz w:val="24"/>
    </w:rPr>
  </w:style>
  <w:style w:type="character" w:customStyle="1" w:styleId="56">
    <w:name w:val="日期 Char"/>
    <w:link w:val="21"/>
    <w:qFormat/>
    <w:uiPriority w:val="0"/>
    <w:rPr>
      <w:rFonts w:ascii="CG Times" w:hAnsi="CG Times" w:eastAsia="楷体_GB2312"/>
      <w:kern w:val="2"/>
      <w:sz w:val="28"/>
    </w:rPr>
  </w:style>
  <w:style w:type="character" w:customStyle="1" w:styleId="57">
    <w:name w:val="批注框文本 Char"/>
    <w:basedOn w:val="38"/>
    <w:link w:val="23"/>
    <w:qFormat/>
    <w:uiPriority w:val="99"/>
    <w:rPr>
      <w:rFonts w:ascii="楷体_GB2312" w:eastAsia="楷体_GB2312"/>
      <w:kern w:val="2"/>
      <w:sz w:val="18"/>
      <w:szCs w:val="18"/>
    </w:rPr>
  </w:style>
  <w:style w:type="character" w:customStyle="1" w:styleId="58">
    <w:name w:val="页脚 Char"/>
    <w:basedOn w:val="38"/>
    <w:link w:val="24"/>
    <w:qFormat/>
    <w:uiPriority w:val="99"/>
    <w:rPr>
      <w:rFonts w:ascii="楷体_GB2312" w:eastAsia="楷体_GB2312"/>
      <w:kern w:val="2"/>
      <w:sz w:val="18"/>
      <w:szCs w:val="18"/>
    </w:rPr>
  </w:style>
  <w:style w:type="character" w:customStyle="1" w:styleId="59">
    <w:name w:val="页眉 Char"/>
    <w:basedOn w:val="38"/>
    <w:link w:val="25"/>
    <w:qFormat/>
    <w:uiPriority w:val="99"/>
    <w:rPr>
      <w:rFonts w:ascii="楷体_GB2312" w:eastAsia="楷体_GB2312"/>
      <w:kern w:val="2"/>
      <w:sz w:val="18"/>
    </w:rPr>
  </w:style>
  <w:style w:type="character" w:customStyle="1" w:styleId="60">
    <w:name w:val="正文文本缩进 3 Char"/>
    <w:link w:val="30"/>
    <w:qFormat/>
    <w:uiPriority w:val="0"/>
    <w:rPr>
      <w:rFonts w:ascii="楷体_GB2312" w:eastAsia="楷体_GB2312"/>
      <w:kern w:val="2"/>
      <w:sz w:val="28"/>
    </w:rPr>
  </w:style>
  <w:style w:type="character" w:customStyle="1" w:styleId="61">
    <w:name w:val="已访问的超链接1"/>
    <w:qFormat/>
    <w:uiPriority w:val="0"/>
    <w:rPr>
      <w:color w:val="800080"/>
      <w:u w:val="single"/>
    </w:rPr>
  </w:style>
  <w:style w:type="paragraph" w:customStyle="1" w:styleId="62">
    <w:name w:val="首行缩进正文"/>
    <w:basedOn w:val="1"/>
    <w:qFormat/>
    <w:uiPriority w:val="0"/>
    <w:pPr>
      <w:spacing w:line="360" w:lineRule="auto"/>
      <w:ind w:firstLine="480"/>
      <w:jc w:val="left"/>
    </w:pPr>
    <w:rPr>
      <w:rFonts w:ascii="黑体" w:eastAsia="宋体"/>
    </w:rPr>
  </w:style>
  <w:style w:type="paragraph" w:customStyle="1" w:styleId="63">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64">
    <w:name w:val="修订1"/>
    <w:hidden/>
    <w:semiHidden/>
    <w:qFormat/>
    <w:uiPriority w:val="99"/>
    <w:rPr>
      <w:rFonts w:ascii="楷体_GB2312" w:hAnsi="Times New Roman" w:eastAsia="楷体_GB2312" w:cs="Times New Roman"/>
      <w:kern w:val="2"/>
      <w:sz w:val="24"/>
      <w:lang w:val="en-US" w:eastAsia="zh-CN" w:bidi="ar-SA"/>
    </w:rPr>
  </w:style>
  <w:style w:type="paragraph" w:customStyle="1" w:styleId="65">
    <w:name w:val="z-窗体底端1"/>
    <w:basedOn w:val="1"/>
    <w:next w:val="1"/>
    <w:hidden/>
    <w:qFormat/>
    <w:uiPriority w:val="0"/>
    <w:pPr>
      <w:pBdr>
        <w:top w:val="single" w:color="auto" w:sz="6" w:space="1"/>
      </w:pBdr>
      <w:jc w:val="center"/>
    </w:pPr>
    <w:rPr>
      <w:rFonts w:ascii="Arial" w:hAnsi="Arial" w:eastAsia="宋体" w:cs="Arial"/>
      <w:vanish/>
      <w:sz w:val="16"/>
      <w:szCs w:val="16"/>
    </w:rPr>
  </w:style>
  <w:style w:type="paragraph" w:customStyle="1" w:styleId="66">
    <w:name w:val="z-窗体顶端1"/>
    <w:basedOn w:val="1"/>
    <w:next w:val="1"/>
    <w:hidden/>
    <w:qFormat/>
    <w:uiPriority w:val="0"/>
    <w:pPr>
      <w:pBdr>
        <w:bottom w:val="single" w:color="auto" w:sz="6" w:space="1"/>
      </w:pBdr>
      <w:jc w:val="center"/>
    </w:pPr>
    <w:rPr>
      <w:rFonts w:ascii="Arial" w:hAnsi="Arial" w:eastAsia="宋体" w:cs="Arial"/>
      <w:vanish/>
      <w:sz w:val="16"/>
      <w:szCs w:val="16"/>
    </w:rPr>
  </w:style>
  <w:style w:type="paragraph" w:customStyle="1" w:styleId="67">
    <w:name w:val="列出段落1"/>
    <w:basedOn w:val="1"/>
    <w:qFormat/>
    <w:uiPriority w:val="34"/>
    <w:pPr>
      <w:ind w:firstLine="420" w:firstLineChars="200"/>
    </w:pPr>
    <w:rPr>
      <w:rFonts w:ascii="Calibri" w:hAnsi="Calibri" w:eastAsia="宋体"/>
      <w:sz w:val="21"/>
      <w:szCs w:val="22"/>
    </w:rPr>
  </w:style>
  <w:style w:type="character" w:customStyle="1" w:styleId="68">
    <w:name w:val="Char Char3"/>
    <w:qFormat/>
    <w:uiPriority w:val="0"/>
    <w:rPr>
      <w:rFonts w:ascii="仿宋_GB2312" w:eastAsia="仿宋_GB2312"/>
      <w:kern w:val="2"/>
      <w:sz w:val="28"/>
    </w:rPr>
  </w:style>
  <w:style w:type="paragraph" w:customStyle="1" w:styleId="69">
    <w:name w:val="修订2"/>
    <w:hidden/>
    <w:unhideWhenUsed/>
    <w:qFormat/>
    <w:uiPriority w:val="99"/>
    <w:rPr>
      <w:rFonts w:ascii="楷体_GB2312" w:hAnsi="Times New Roman" w:eastAsia="楷体_GB2312" w:cs="Times New Roman"/>
      <w:kern w:val="2"/>
      <w:sz w:val="24"/>
      <w:lang w:val="en-US" w:eastAsia="zh-CN" w:bidi="ar-SA"/>
    </w:rPr>
  </w:style>
  <w:style w:type="paragraph" w:customStyle="1" w:styleId="70">
    <w:name w:val="p0"/>
    <w:basedOn w:val="1"/>
    <w:qFormat/>
    <w:uiPriority w:val="0"/>
    <w:pPr>
      <w:widowControl/>
      <w:jc w:val="left"/>
    </w:pPr>
    <w:rPr>
      <w:rFonts w:ascii="宋体" w:hAnsi="宋体" w:eastAsia="宋体" w:cs="宋体"/>
      <w:kern w:val="0"/>
      <w:szCs w:val="24"/>
    </w:rPr>
  </w:style>
  <w:style w:type="paragraph" w:customStyle="1" w:styleId="71">
    <w:name w:val="列出段落2"/>
    <w:basedOn w:val="1"/>
    <w:qFormat/>
    <w:uiPriority w:val="34"/>
    <w:pPr>
      <w:ind w:firstLine="420" w:firstLineChars="200"/>
    </w:pPr>
    <w:rPr>
      <w:sz w:val="28"/>
    </w:rPr>
  </w:style>
  <w:style w:type="paragraph" w:styleId="72">
    <w:name w:val="List Paragraph"/>
    <w:basedOn w:val="1"/>
    <w:qFormat/>
    <w:uiPriority w:val="99"/>
    <w:pPr>
      <w:ind w:firstLine="420" w:firstLineChars="200"/>
    </w:pPr>
    <w:rPr>
      <w:rFonts w:ascii="Times New Roman" w:eastAsia="宋体"/>
      <w:sz w:val="21"/>
      <w:szCs w:val="24"/>
    </w:rPr>
  </w:style>
  <w:style w:type="paragraph" w:customStyle="1" w:styleId="73">
    <w:name w:val="修订3"/>
    <w:hidden/>
    <w:unhideWhenUsed/>
    <w:qFormat/>
    <w:uiPriority w:val="99"/>
    <w:rPr>
      <w:rFonts w:ascii="楷体_GB2312" w:hAnsi="Times New Roman" w:eastAsia="楷体_GB2312" w:cs="Times New Roman"/>
      <w:kern w:val="2"/>
      <w:sz w:val="24"/>
      <w:lang w:val="en-US" w:eastAsia="zh-CN" w:bidi="ar-SA"/>
    </w:rPr>
  </w:style>
  <w:style w:type="character" w:customStyle="1" w:styleId="74">
    <w:name w:val="副标题 Char"/>
    <w:basedOn w:val="38"/>
    <w:link w:val="28"/>
    <w:qFormat/>
    <w:uiPriority w:val="11"/>
    <w:rPr>
      <w:rFonts w:asciiTheme="minorHAnsi" w:hAnsiTheme="minorHAnsi" w:eastAsiaTheme="minorEastAsia" w:cstheme="minorBidi"/>
      <w:b/>
      <w:bCs/>
      <w:kern w:val="28"/>
      <w:sz w:val="32"/>
      <w:szCs w:val="32"/>
    </w:rPr>
  </w:style>
  <w:style w:type="paragraph" w:customStyle="1" w:styleId="75">
    <w:name w:val="列出段落3"/>
    <w:basedOn w:val="1"/>
    <w:qFormat/>
    <w:uiPriority w:val="34"/>
    <w:pPr>
      <w:ind w:firstLine="420" w:firstLineChars="200"/>
    </w:pPr>
    <w:rPr>
      <w:rFonts w:ascii="Times New Roman" w:eastAsia="宋体"/>
      <w:sz w:val="21"/>
      <w:szCs w:val="21"/>
    </w:rPr>
  </w:style>
  <w:style w:type="paragraph" w:customStyle="1" w:styleId="76">
    <w:name w:val="修订4"/>
    <w:hidden/>
    <w:unhideWhenUsed/>
    <w:qFormat/>
    <w:uiPriority w:val="99"/>
    <w:rPr>
      <w:rFonts w:ascii="楷体_GB2312" w:hAnsi="Times New Roman" w:eastAsia="楷体_GB2312" w:cs="Times New Roman"/>
      <w:kern w:val="2"/>
      <w:sz w:val="24"/>
      <w:lang w:val="en-US" w:eastAsia="zh-CN" w:bidi="ar-SA"/>
    </w:rPr>
  </w:style>
  <w:style w:type="paragraph" w:styleId="77">
    <w:name w:val="Quote"/>
    <w:basedOn w:val="1"/>
    <w:next w:val="1"/>
    <w:link w:val="78"/>
    <w:qFormat/>
    <w:uiPriority w:val="29"/>
    <w:pPr>
      <w:widowControl/>
      <w:spacing w:after="200" w:line="276" w:lineRule="auto"/>
      <w:jc w:val="left"/>
    </w:pPr>
    <w:rPr>
      <w:rFonts w:asciiTheme="minorHAnsi" w:hAnsiTheme="minorHAnsi" w:eastAsiaTheme="minorEastAsia" w:cstheme="minorBidi"/>
      <w:i/>
      <w:iCs/>
      <w:color w:val="000000" w:themeColor="text1"/>
      <w:kern w:val="0"/>
      <w:sz w:val="22"/>
      <w:szCs w:val="22"/>
      <w14:textFill>
        <w14:solidFill>
          <w14:schemeClr w14:val="tx1"/>
        </w14:solidFill>
      </w14:textFill>
    </w:rPr>
  </w:style>
  <w:style w:type="character" w:customStyle="1" w:styleId="78">
    <w:name w:val="引用 Char"/>
    <w:basedOn w:val="38"/>
    <w:link w:val="77"/>
    <w:qFormat/>
    <w:uiPriority w:val="29"/>
    <w:rPr>
      <w:i/>
      <w:iCs/>
      <w:color w:val="000000" w:themeColor="text1"/>
      <w:sz w:val="22"/>
      <w:szCs w:val="22"/>
      <w14:textFill>
        <w14:solidFill>
          <w14:schemeClr w14:val="tx1"/>
        </w14:solidFill>
      </w14:textFill>
    </w:rPr>
  </w:style>
  <w:style w:type="paragraph" w:customStyle="1" w:styleId="79">
    <w:name w:val="msolistparagraph"/>
    <w:basedOn w:val="1"/>
    <w:qFormat/>
    <w:uiPriority w:val="0"/>
    <w:pPr>
      <w:ind w:firstLine="420" w:firstLineChars="200"/>
    </w:pPr>
    <w:rPr>
      <w:rFonts w:ascii="Times New Roman" w:eastAsia="宋体"/>
      <w:sz w:val="21"/>
      <w:szCs w:val="24"/>
    </w:rPr>
  </w:style>
  <w:style w:type="paragraph" w:customStyle="1" w:styleId="80">
    <w:name w:val="修订5"/>
    <w:hidden/>
    <w:unhideWhenUsed/>
    <w:qFormat/>
    <w:uiPriority w:val="99"/>
    <w:rPr>
      <w:rFonts w:ascii="楷体_GB2312" w:hAnsi="Times New Roman" w:eastAsia="楷体_GB2312" w:cs="Times New Roman"/>
      <w:kern w:val="2"/>
      <w:sz w:val="24"/>
      <w:lang w:val="en-US" w:eastAsia="zh-CN" w:bidi="ar-SA"/>
    </w:rPr>
  </w:style>
  <w:style w:type="character" w:customStyle="1" w:styleId="81">
    <w:name w:val="Highlighted Variable"/>
    <w:qFormat/>
    <w:uiPriority w:val="0"/>
    <w:rPr>
      <w:color w:val="0000FF"/>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5.xml"/><Relationship Id="rId8" Type="http://schemas.openxmlformats.org/officeDocument/2006/relationships/customXml" Target="../customXml/item4.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E58FF85-CFB6-4EB2-8CB4-FA0A33299A81}">
  <ds:schemaRefs/>
</ds:datastoreItem>
</file>

<file path=customXml/itemProps3.xml><?xml version="1.0" encoding="utf-8"?>
<ds:datastoreItem xmlns:ds="http://schemas.openxmlformats.org/officeDocument/2006/customXml" ds:itemID="{5C1EA7F8-DCC1-4E94-97FA-96F313230D70}">
  <ds:schemaRefs/>
</ds:datastoreItem>
</file>

<file path=customXml/itemProps4.xml><?xml version="1.0" encoding="utf-8"?>
<ds:datastoreItem xmlns:ds="http://schemas.openxmlformats.org/officeDocument/2006/customXml" ds:itemID="{8AE4C014-E2D1-41A1-B828-E48B29106312}">
  <ds:schemaRefs/>
</ds:datastoreItem>
</file>

<file path=customXml/itemProps5.xml><?xml version="1.0" encoding="utf-8"?>
<ds:datastoreItem xmlns:ds="http://schemas.openxmlformats.org/officeDocument/2006/customXml" ds:itemID="{09D7F6B8-4AC4-486C-977B-5EB3C2B45AF1}">
  <ds:schemaRefs/>
</ds:datastoreItem>
</file>

<file path=docProps/app.xml><?xml version="1.0" encoding="utf-8"?>
<Properties xmlns="http://schemas.openxmlformats.org/officeDocument/2006/extended-properties" xmlns:vt="http://schemas.openxmlformats.org/officeDocument/2006/docPropsVTypes">
  <Template>Normal</Template>
  <Company>sse</Company>
  <Pages>14</Pages>
  <Words>1303</Words>
  <Characters>7429</Characters>
  <Lines>61</Lines>
  <Paragraphs>17</Paragraphs>
  <TotalTime>10</TotalTime>
  <ScaleCrop>false</ScaleCrop>
  <LinksUpToDate>false</LinksUpToDate>
  <CharactersWithSpaces>8715</CharactersWithSpaces>
  <Application>WPS Office_11.8.2.8555_F1E327BC-269C-435d-A152-05C5408002CA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2021-03-31T07:16:00Z</dcterms:created>
  <dc:creator>user</dc:creator>
  <cp:lastModifiedBy>linyy</cp:lastModifiedBy>
  <cp:lastPrinted>2020-06-22T01:00:00Z</cp:lastPrinted>
  <dcterms:modified xsi:type="dcterms:W3CDTF">2021-07-14T07:37:42Z</dcterms:modified>
  <cp:revision>87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2052-11.8.2.8555</vt:lpwstr>
  </property>
</Properties>
</file>