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7E570670" w:rsidR="005D5B52" w:rsidRPr="000820EF" w:rsidRDefault="00AA30F9" w:rsidP="00B72DE1">
            <w:pPr>
              <w:jc w:val="center"/>
              <w:rPr>
                <w:sz w:val="32"/>
                <w:szCs w:val="32"/>
              </w:rPr>
            </w:pPr>
            <w:r w:rsidRPr="00AA30F9">
              <w:rPr>
                <w:rFonts w:hint="eastAsia"/>
                <w:sz w:val="32"/>
                <w:szCs w:val="32"/>
                <w:highlight w:val="yellow"/>
              </w:rPr>
              <w:t>校内、校外</w:t>
            </w: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1FBB1897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023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D4317F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3EBB17E5" w:rsidR="00FE7FBD" w:rsidRPr="000820EF" w:rsidRDefault="00944476" w:rsidP="005A51D5">
            <w:pPr>
              <w:jc w:val="center"/>
              <w:rPr>
                <w:sz w:val="32"/>
                <w:szCs w:val="32"/>
              </w:rPr>
            </w:pPr>
            <w:r w:rsidRPr="00944476">
              <w:rPr>
                <w:sz w:val="32"/>
                <w:szCs w:val="32"/>
                <w:highlight w:val="yellow"/>
              </w:rPr>
              <w:t>校内</w:t>
            </w:r>
            <w:r w:rsidRPr="00944476">
              <w:rPr>
                <w:rFonts w:hint="eastAsia"/>
                <w:sz w:val="32"/>
                <w:szCs w:val="32"/>
                <w:highlight w:val="yellow"/>
              </w:rPr>
              <w:t>、</w:t>
            </w:r>
            <w:r w:rsidRPr="00944476">
              <w:rPr>
                <w:sz w:val="32"/>
                <w:szCs w:val="32"/>
                <w:highlight w:val="yellow"/>
              </w:rPr>
              <w:t>校外</w:t>
            </w: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2EB17C23" w14:textId="77777777" w:rsidR="009C49E0" w:rsidRDefault="009C49E0" w:rsidP="009C49E0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69F415DE" w14:textId="77777777" w:rsidR="009C49E0" w:rsidRDefault="009C49E0" w:rsidP="009C49E0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547AC10" w:rsidR="009C49E0" w:rsidRPr="000820EF" w:rsidRDefault="00D4781D" w:rsidP="005A51D5">
            <w:pPr>
              <w:jc w:val="center"/>
              <w:rPr>
                <w:sz w:val="32"/>
                <w:szCs w:val="32"/>
              </w:rPr>
            </w:pPr>
            <w:r w:rsidRPr="00D4781D">
              <w:rPr>
                <w:sz w:val="32"/>
                <w:szCs w:val="32"/>
                <w:highlight w:val="yellow"/>
              </w:rPr>
              <w:t>校内</w:t>
            </w:r>
            <w:r w:rsidRPr="00D4781D">
              <w:rPr>
                <w:rFonts w:hint="eastAsia"/>
                <w:sz w:val="32"/>
                <w:szCs w:val="32"/>
                <w:highlight w:val="yellow"/>
              </w:rPr>
              <w:t>、</w:t>
            </w:r>
            <w:r w:rsidRPr="00D4781D">
              <w:rPr>
                <w:sz w:val="32"/>
                <w:szCs w:val="32"/>
                <w:highlight w:val="yellow"/>
              </w:rPr>
              <w:t>校外</w:t>
            </w:r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58AF7210" w14:textId="77777777" w:rsidR="009C49E0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5DB7A8E7" w14:textId="77777777" w:rsidR="009C49E0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69D77EA1" w14:textId="77777777" w:rsidR="009C49E0" w:rsidRPr="0087454A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</w:t>
            </w:r>
            <w:proofErr w:type="gramStart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拟解决</w:t>
            </w:r>
            <w:proofErr w:type="gramEnd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方案</w:t>
            </w:r>
          </w:p>
          <w:p w14:paraId="13B4BF0E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81240B9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0F49BB5F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6D21339B" w14:textId="77777777" w:rsidR="002B5806" w:rsidRPr="002B5806" w:rsidRDefault="002B5806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FB067F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.5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0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.5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2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proofErr w:type="gramStart"/>
                  <w:r w:rsidRPr="00046EB4">
                    <w:rPr>
                      <w:color w:val="000000"/>
                      <w:kern w:val="0"/>
                      <w:sz w:val="24"/>
                    </w:rPr>
                    <w:t>1.1.1  1.1.2</w:t>
                  </w:r>
                  <w:proofErr w:type="gramEnd"/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0"/>
                      <w:attr w:name="Month" w:val="12"/>
                      <w:attr w:name="Year" w:val="1899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左对齐；目录中一级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2"/>
                      <w:attr w:name="Month" w:val="8"/>
                      <w:attr w:name="Year" w:val="1983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网教学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研究，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"/>
                      <w:attr w:name="Month" w:val="2"/>
                      <w:attr w:name="Year" w:val="2005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2E6CE2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A771" w14:textId="77777777" w:rsidR="002E738D" w:rsidRDefault="002E738D">
      <w:r>
        <w:separator/>
      </w:r>
    </w:p>
  </w:endnote>
  <w:endnote w:type="continuationSeparator" w:id="0">
    <w:p w14:paraId="1BB14617" w14:textId="77777777" w:rsidR="002E738D" w:rsidRDefault="002E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AC08" w14:textId="77777777" w:rsidR="002E738D" w:rsidRDefault="002E738D">
      <w:r>
        <w:separator/>
      </w:r>
    </w:p>
  </w:footnote>
  <w:footnote w:type="continuationSeparator" w:id="0">
    <w:p w14:paraId="643BD3E2" w14:textId="77777777" w:rsidR="002E738D" w:rsidRDefault="002E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580216434">
    <w:abstractNumId w:val="9"/>
  </w:num>
  <w:num w:numId="2" w16cid:durableId="994604938">
    <w:abstractNumId w:val="14"/>
  </w:num>
  <w:num w:numId="3" w16cid:durableId="367028971">
    <w:abstractNumId w:val="8"/>
  </w:num>
  <w:num w:numId="4" w16cid:durableId="1310406544">
    <w:abstractNumId w:val="16"/>
  </w:num>
  <w:num w:numId="5" w16cid:durableId="1097016109">
    <w:abstractNumId w:val="1"/>
  </w:num>
  <w:num w:numId="6" w16cid:durableId="1862934908">
    <w:abstractNumId w:val="2"/>
  </w:num>
  <w:num w:numId="7" w16cid:durableId="263078344">
    <w:abstractNumId w:val="5"/>
  </w:num>
  <w:num w:numId="8" w16cid:durableId="1947927631">
    <w:abstractNumId w:val="0"/>
  </w:num>
  <w:num w:numId="9" w16cid:durableId="1999730506">
    <w:abstractNumId w:val="6"/>
  </w:num>
  <w:num w:numId="10" w16cid:durableId="489488739">
    <w:abstractNumId w:val="7"/>
  </w:num>
  <w:num w:numId="11" w16cid:durableId="170922467">
    <w:abstractNumId w:val="15"/>
  </w:num>
  <w:num w:numId="12" w16cid:durableId="1181311280">
    <w:abstractNumId w:val="12"/>
  </w:num>
  <w:num w:numId="13" w16cid:durableId="2058040862">
    <w:abstractNumId w:val="3"/>
  </w:num>
  <w:num w:numId="14" w16cid:durableId="1444958121">
    <w:abstractNumId w:val="17"/>
  </w:num>
  <w:num w:numId="15" w16cid:durableId="1028802191">
    <w:abstractNumId w:val="13"/>
  </w:num>
  <w:num w:numId="16" w16cid:durableId="1679963347">
    <w:abstractNumId w:val="4"/>
  </w:num>
  <w:num w:numId="17" w16cid:durableId="501235303">
    <w:abstractNumId w:val="10"/>
  </w:num>
  <w:num w:numId="18" w16cid:durableId="866406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E738D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B7D7A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2C6D1-0FF0-4D13-AB48-39F47217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</TotalTime>
  <Pages>20</Pages>
  <Words>817</Words>
  <Characters>4658</Characters>
  <Application>Microsoft Office Word</Application>
  <DocSecurity>0</DocSecurity>
  <Lines>38</Lines>
  <Paragraphs>10</Paragraphs>
  <ScaleCrop>false</ScaleCrop>
  <Company>BIT</Company>
  <LinksUpToDate>false</LinksUpToDate>
  <CharactersWithSpaces>5465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海洋 钮</cp:lastModifiedBy>
  <cp:revision>2</cp:revision>
  <cp:lastPrinted>2011-03-29T06:38:00Z</cp:lastPrinted>
  <dcterms:created xsi:type="dcterms:W3CDTF">2023-04-10T02:48:00Z</dcterms:created>
  <dcterms:modified xsi:type="dcterms:W3CDTF">2023-04-10T02:48:00Z</dcterms:modified>
</cp:coreProperties>
</file>