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00" w:after="160" w:line="259" w:lineRule="auto"/>
        <w:jc w:val="center"/>
      </w:pPr>
      <w:r>
        <w:rPr>
          <w:rFonts w:ascii="Arial" w:hAnsi="Arial" w:eastAsia="Noto Sans CJK SC"/>
          <w:b/>
          <w:i w:val="0"/>
          <w:color w:val="0F5D6A"/>
          <w:sz w:val="52"/>
        </w:rPr>
        <w:t>全球数据中心行业现状</w:t>
      </w:r>
    </w:p>
    <w:p>
      <w:pPr>
        <w:keepNext w:val="0"/>
        <w:spacing w:before="0" w:after="240" w:line="259" w:lineRule="auto"/>
        <w:jc w:val="center"/>
      </w:pPr>
      <w:r>
        <w:rPr>
          <w:rFonts w:ascii="Arial" w:hAnsi="Arial" w:eastAsia="Noto Sans CJK SC"/>
          <w:b/>
          <w:i w:val="0"/>
          <w:color w:val="222222"/>
          <w:sz w:val="28"/>
        </w:rPr>
        <w:t>谁在建 · 谁在用 · 电 · 地 · 产品 · 散热</w:t>
      </w:r>
    </w:p>
    <w:p>
      <w:pPr>
        <w:keepNext w:val="0"/>
        <w:spacing w:before="0" w:after="360" w:line="259" w:lineRule="auto"/>
        <w:jc w:val="center"/>
      </w:pPr>
      <w:r>
        <w:rPr>
          <w:rFonts w:ascii="Arial" w:hAnsi="Arial" w:eastAsia="Noto Sans CJK SC"/>
          <w:b w:val="0"/>
          <w:i w:val="0"/>
          <w:color w:val="6F6F6F"/>
          <w:sz w:val="21"/>
        </w:rPr>
        <w:t>正式版 v0.2（参考初稿版式） · 2026 年 7 月 23 日</w:t>
      </w:r>
    </w:p>
    <w:p>
      <w:pPr>
        <w:keepNext w:val="0"/>
        <w:spacing w:before="0" w:after="600" w:line="259" w:lineRule="auto"/>
        <w:jc w:val="center"/>
      </w:pPr>
      <w:r>
        <w:rPr>
          <w:rFonts w:ascii="Arial" w:hAnsi="Arial" w:eastAsia="Noto Sans CJK SC"/>
          <w:b w:val="0"/>
          <w:i w:val="0"/>
          <w:color w:val="6F6F6F"/>
          <w:sz w:val="19"/>
        </w:rPr>
        <w:t>基于九轮源头核验、二次事实审计与任务书逐项验收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100" w:after="100"/>
      </w:pPr>
      <w:r>
        <w:rPr>
          <w:rFonts w:ascii="Arial" w:hAnsi="Arial" w:eastAsia="Noto Sans CJK SC"/>
          <w:b/>
          <w:i w:val="0"/>
          <w:color w:val="0F5D6A"/>
          <w:sz w:val="36"/>
        </w:rPr>
        <w:t>摘要：十个关键判断</w:t>
      </w:r>
    </w:p>
    <w:p>
      <w:pPr>
        <w:keepNext w:val="0"/>
        <w:spacing w:before="0" w:after="100" w:line="259" w:lineRule="auto"/>
      </w:pPr>
      <w:r>
        <w:rPr>
          <w:rFonts w:ascii="Arial" w:hAnsi="Arial" w:eastAsia="Noto Sans CJK SC"/>
          <w:b w:val="0"/>
          <w:i w:val="0"/>
          <w:color w:val="000000"/>
          <w:sz w:val="18"/>
        </w:rPr>
        <w:t>以下为全文浓缩。所有数字均按“事实 / 推算 / 预测 / 公司口径”分层，规划容量不写成已落地。</w:t>
      </w:r>
    </w:p>
    <w:p>
      <w:pPr>
        <w:spacing w:after="60" w:line="259" w:lineRule="auto"/>
        <w:ind w:left="255" w:hanging="170"/>
      </w:pPr>
      <w:r>
        <w:rPr>
          <w:rFonts w:ascii="Arial" w:hAnsi="Arial" w:eastAsia="Noto Sans CJK SC"/>
          <w:b/>
          <w:i w:val="0"/>
          <w:sz w:val="19"/>
        </w:rPr>
        <w:t>• 1. 规模：</w:t>
      </w:r>
      <w:r>
        <w:rPr>
          <w:rFonts w:ascii="Arial" w:hAnsi="Arial" w:eastAsia="Noto Sans CJK SC"/>
          <w:b w:val="0"/>
          <w:i w:val="0"/>
          <w:sz w:val="19"/>
        </w:rPr>
        <w:t>JLL预计2030年全球数据中心容量约200GW，并预计2025-2030年新增97GW，由此隐含2025年约103GW；2026年shell &amp; core平均建设成本约1130万美元/MW。</w:t>
      </w:r>
      <w:r>
        <w:rPr>
          <w:rFonts w:ascii="Arial" w:hAnsi="Arial" w:eastAsia="Noto Sans CJK SC"/>
          <w:b w:val="0"/>
          <w:i w:val="0"/>
          <w:color w:val="6F6F6F"/>
          <w:sz w:val="16"/>
        </w:rPr>
        <w:t xml:space="preserve">  （JLL 2026 Outlook）</w:t>
      </w:r>
    </w:p>
    <w:p>
      <w:pPr>
        <w:spacing w:after="60" w:line="259" w:lineRule="auto"/>
        <w:ind w:left="255" w:hanging="170"/>
      </w:pPr>
      <w:r>
        <w:rPr>
          <w:rFonts w:ascii="Arial" w:hAnsi="Arial" w:eastAsia="Noto Sans CJK SC"/>
          <w:b/>
          <w:i w:val="0"/>
          <w:sz w:val="19"/>
        </w:rPr>
        <w:t>• 2. 严重供不应求：</w:t>
      </w:r>
      <w:r>
        <w:rPr>
          <w:rFonts w:ascii="Arial" w:hAnsi="Arial" w:eastAsia="Noto Sans CJK SC"/>
          <w:b w:val="0"/>
          <w:i w:val="0"/>
          <w:sz w:val="19"/>
        </w:rPr>
        <w:t>2026Q1全球16个主要市场空置率6.7%；北弗吉尼亚0.3%，美国四大市场在建容量约80%已预租。</w:t>
      </w:r>
      <w:r>
        <w:rPr>
          <w:rFonts w:ascii="Arial" w:hAnsi="Arial" w:eastAsia="Noto Sans CJK SC"/>
          <w:b w:val="0"/>
          <w:i w:val="0"/>
          <w:color w:val="6F6F6F"/>
          <w:sz w:val="16"/>
        </w:rPr>
        <w:t xml:space="preserve">  （CBRE 2026）</w:t>
      </w:r>
    </w:p>
    <w:p>
      <w:pPr>
        <w:spacing w:after="60" w:line="259" w:lineRule="auto"/>
        <w:ind w:left="255" w:hanging="170"/>
      </w:pPr>
      <w:r>
        <w:rPr>
          <w:rFonts w:ascii="Arial" w:hAnsi="Arial" w:eastAsia="Noto Sans CJK SC"/>
          <w:b/>
          <w:i w:val="0"/>
          <w:sz w:val="19"/>
        </w:rPr>
        <w:t>• 3. 资本开支高位：</w:t>
      </w:r>
      <w:r>
        <w:rPr>
          <w:rFonts w:ascii="Arial" w:hAnsi="Arial" w:eastAsia="Noto Sans CJK SC"/>
          <w:b w:val="0"/>
          <w:i w:val="0"/>
          <w:sz w:val="19"/>
        </w:rPr>
        <w:t>Microsoft、Amazon、Alphabet、Meta 2026年当前合计约6900亿-7200亿美元，但各家公司会计口径不同，不能直接视为AI数据中心投入。</w:t>
      </w:r>
      <w:r>
        <w:rPr>
          <w:rFonts w:ascii="Arial" w:hAnsi="Arial" w:eastAsia="Noto Sans CJK SC"/>
          <w:b w:val="0"/>
          <w:i w:val="0"/>
          <w:color w:val="6F6F6F"/>
          <w:sz w:val="16"/>
        </w:rPr>
        <w:t xml:space="preserve">  （公司财报/电话会）</w:t>
      </w:r>
    </w:p>
    <w:p>
      <w:pPr>
        <w:spacing w:after="60" w:line="259" w:lineRule="auto"/>
        <w:ind w:left="255" w:hanging="170"/>
      </w:pPr>
      <w:r>
        <w:rPr>
          <w:rFonts w:ascii="Arial" w:hAnsi="Arial" w:eastAsia="Noto Sans CJK SC"/>
          <w:b/>
          <w:i w:val="0"/>
          <w:sz w:val="19"/>
        </w:rPr>
        <w:t>• 4. AI改写需求结构：</w:t>
      </w:r>
      <w:r>
        <w:rPr>
          <w:rFonts w:ascii="Arial" w:hAnsi="Arial" w:eastAsia="Noto Sans CJK SC"/>
          <w:b w:val="0"/>
          <w:i w:val="0"/>
          <w:sz w:val="19"/>
        </w:rPr>
        <w:t>McKinsey估计2025年工作负载需求82.3GW，2030年219GW；推理增速快于训练，但不同机构对拐点判断并不一致。</w:t>
      </w:r>
      <w:r>
        <w:rPr>
          <w:rFonts w:ascii="Arial" w:hAnsi="Arial" w:eastAsia="Noto Sans CJK SC"/>
          <w:b w:val="0"/>
          <w:i w:val="0"/>
          <w:color w:val="6F6F6F"/>
          <w:sz w:val="16"/>
        </w:rPr>
        <w:t xml:space="preserve">  （McKinsey；JLL）</w:t>
      </w:r>
    </w:p>
    <w:p>
      <w:pPr>
        <w:spacing w:after="60" w:line="259" w:lineRule="auto"/>
        <w:ind w:left="255" w:hanging="170"/>
      </w:pPr>
      <w:r>
        <w:rPr>
          <w:rFonts w:ascii="Arial" w:hAnsi="Arial" w:eastAsia="Noto Sans CJK SC"/>
          <w:b/>
          <w:i w:val="0"/>
          <w:sz w:val="19"/>
        </w:rPr>
        <w:t>• 5. 模型公司成为超级租户：</w:t>
      </w:r>
      <w:r>
        <w:rPr>
          <w:rFonts w:ascii="Arial" w:hAnsi="Arial" w:eastAsia="Noto Sans CJK SC"/>
          <w:b w:val="0"/>
          <w:i w:val="0"/>
          <w:sz w:val="19"/>
        </w:rPr>
        <w:t>OpenAI、Anthropic等同时签署云、GPU、ASIC和园区协议，同一最终负载会重复出现在多份公告中，合同GW不能相加。</w:t>
      </w:r>
    </w:p>
    <w:p>
      <w:pPr>
        <w:spacing w:after="60" w:line="259" w:lineRule="auto"/>
        <w:ind w:left="255" w:hanging="170"/>
      </w:pPr>
      <w:r>
        <w:rPr>
          <w:rFonts w:ascii="Arial" w:hAnsi="Arial" w:eastAsia="Noto Sans CJK SC"/>
          <w:b/>
          <w:i w:val="0"/>
          <w:sz w:val="19"/>
        </w:rPr>
        <w:t>• 6. 电力是第一瓶颈：</w:t>
      </w:r>
      <w:r>
        <w:rPr>
          <w:rFonts w:ascii="Arial" w:hAnsi="Arial" w:eastAsia="Noto Sans CJK SC"/>
          <w:b w:val="0"/>
          <w:i w:val="0"/>
          <w:sz w:val="19"/>
        </w:rPr>
        <w:t>2025年全球数据中心用电约485TWh，2030年可能接近950TWh；ERCOT 2026年3月大负荷申请约410GW，其中约87%为数据中心，但这是申请队列。</w:t>
      </w:r>
      <w:r>
        <w:rPr>
          <w:rFonts w:ascii="Arial" w:hAnsi="Arial" w:eastAsia="Noto Sans CJK SC"/>
          <w:b w:val="0"/>
          <w:i w:val="0"/>
          <w:color w:val="6F6F6F"/>
          <w:sz w:val="16"/>
        </w:rPr>
        <w:t xml:space="preserve">  （IEA；ERCOT）</w:t>
      </w:r>
    </w:p>
    <w:p>
      <w:pPr>
        <w:spacing w:after="60" w:line="259" w:lineRule="auto"/>
        <w:ind w:left="255" w:hanging="170"/>
      </w:pPr>
      <w:r>
        <w:rPr>
          <w:rFonts w:ascii="Arial" w:hAnsi="Arial" w:eastAsia="Noto Sans CJK SC"/>
          <w:b/>
          <w:i w:val="0"/>
          <w:sz w:val="19"/>
        </w:rPr>
        <w:t>• 7. 自备电与核电兴起：</w:t>
      </w:r>
      <w:r>
        <w:rPr>
          <w:rFonts w:ascii="Arial" w:hAnsi="Arial" w:eastAsia="Noto Sans CJK SC"/>
          <w:b w:val="0"/>
          <w:i w:val="0"/>
          <w:sz w:val="19"/>
        </w:rPr>
        <w:t>现场燃气、储能、燃料电池和核电PPA被用于缩短time-to-power；15-27GW现场燃气和20-25GW储能均为2030预测。</w:t>
      </w:r>
      <w:r>
        <w:rPr>
          <w:rFonts w:ascii="Arial" w:hAnsi="Arial" w:eastAsia="Noto Sans CJK SC"/>
          <w:b w:val="0"/>
          <w:i w:val="0"/>
          <w:color w:val="6F6F6F"/>
          <w:sz w:val="16"/>
        </w:rPr>
        <w:t xml:space="preserve">  （IEA）</w:t>
      </w:r>
    </w:p>
    <w:p>
      <w:pPr>
        <w:spacing w:after="60" w:line="259" w:lineRule="auto"/>
        <w:ind w:left="255" w:hanging="170"/>
      </w:pPr>
      <w:r>
        <w:rPr>
          <w:rFonts w:ascii="Arial" w:hAnsi="Arial" w:eastAsia="Noto Sans CJK SC"/>
          <w:b/>
          <w:i w:val="0"/>
          <w:sz w:val="19"/>
        </w:rPr>
        <w:t>• 8. 选址逻辑改写：</w:t>
      </w:r>
      <w:r>
        <w:rPr>
          <w:rFonts w:ascii="Arial" w:hAnsi="Arial" w:eastAsia="Noto Sans CJK SC"/>
          <w:b w:val="0"/>
          <w:i w:val="0"/>
          <w:sz w:val="19"/>
        </w:rPr>
        <w:t>AI训练对低延迟不敏感，优先选择可快速交付数百MW至GW电力的地区；推理与企业AI更靠近人口、数据和互联。</w:t>
      </w:r>
    </w:p>
    <w:p>
      <w:pPr>
        <w:spacing w:after="60" w:line="259" w:lineRule="auto"/>
        <w:ind w:left="255" w:hanging="170"/>
      </w:pPr>
      <w:r>
        <w:rPr>
          <w:rFonts w:ascii="Arial" w:hAnsi="Arial" w:eastAsia="Noto Sans CJK SC"/>
          <w:b/>
          <w:i w:val="0"/>
          <w:sz w:val="19"/>
        </w:rPr>
        <w:t>• 9. 政策从招商转向外部性管理：</w:t>
      </w:r>
      <w:r>
        <w:rPr>
          <w:rFonts w:ascii="Arial" w:hAnsi="Arial" w:eastAsia="Noto Sans CJK SC"/>
          <w:b w:val="0"/>
          <w:i w:val="0"/>
          <w:sz w:val="19"/>
        </w:rPr>
        <w:t>美国州级政策更强调成本分摊和项目真实性；新加坡、爱尔兰、德国等以能效、绿电、余热和用水门槛管理新增项目。</w:t>
      </w:r>
    </w:p>
    <w:p>
      <w:pPr>
        <w:spacing w:after="60" w:line="259" w:lineRule="auto"/>
        <w:ind w:left="255" w:hanging="170"/>
      </w:pPr>
      <w:r>
        <w:rPr>
          <w:rFonts w:ascii="Arial" w:hAnsi="Arial" w:eastAsia="Noto Sans CJK SC"/>
          <w:b/>
          <w:i w:val="0"/>
          <w:sz w:val="19"/>
        </w:rPr>
        <w:t>• 10. 散热被功率密度倒逼：</w:t>
      </w:r>
      <w:r>
        <w:rPr>
          <w:rFonts w:ascii="Arial" w:hAnsi="Arial" w:eastAsia="Noto Sans CJK SC"/>
          <w:b w:val="0"/>
          <w:i w:val="0"/>
          <w:sz w:val="19"/>
        </w:rPr>
        <w:t>GB300 NVL72达到135kW TDP/155kW峰值；AI液冷渗透率从2024年14%升至2025年33%，但该比例只适用于AI部署口径。</w:t>
      </w:r>
      <w:r>
        <w:rPr>
          <w:rFonts w:ascii="Arial" w:hAnsi="Arial" w:eastAsia="Noto Sans CJK SC"/>
          <w:b w:val="0"/>
          <w:i w:val="0"/>
          <w:color w:val="6F6F6F"/>
          <w:sz w:val="16"/>
        </w:rPr>
        <w:t xml:space="preserve">  （Lenovo；TrendForce）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100" w:after="100"/>
      </w:pPr>
      <w:r>
        <w:rPr>
          <w:rFonts w:ascii="Arial" w:hAnsi="Arial" w:eastAsia="Noto Sans CJK SC"/>
          <w:b/>
          <w:i w:val="0"/>
          <w:color w:val="0F5D6A"/>
          <w:sz w:val="36"/>
        </w:rPr>
        <w:t>一、市场总览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1.1 总量与增速</w:t>
      </w:r>
    </w:p>
    <w:p>
      <w:pPr>
        <w:keepNext w:val="0"/>
        <w:spacing w:before="0" w:after="60" w:line="259" w:lineRule="auto"/>
      </w:pPr>
      <w:r>
        <w:rPr>
          <w:rFonts w:ascii="Arial" w:hAnsi="Arial" w:eastAsia="Noto Sans CJK SC"/>
          <w:b w:val="0"/>
          <w:i w:val="0"/>
          <w:color w:val="000000"/>
          <w:sz w:val="19"/>
        </w:rPr>
        <w:t>JLL直接披露2030年全球数据中心容量可能达到约200GW，并预计2025-2030年新增97GW；据此推算，2025年基准约103GW。该103GW是派生值，不是JLL单独发布的原始统计。JLL同时预计2026年shell &amp; core平均建设成本约1130万美元/MW，不含租户IT设备。</w:t>
      </w:r>
    </w:p>
    <w:p>
      <w:pPr>
        <w:spacing w:before="0" w:after="60" w:line="240" w:lineRule="auto"/>
      </w:pPr>
      <w:r>
        <w:rPr>
          <w:rFonts w:ascii="Arial" w:hAnsi="Arial" w:eastAsia="Noto Sans CJK SC"/>
          <w:b w:val="0"/>
          <w:i w:val="0"/>
          <w:color w:val="6F6F6F"/>
          <w:sz w:val="14"/>
        </w:rPr>
        <w:t>（JLL 2026 Global Data Center Outlook）</w:t>
      </w:r>
    </w:p>
    <w:p>
      <w:pPr>
        <w:keepNext w:val="0"/>
        <w:spacing w:before="0" w:after="60" w:line="259" w:lineRule="auto"/>
      </w:pPr>
      <w:r>
        <w:rPr>
          <w:rFonts w:ascii="Arial" w:hAnsi="Arial" w:eastAsia="Noto Sans CJK SC"/>
          <w:b w:val="0"/>
          <w:i w:val="0"/>
          <w:color w:val="000000"/>
          <w:sz w:val="19"/>
        </w:rPr>
        <w:t>McKinsey的82.3GW是2025年工作负载需求模型，其中训练23.1GW、推理20.9GW、非AI 38.3GW。供给容量和工作负载需求回答不同问题，不能互相验证或计算“缺口”。</w:t>
      </w:r>
    </w:p>
    <w:p>
      <w:pPr>
        <w:spacing w:before="0" w:after="60" w:line="240" w:lineRule="auto"/>
      </w:pPr>
      <w:r>
        <w:rPr>
          <w:rFonts w:ascii="Arial" w:hAnsi="Arial" w:eastAsia="Noto Sans CJK SC"/>
          <w:b w:val="0"/>
          <w:i w:val="0"/>
          <w:color w:val="6F6F6F"/>
          <w:sz w:val="14"/>
        </w:rPr>
        <w:t>（McKinsey, The future of AI workloads）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1.2 区域市场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cantSplit/>
          <w:tblHeader w:val="1"/>
        </w:trPr>
        <w:tc>
          <w:tcPr>
            <w:tcW w:type="dxa" w:w="170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区域</w:t>
            </w:r>
          </w:p>
        </w:tc>
        <w:tc>
          <w:tcPr>
            <w:tcW w:type="dxa" w:w="204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规模（口径）</w:t>
            </w:r>
          </w:p>
        </w:tc>
        <w:tc>
          <w:tcPr>
            <w:tcW w:type="dxa" w:w="294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关键数据</w:t>
            </w:r>
          </w:p>
        </w:tc>
        <w:tc>
          <w:tcPr>
            <w:tcW w:type="dxa" w:w="2665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备注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北美八大一级市场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9432MW存量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空置率1.4%；在建5994MW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H2 2025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北弗吉尼亚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4039.6MW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空置率0.3%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2026Q1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亚太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13.8GW运营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Singapore空置率2%、租金约403美元/kW/月；Johor 897MW运营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Johor缺同口径公开空置率和租金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印度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约1.6GW运营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Mumbai占比最高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2026年6月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东京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超过1GW库存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空置率6%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2026Q1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韩国大首尔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698MW库存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2028年预测1450MW+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33.6GW为申请量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拉美四市场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1045MW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São Paulo 536.7MW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2026Q1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中东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Saudi 440MW运营（2025）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阿布扎比5GW园区为规划；Saudi由68MW增至440MW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城市级空置率和租金未公开</w:t>
            </w:r>
          </w:p>
        </w:tc>
      </w:tr>
      <w:tr>
        <w:trPr>
          <w:cantSplit/>
        </w:trPr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Phoenix</w:t>
            </w:r>
          </w:p>
        </w:tc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807.3MW库存（H2 2025）</w:t>
            </w:r>
          </w:p>
        </w:tc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可用10.5MW；H2吸纳256MW</w:t>
            </w:r>
          </w:p>
        </w:tc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租金仅公开Q1 2025约190美元/kW/月</w:t>
            </w:r>
          </w:p>
        </w:tc>
      </w:tr>
      <w:tr>
        <w:trPr>
          <w:cantSplit/>
        </w:trPr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FLAP-D</w:t>
            </w:r>
          </w:p>
        </w:tc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空置率6.3%（YE 2025）</w:t>
            </w:r>
          </w:p>
        </w:tc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管道83%预租；Frankfurt Q1 2026空置率5%</w:t>
            </w:r>
          </w:p>
        </w:tc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未来20MW+容量价格最高约£/€145每kW</w:t>
            </w:r>
          </w:p>
        </w:tc>
      </w:tr>
    </w:tbl>
    <w:p>
      <w:pPr>
        <w:spacing w:after="20"/>
      </w:pPr>
    </w:p>
    <w:p>
      <w:pPr>
        <w:spacing w:before="0" w:after="60" w:line="240" w:lineRule="auto"/>
      </w:pPr>
      <w:r>
        <w:rPr>
          <w:rFonts w:ascii="Arial" w:hAnsi="Arial" w:eastAsia="Noto Sans CJK SC"/>
          <w:b w:val="0"/>
          <w:i w:val="0"/>
          <w:color w:val="6F6F6F"/>
          <w:sz w:val="14"/>
        </w:rPr>
        <w:t>（CBRE；Cushman &amp; Wakefield；公司公告）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76"/>
      </w:tblGrid>
      <w:tr>
        <w:trPr>
          <w:cantSplit/>
        </w:trPr>
        <w:tc>
          <w:tcPr>
            <w:tcW w:type="dxa" w:w="10376"/>
          </w:tcPr>
          <w:p>
            <w:pPr>
              <w:spacing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56000" cy="2833416"/>
                  <wp:docPr id="1" name="Picture 1" descr="全球重点数据中心市场与园区规模地图，区分运营库存和规划容量。" title="全球重点数据中心市场与园区规模地图，区分运营库存和规划容量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6_global_market_ma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833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i w:val="0"/>
                <w:color w:val="0F5D6A"/>
                <w:sz w:val="16"/>
              </w:rPr>
              <w:t>图1｜全球重点数据中心市场与园区规模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6F6F6F"/>
                <w:sz w:val="14"/>
              </w:rPr>
              <w:t>圆形为运营/库存，三角形为规划；不同机构和时点的数据不直接加总。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1.3 需求结构：AI训练、推理与传统负载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cantSplit/>
          <w:tblHeader w:val="1"/>
        </w:trPr>
        <w:tc>
          <w:tcPr>
            <w:tcW w:type="dxa" w:w="170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6"/>
              </w:rPr>
              <w:t>负载</w:t>
            </w:r>
          </w:p>
        </w:tc>
        <w:tc>
          <w:tcPr>
            <w:tcW w:type="dxa" w:w="187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6"/>
              </w:rPr>
              <w:t>2025模型值</w:t>
            </w:r>
          </w:p>
        </w:tc>
        <w:tc>
          <w:tcPr>
            <w:tcW w:type="dxa" w:w="187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6"/>
              </w:rPr>
              <w:t>2030模型值</w:t>
            </w:r>
          </w:p>
        </w:tc>
        <w:tc>
          <w:tcPr>
            <w:tcW w:type="dxa" w:w="3912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6"/>
              </w:rPr>
              <w:t>主要选址逻辑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6"/>
              </w:rPr>
              <w:t>AI训练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6"/>
              </w:rPr>
              <w:t>23.1GW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6"/>
              </w:rPr>
              <w:t>62.2GW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6"/>
              </w:rPr>
              <w:t>低单位电价、GW级电力、后端网络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6"/>
              </w:rPr>
              <w:t>AI推理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6"/>
              </w:rPr>
              <w:t>20.9GW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6"/>
              </w:rPr>
              <w:t>93.3GW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6"/>
              </w:rPr>
              <w:t>靠近用户、数据和企业系统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6"/>
              </w:rPr>
              <w:t>非AI云+企业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6"/>
              </w:rPr>
              <w:t>38.3GW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6"/>
              </w:rPr>
              <w:t>63.5GW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6"/>
              </w:rPr>
              <w:t>区域冗余、互联、合规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FBF4E6"/>
            <w:tcBorders>
              <w:top w:val="single" w:sz="3" w:color="FBF4E6"/>
              <w:left w:val="single" w:sz="3" w:color="FBF4E6"/>
              <w:bottom w:val="single" w:sz="3" w:color="FBF4E6"/>
              <w:right w:val="single" w:sz="3" w:color="FBF4E6"/>
            </w:tcBorders>
          </w:tcPr>
          <w:p>
            <w:pPr>
              <w:spacing w:after="20"/>
            </w:pPr>
            <w:r/>
            <w:r>
              <w:rPr>
                <w:rFonts w:ascii="Arial" w:hAnsi="Arial" w:eastAsia="Noto Sans CJK SC"/>
                <w:b/>
                <w:i w:val="0"/>
                <w:color w:val="8A6D22"/>
                <w:sz w:val="18"/>
              </w:rPr>
              <w:t>口径与冲突提示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“全球约103GW”是JLL 200GW减新增97GW的推算值。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CBRE不同地区数据来自H2 2025和Q1 2026，横向比较必须注明时点。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EFLOPS、MW、机柜数和数据量不能直接换算。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EAF4E8"/>
            <w:tcBorders>
              <w:top w:val="single" w:sz="3" w:color="EAF4E8"/>
              <w:left w:val="single" w:sz="3" w:color="EAF4E8"/>
              <w:bottom w:val="single" w:sz="3" w:color="EAF4E8"/>
              <w:right w:val="single" w:sz="3" w:color="EAF4E8"/>
            </w:tcBorders>
            <w:shd w:fill="EAF3EA"/>
          </w:tcPr>
          <w:p>
            <w:pPr>
              <w:spacing w:after="20"/>
            </w:pPr>
            <w:r/>
            <w:r>
              <w:rPr>
                <w:rFonts w:ascii="Arial" w:hAnsi="Arial" w:eastAsia="Noto Sans CJK SC"/>
                <w:b/>
                <w:color w:val="26734D"/>
                <w:sz w:val="18"/>
              </w:rPr>
              <w:t>→ 深化结果与剩余边界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color w:val="26734D"/>
                <w:sz w:val="16"/>
              </w:rPr>
              <w:t>• Phoenix已补至H2 2025：库存807.3MW、可用10.5MW、H2吸纳256MW；租金仅能保留Q1 2025时点。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color w:val="26734D"/>
                <w:sz w:val="16"/>
              </w:rPr>
              <w:t>• FLAP-D已补：YE 2025空置率6.3%、管道83%预租；Frankfurt Q1 2026库存1,222.5MW、空置率5%。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color w:val="26734D"/>
                <w:sz w:val="16"/>
              </w:rPr>
              <w:t>• Singapore Q1 2026空置率2%、平均租金403美元/kW/月；Johor 897MW运营，但没有同口径公开租金和空置率。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color w:val="26734D"/>
                <w:sz w:val="16"/>
              </w:rPr>
              <w:t>• Saudi Arabia 2025运营容量440MW；城市级市场数据仍未形成统一公开口径。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00" w:after="100"/>
      </w:pPr>
      <w:r>
        <w:rPr>
          <w:rFonts w:ascii="Arial" w:hAnsi="Arial" w:eastAsia="Noto Sans CJK SC"/>
          <w:b/>
          <w:i w:val="0"/>
          <w:color w:val="0F5D6A"/>
          <w:sz w:val="36"/>
        </w:rPr>
        <w:t>二、谁在建（供给侧）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2.1 超大规模自建（Hyperscaler）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cantSplit/>
          <w:tblHeader w:val="1"/>
        </w:trPr>
        <w:tc>
          <w:tcPr>
            <w:tcW w:type="dxa" w:w="170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公司</w:t>
            </w:r>
          </w:p>
        </w:tc>
        <w:tc>
          <w:tcPr>
            <w:tcW w:type="dxa" w:w="2324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2026年当前capex口径</w:t>
            </w:r>
          </w:p>
        </w:tc>
        <w:tc>
          <w:tcPr>
            <w:tcW w:type="dxa" w:w="294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数据中心主线</w:t>
            </w:r>
          </w:p>
        </w:tc>
        <w:tc>
          <w:tcPr>
            <w:tcW w:type="dxa" w:w="2324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修订说明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Microsoft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约1900亿美元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Fairwater跨州AI superfactory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威斯康星已上线；不写精确2GW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Amazon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约2000亿美元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AWS、Trainium、Project Rainier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综合capex不等于土建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Alphabet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约1750-1850亿美元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云区域、TPU、网络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含服务器与其他基础设施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Meta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约1250-1450亿美元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Hyperion、Prometheus、MTIA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5GW/1GW+为规划或建成后容量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合计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约6900-7200亿美元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不计算统一同比</w:t>
            </w:r>
          </w:p>
        </w:tc>
      </w:tr>
    </w:tbl>
    <w:p>
      <w:pPr>
        <w:spacing w:after="20"/>
      </w:pPr>
    </w:p>
    <w:p>
      <w:pPr>
        <w:spacing w:before="0" w:after="60" w:line="240" w:lineRule="auto"/>
      </w:pPr>
      <w:r>
        <w:rPr>
          <w:rFonts w:ascii="Arial" w:hAnsi="Arial" w:eastAsia="Noto Sans CJK SC"/>
          <w:b w:val="0"/>
          <w:i w:val="0"/>
          <w:color w:val="6F6F6F"/>
          <w:sz w:val="14"/>
        </w:rPr>
        <w:t>（各家公司财报与电话会）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2.2 OpenAI Stargate与超大单体项目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cantSplit/>
          <w:tblHeader w:val="1"/>
        </w:trPr>
        <w:tc>
          <w:tcPr>
            <w:tcW w:type="dxa" w:w="2324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项目</w:t>
            </w:r>
          </w:p>
        </w:tc>
        <w:tc>
          <w:tcPr>
            <w:tcW w:type="dxa" w:w="209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开发方</w:t>
            </w:r>
          </w:p>
        </w:tc>
        <w:tc>
          <w:tcPr>
            <w:tcW w:type="dxa" w:w="277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可核规模</w:t>
            </w:r>
          </w:p>
        </w:tc>
        <w:tc>
          <w:tcPr>
            <w:tcW w:type="dxa" w:w="204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Abilene, TX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Crusoe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园区规划1.2GW；约421MW运营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部分运营+扩建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Frontier, TX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Vantage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官方规划1.4GW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在建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Doña Ana, NM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STACK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规划约2.2GW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早期建设/规划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Milam County, TX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SB Energy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规划约1.2GW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在建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Port Washington, WI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Vantage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规划约1.3GW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在建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Saline Township, MI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Related Digital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规划约1.4GW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在建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Stargate UAE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G42/Khazna等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子项目约1GW；园区总规划5GW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规划/早期推进</w:t>
            </w:r>
          </w:p>
        </w:tc>
      </w:tr>
    </w:tbl>
    <w:p>
      <w:pPr>
        <w:spacing w:after="20"/>
      </w:pPr>
    </w:p>
    <w:p>
      <w:pPr>
        <w:spacing w:before="0" w:after="60" w:line="240" w:lineRule="auto"/>
      </w:pPr>
      <w:r>
        <w:rPr>
          <w:rFonts w:ascii="Arial" w:hAnsi="Arial" w:eastAsia="Noto Sans CJK SC"/>
          <w:b w:val="0"/>
          <w:i w:val="0"/>
          <w:color w:val="6F6F6F"/>
          <w:sz w:val="14"/>
        </w:rPr>
        <w:t>（Epoch AI；Vantage；G42）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2.3 开发商、运营商与Neocloud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8"/>
        </w:rPr>
        <w:t>• Digital Realty：</w:t>
      </w:r>
      <w:r>
        <w:rPr>
          <w:rFonts w:ascii="Arial" w:hAnsi="Arial" w:eastAsia="Noto Sans CJK SC"/>
          <w:b w:val="0"/>
          <w:i w:val="0"/>
          <w:color w:val="000000"/>
          <w:sz w:val="18"/>
        </w:rPr>
        <w:t>现有3.024GW IT、在建1.169GW，综合可开发约6.3GW；6.3GW不是当前容量。</w:t>
      </w:r>
      <w:r>
        <w:rPr>
          <w:rFonts w:ascii="Arial" w:hAnsi="Arial" w:eastAsia="Noto Sans CJK SC"/>
          <w:b w:val="0"/>
          <w:i w:val="0"/>
          <w:color w:val="6F6F6F"/>
          <w:sz w:val="16"/>
        </w:rPr>
        <w:t xml:space="preserve">  （Q1 2026）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8"/>
        </w:rPr>
        <w:t>• Equinix：</w:t>
      </w:r>
      <w:r>
        <w:rPr>
          <w:rFonts w:ascii="Arial" w:hAnsi="Arial" w:eastAsia="Noto Sans CJK SC"/>
          <w:b w:val="0"/>
          <w:i w:val="0"/>
          <w:color w:val="000000"/>
          <w:sz w:val="18"/>
        </w:rPr>
        <w:t>281座/77个市场；Q1 2026约60%的最大交易与AI相关，但不是全部交易或收入。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8"/>
        </w:rPr>
        <w:t>• Vantage / QTS / CyrusOne / Switch / STACK：</w:t>
      </w:r>
      <w:r>
        <w:rPr>
          <w:rFonts w:ascii="Arial" w:hAnsi="Arial" w:eastAsia="Noto Sans CJK SC"/>
          <w:b w:val="0"/>
          <w:i w:val="0"/>
          <w:color w:val="000000"/>
          <w:sz w:val="18"/>
        </w:rPr>
        <w:t>品牌口径常混合运营、在建、园区潜力和已签电力，必须逐园区拆分。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8"/>
        </w:rPr>
        <w:t>• CoreWeave / Nebius / Lambda：</w:t>
      </w:r>
      <w:r>
        <w:rPr>
          <w:rFonts w:ascii="Arial" w:hAnsi="Arial" w:eastAsia="Noto Sans CJK SC"/>
          <w:b w:val="0"/>
          <w:i w:val="0"/>
          <w:color w:val="000000"/>
          <w:sz w:val="18"/>
        </w:rPr>
        <w:t>合同、backlog、融资和已运营容量分开；Nebius 2.5GW是锁定/签约电力目标，Lambda合同与信贷不等于运营GW。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8"/>
        </w:rPr>
        <w:t>• 中国第三方运营商：</w:t>
      </w:r>
      <w:r>
        <w:rPr>
          <w:rFonts w:ascii="Arial" w:hAnsi="Arial" w:eastAsia="Noto Sans CJK SC"/>
          <w:b w:val="0"/>
          <w:i w:val="0"/>
          <w:color w:val="000000"/>
          <w:sz w:val="18"/>
        </w:rPr>
        <w:t>GDS按面积披露，VNET批发按MW、零售按机柜披露；秦淮数据连续公开容量不足，不能强行排名。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2.4 背后的钱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1361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sz w:val="13"/>
              </w:rPr>
              <w:t>运营商</w:t>
            </w:r>
          </w:p>
        </w:tc>
        <w:tc>
          <w:tcPr>
            <w:tcW w:type="dxa" w:w="1871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sz w:val="13"/>
              </w:rPr>
              <w:t>本轮清洗范围</w:t>
            </w:r>
          </w:p>
        </w:tc>
        <w:tc>
          <w:tcPr>
            <w:tcW w:type="dxa" w:w="3798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sz w:val="13"/>
              </w:rPr>
              <w:t>代表性官方容量</w:t>
            </w:r>
          </w:p>
        </w:tc>
        <w:tc>
          <w:tcPr>
            <w:tcW w:type="dxa" w:w="2381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sz w:val="13"/>
              </w:rPr>
              <w:t>仍需注意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QTS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22个有数值园区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Atlanta 278MW+、Richmond 240MW+、Manassas 190MW+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目录容量可能含扩建潜力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Vantage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北美11个市场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Ashburn 590MW、Port Washington 902MW、Frontier 1.4GW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均为园区end-state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CyrusOne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代表园区+供电合同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NVA1-3 48MW IT、NVA5-7 81MW IT、Texas供电1.1GW+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IT容量与已签电力分开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STACK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8个代表园区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NVA05 150MW、DFW02 500MW、Sydney 360MW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多为设计容量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Switch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5个园区/组合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Las Vegas 495MW、Grand Rapids 237MW、Atlanta 150MW+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多为upon completion</w:t>
            </w:r>
          </w:p>
        </w:tc>
      </w:tr>
    </w:tbl>
    <w:p>
      <w:pPr>
        <w:spacing w:before="20" w:after="40"/>
      </w:pPr>
      <w:r>
        <w:rPr>
          <w:rFonts w:ascii="Arial" w:hAnsi="Arial" w:eastAsia="Noto Sans CJK SC"/>
          <w:b w:val="0"/>
          <w:color w:val="666666"/>
          <w:sz w:val="14"/>
        </w:rPr>
        <w:t>深化数据详见配套Excel“私营运营商逐园区”；公开资料没有逐楼状态时，不把园区总容量写成运营MW。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cantSplit/>
          <w:tblHeader w:val="1"/>
        </w:trPr>
        <w:tc>
          <w:tcPr>
            <w:tcW w:type="dxa" w:w="2154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4"/>
              </w:rPr>
              <w:t>资本方</w:t>
            </w:r>
          </w:p>
        </w:tc>
        <w:tc>
          <w:tcPr>
            <w:tcW w:type="dxa" w:w="226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4"/>
              </w:rPr>
              <w:t>主要平台/项目</w:t>
            </w:r>
          </w:p>
        </w:tc>
        <w:tc>
          <w:tcPr>
            <w:tcW w:type="dxa" w:w="3005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4"/>
              </w:rPr>
              <w:t>当前可核口径</w:t>
            </w:r>
          </w:p>
        </w:tc>
        <w:tc>
          <w:tcPr>
            <w:tcW w:type="dxa" w:w="187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4"/>
              </w:rPr>
              <w:t>边界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Blackstone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QTS、AirTrunk等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平台约1650亿美元；未来管道约1600亿美元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平台、管道与已投资本分开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Brookfield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Compass、Data4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1.6GW+合同容量；3.5GW+开发潜力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开发潜力非运营容量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KKR/GIP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CyrusOne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150亿美元私有化；交易时约1GW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历史交易时点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MGX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AI模型与基础设施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Fund I承诺490亿美元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基金规模非已投入资本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PIF/HUMAIN/Aramco（拟）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沙特AI基础设施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PIF保持多数；Aramco拟取得重要少数股权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交易未完成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76"/>
      </w:tblGrid>
      <w:tr>
        <w:trPr>
          <w:cantSplit/>
        </w:trPr>
        <w:tc>
          <w:tcPr>
            <w:tcW w:type="dxa" w:w="10376"/>
          </w:tcPr>
          <w:p>
            <w:pPr>
              <w:spacing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932000" cy="2844328"/>
                  <wp:docPr id="2" name="Picture 2" descr="数据中心资本方、开发商、运营商、Neocloud、Hyperscaler和最终租户关系图。" title="数据中心资本方、开发商、运营商、Neocloud、Hyperscaler和最终租户关系图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7_capital_role_ma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2000" cy="2844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i w:val="0"/>
                <w:color w:val="0F5D6A"/>
                <w:sz w:val="16"/>
              </w:rPr>
              <w:t>图2｜数据中心资金、建设、运营与使用关系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6F6F6F"/>
                <w:sz w:val="14"/>
              </w:rPr>
              <w:t>图示为典型角色关系，不代表具体股权比例。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FBF4E6"/>
            <w:tcBorders>
              <w:top w:val="single" w:sz="3" w:color="FBF4E6"/>
              <w:left w:val="single" w:sz="3" w:color="FBF4E6"/>
              <w:bottom w:val="single" w:sz="3" w:color="FBF4E6"/>
              <w:right w:val="single" w:sz="3" w:color="FBF4E6"/>
            </w:tcBorders>
          </w:tcPr>
          <w:p>
            <w:pPr>
              <w:spacing w:after="20"/>
            </w:pPr>
            <w:r/>
            <w:r>
              <w:rPr>
                <w:rFonts w:ascii="Arial" w:hAnsi="Arial" w:eastAsia="Noto Sans CJK SC"/>
                <w:b/>
                <w:i w:val="0"/>
                <w:color w:val="8A6D22"/>
                <w:sz w:val="18"/>
              </w:rPr>
              <w:t>口径与冲突提示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规划容量、已签电力、运营IT负载和申请队列不得相加。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CoreWeave backlog、基金规模和项目投资承诺均不能直接换算为MW。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HUMAIN的6.6GW/770亿美元仍不是官方批准口径。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EAF4E8"/>
            <w:tcBorders>
              <w:top w:val="single" w:sz="3" w:color="EAF4E8"/>
              <w:left w:val="single" w:sz="3" w:color="EAF4E8"/>
              <w:bottom w:val="single" w:sz="3" w:color="EAF4E8"/>
              <w:right w:val="single" w:sz="3" w:color="EAF4E8"/>
            </w:tcBorders>
            <w:shd w:fill="EAF3EA"/>
            <w:shd w:fill="EAF3EA"/>
          </w:tcPr>
          <w:p>
            <w:pPr>
              <w:spacing w:after="20"/>
            </w:pPr>
            <w:r/>
            <w:r>
              <w:rPr>
                <w:rFonts w:ascii="Arial" w:hAnsi="Arial" w:eastAsia="Noto Sans CJK SC"/>
                <w:b/>
                <w:i w:val="0"/>
                <w:color w:val="26734D"/>
                <w:sz w:val="18"/>
              </w:rPr>
              <w:t>→ 深化结果与信源边界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i w:val="0"/>
                <w:color w:val="26734D"/>
                <w:sz w:val="16"/>
              </w:rPr>
              <w:t>• 已将QTS、Vantage、CyrusOne、STACK和Switch拆成50+条官网园区记录，区分IT容量、end-state、供电合同和远期潜力。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i w:val="0"/>
                <w:color w:val="26734D"/>
                <w:sz w:val="16"/>
              </w:rPr>
              <w:t>• HUMAIN的6.6GW/770亿美元来自CEO接受Financial Times采访后的媒体转述；NVIDIA GTC 2026中HUMAIN高管使用的是2034年约6GW，PIF官方页面未披露该目标。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i w:val="0"/>
                <w:color w:val="26734D"/>
                <w:sz w:val="16"/>
              </w:rPr>
              <w:t>• 当前可以做园区规模比较，但公开网页仍未统一披露逐栋运营/在建比例，因此不汇总为五家公司当前运营MW。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i w:val="0"/>
                <w:color w:val="26734D"/>
                <w:sz w:val="16"/>
              </w:rPr>
              <w:t>• Stargate、Project Jade、xAI和Digital Edge继续按季度刷新。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00" w:after="100"/>
      </w:pPr>
      <w:r>
        <w:rPr>
          <w:rFonts w:ascii="Arial" w:hAnsi="Arial" w:eastAsia="Noto Sans CJK SC"/>
          <w:b/>
          <w:i w:val="0"/>
          <w:color w:val="0F5D6A"/>
          <w:sz w:val="36"/>
        </w:rPr>
        <w:t>三、谁在用（需求侧）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3.1 谁是租户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cantSplit/>
          <w:tblHeader w:val="1"/>
        </w:trPr>
        <w:tc>
          <w:tcPr>
            <w:tcW w:type="dxa" w:w="170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需求类型</w:t>
            </w:r>
          </w:p>
        </w:tc>
        <w:tc>
          <w:tcPr>
            <w:tcW w:type="dxa" w:w="226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主要买方</w:t>
            </w:r>
          </w:p>
        </w:tc>
        <w:tc>
          <w:tcPr>
            <w:tcW w:type="dxa" w:w="2835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首要选址因子</w:t>
            </w:r>
          </w:p>
        </w:tc>
        <w:tc>
          <w:tcPr>
            <w:tcW w:type="dxa" w:w="243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典型形态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前沿训练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模型公司、Hyperscaler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数百MW-GW可交付电力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超大液冷整柜集群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大规模推理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云厂商、互联网平台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用户/数据邻近、电力、网络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GPU/ASIC混合节点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传统云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Hyperscaler、SaaS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区域覆盖、可靠性、合规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CPU/存储/网络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企业托管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金融、制造、政府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互联、合规、迁移成本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零售机柜、私有云、边缘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3.2 模型公司的超级算力合同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cantSplit/>
          <w:tblHeader w:val="1"/>
        </w:trPr>
        <w:tc>
          <w:tcPr>
            <w:tcW w:type="dxa" w:w="170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层级</w:t>
            </w:r>
          </w:p>
        </w:tc>
        <w:tc>
          <w:tcPr>
            <w:tcW w:type="dxa" w:w="4082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代表安排</w:t>
            </w:r>
          </w:p>
        </w:tc>
        <w:tc>
          <w:tcPr>
            <w:tcW w:type="dxa" w:w="345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正确解释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云服务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OpenAI-Oracle/AWS/Azure；Anthropic-AWS/Google/Azure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购买算力服务，底层园区可能重叠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GPU系统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OpenAI/Meta-AMD最高6GW；OpenAI-NVIDIA至少10GW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多年分阶段部署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定制ASIC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OpenAI-Broadcom 10GW；Meta-Broadcom/MTIA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多代路线，初期容量有限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园区开发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Stargate站点、Project Rainier等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按运营/在建/规划单独计数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融资关系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供应商或云厂商投资模型公司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融资不直接增加IT负载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76"/>
      </w:tblGrid>
      <w:tr>
        <w:trPr>
          <w:cantSplit/>
        </w:trPr>
        <w:tc>
          <w:tcPr>
            <w:tcW w:type="dxa" w:w="10376"/>
          </w:tcPr>
          <w:p>
            <w:pPr>
              <w:spacing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16000" cy="2355738"/>
                  <wp:docPr id="3" name="Picture 3" descr="模型公司与AI基础设施主要合同时间线。" title="模型公司与AI基础设施主要合同时间线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9_contract_timelin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0" cy="2355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i w:val="0"/>
                <w:color w:val="0F5D6A"/>
                <w:sz w:val="16"/>
              </w:rPr>
              <w:t>图3｜模型公司与AI基础设施主要合同时间线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6F6F6F"/>
                <w:sz w:val="14"/>
              </w:rPr>
              <w:t>均为计划、承诺或多年协议；合同GW不能直接相加。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3.3 供需紧张度</w:t>
      </w:r>
    </w:p>
    <w:p>
      <w:pPr>
        <w:keepNext w:val="0"/>
        <w:spacing w:before="0" w:after="60" w:line="259" w:lineRule="auto"/>
      </w:pPr>
      <w:r>
        <w:rPr>
          <w:rFonts w:ascii="Arial" w:hAnsi="Arial" w:eastAsia="Noto Sans CJK SC"/>
          <w:b w:val="0"/>
          <w:i w:val="0"/>
          <w:color w:val="000000"/>
          <w:sz w:val="18"/>
        </w:rPr>
        <w:t>2026Q1全球16个主要市场空置率6.7%，美国四大市场净吸纳创纪录、在建约80%已预租。北弗吉尼亚、亚特兰大、达拉斯等市场仍受电力接入约束；欧洲与亚太需要统一报告时点后比较租金和空置率。</w:t>
      </w:r>
    </w:p>
    <w:p>
      <w:pPr>
        <w:spacing w:before="0" w:after="60" w:line="240" w:lineRule="auto"/>
      </w:pPr>
      <w:r>
        <w:rPr>
          <w:rFonts w:ascii="Arial" w:hAnsi="Arial" w:eastAsia="Noto Sans CJK SC"/>
          <w:b w:val="0"/>
          <w:i w:val="0"/>
          <w:color w:val="6F6F6F"/>
          <w:sz w:val="14"/>
        </w:rPr>
        <w:t>（CBRE Global Data Center Trends 2026）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FBF4E6"/>
            <w:tcBorders>
              <w:top w:val="single" w:sz="3" w:color="FBF4E6"/>
              <w:left w:val="single" w:sz="3" w:color="FBF4E6"/>
              <w:bottom w:val="single" w:sz="3" w:color="FBF4E6"/>
              <w:right w:val="single" w:sz="3" w:color="FBF4E6"/>
            </w:tcBorders>
          </w:tcPr>
          <w:p>
            <w:pPr>
              <w:spacing w:after="20"/>
            </w:pPr>
            <w:r/>
            <w:r>
              <w:rPr>
                <w:rFonts w:ascii="Arial" w:hAnsi="Arial" w:eastAsia="Noto Sans CJK SC"/>
                <w:b/>
                <w:i w:val="0"/>
                <w:color w:val="8A6D22"/>
                <w:sz w:val="18"/>
              </w:rPr>
              <w:t>口径与冲突提示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OpenAI等公司的云、GPU和ASIC合作可能对应同一最终算力，不能汇总为“30+GW真实需求”。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合同金额、最低采购、可取消条款和底层站点映射多数没有公开。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EAF4E8"/>
            <w:tcBorders>
              <w:top w:val="single" w:sz="3" w:color="EAF4E8"/>
              <w:left w:val="single" w:sz="3" w:color="EAF4E8"/>
              <w:bottom w:val="single" w:sz="3" w:color="EAF4E8"/>
              <w:right w:val="single" w:sz="3" w:color="EAF4E8"/>
            </w:tcBorders>
            <w:shd w:fill="EAF3EA"/>
          </w:tcPr>
          <w:p>
            <w:pPr>
              <w:spacing w:after="20"/>
            </w:pPr>
            <w:r/>
            <w:r>
              <w:rPr>
                <w:rFonts w:ascii="Arial" w:hAnsi="Arial" w:eastAsia="Noto Sans CJK SC"/>
                <w:b/>
                <w:color w:val="26734D"/>
                <w:sz w:val="18"/>
              </w:rPr>
              <w:t>→ 深化结果与剩余边界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color w:val="26734D"/>
                <w:sz w:val="16"/>
              </w:rPr>
              <w:t>• 欧洲、Singapore和Phoenix等市场已补到H2 2025/Q1 2026；报告时点不同的数值继续分列。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color w:val="26734D"/>
                <w:sz w:val="16"/>
              </w:rPr>
              <w:t>• 云、GPU、ASIC和园区公告已完成公开条款审计；最低采购、取消权和底层站点映射多数没有公开。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color w:val="26734D"/>
                <w:sz w:val="16"/>
              </w:rPr>
              <w:t>• 合同履约只能通过财报、设备交付、项目通电和客户使用进度持续验证。</w:t>
            </w:r>
          </w:p>
        </w:tc>
      </w:tr>
    </w:tbl>
    <w:p>
      <w:pPr>
        <w:spacing w:after="2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100" w:after="100"/>
      </w:pPr>
      <w:r>
        <w:rPr>
          <w:rFonts w:ascii="Arial" w:hAnsi="Arial" w:eastAsia="Noto Sans CJK SC"/>
          <w:b/>
          <w:i w:val="0"/>
          <w:color w:val="0F5D6A"/>
          <w:sz w:val="36"/>
        </w:rPr>
        <w:t>四、电：第一瓶颈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4.1 用电量与供电方式</w:t>
      </w:r>
    </w:p>
    <w:p>
      <w:pPr>
        <w:keepNext w:val="0"/>
        <w:spacing w:before="0" w:after="60" w:line="259" w:lineRule="auto"/>
      </w:pPr>
      <w:r>
        <w:rPr>
          <w:rFonts w:ascii="Arial" w:hAnsi="Arial" w:eastAsia="Noto Sans CJK SC"/>
          <w:b w:val="0"/>
          <w:i w:val="0"/>
          <w:color w:val="000000"/>
          <w:sz w:val="18"/>
        </w:rPr>
        <w:t>IEA估计2025年全球数据中心用电约485TWh，同比增长17%；2030年可能接近950TWh。电网购电与PPA仍是主力，但并网周期推动现场天然气、储能、燃料电池和核电PPA进入方案。</w:t>
      </w:r>
    </w:p>
    <w:p>
      <w:pPr>
        <w:spacing w:before="0" w:after="60" w:line="240" w:lineRule="auto"/>
      </w:pPr>
      <w:r>
        <w:rPr>
          <w:rFonts w:ascii="Arial" w:hAnsi="Arial" w:eastAsia="Noto Sans CJK SC"/>
          <w:b w:val="0"/>
          <w:i w:val="0"/>
          <w:color w:val="6F6F6F"/>
          <w:sz w:val="14"/>
        </w:rPr>
        <w:t>（IEA, Key Questions on Energy and AI）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cantSplit/>
          <w:tblHeader w:val="1"/>
        </w:trPr>
        <w:tc>
          <w:tcPr>
            <w:tcW w:type="dxa" w:w="187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供电方式</w:t>
            </w:r>
          </w:p>
        </w:tc>
        <w:tc>
          <w:tcPr>
            <w:tcW w:type="dxa" w:w="2494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特点</w:t>
            </w:r>
          </w:p>
        </w:tc>
        <w:tc>
          <w:tcPr>
            <w:tcW w:type="dxa" w:w="243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适合场景</w:t>
            </w:r>
          </w:p>
        </w:tc>
        <w:tc>
          <w:tcPr>
            <w:tcW w:type="dxa" w:w="238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主要风险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电网+PPA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长期成本较低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长期主力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排队、输电、价格分摊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现场天然气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缩短time-to-power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大型训练园区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许可、排放、燃机交期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电池储能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快速调节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削峰、备用、需求响应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时长与成本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燃料电池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模块化现场供电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特定园区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燃料来源与维护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核电PPA/重启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稳定低碳、大容量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长期大客户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监管、工期、公众接受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SMR/新核电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潜在长期方案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2030年代以后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商业化与融资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4.2 电网与设备瓶颈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cantSplit/>
          <w:tblHeader w:val="1"/>
        </w:trPr>
        <w:tc>
          <w:tcPr>
            <w:tcW w:type="dxa" w:w="1984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瓶颈</w:t>
            </w:r>
          </w:p>
        </w:tc>
        <w:tc>
          <w:tcPr>
            <w:tcW w:type="dxa" w:w="4139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当前判断</w:t>
            </w:r>
          </w:p>
        </w:tc>
        <w:tc>
          <w:tcPr>
            <w:tcW w:type="dxa" w:w="306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口径边界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ERCOT大负荷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约438GW，近89%数据中心（2026-06-18）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Batch Zero申请队列，不是落地量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PJM容量市场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2028/29价格325美元/MW-day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不等于居民电价涨幅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AEP Ohio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30GW意向→13.0227GW研究→5.642GW新费率签约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总签约17.861GW，非投运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燃机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GE Vernova Q2：燃机设备backlog+slot reservations 116GW；年末目标≥125GW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公司Q2口径，并非全部为数据中心订单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大型变压器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DOE 2026：配电变压器约1-2年或更长；大型变电站/发电机变压器约3-4年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按类型、规格和电压等级分开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开关柜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部分复杂项目交期超过一年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删除52-78周确定区间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HBM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IEA认为短缺可延续至2027年底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产品周期仍可能变化</w:t>
            </w:r>
          </w:p>
        </w:tc>
      </w:tr>
      <w:tr>
        <w:trPr>
          <w:cantSplit/>
        </w:trPr>
        <w:tc>
          <w:tcPr>
            <w:tcW w:type="dxa" w:w="345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电力设备订单</w:t>
            </w:r>
          </w:p>
        </w:tc>
        <w:tc>
          <w:tcPr>
            <w:tcW w:type="dxa" w:w="345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Siemens Energy Q2 FY2026集团order backlog €154B</w:t>
            </w:r>
          </w:p>
        </w:tc>
        <w:tc>
          <w:tcPr>
            <w:tcW w:type="dxa" w:w="345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集团总量，不能全部归因数据中心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76"/>
      </w:tblGrid>
      <w:tr>
        <w:trPr>
          <w:cantSplit/>
        </w:trPr>
        <w:tc>
          <w:tcPr>
            <w:tcW w:type="dxa" w:w="10376"/>
          </w:tcPr>
          <w:p>
            <w:pPr>
              <w:spacing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28000" cy="2685950"/>
                  <wp:docPr id="4" name="Picture 4" descr="PJM容量拍卖价格演变折线图。" title="PJM容量拍卖价格演变折线图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pjm_pric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00" cy="2685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i w:val="0"/>
                <w:color w:val="0F5D6A"/>
                <w:sz w:val="16"/>
              </w:rPr>
              <w:t>图4｜PJM容量拍卖价格演变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6F6F6F"/>
                <w:sz w:val="14"/>
              </w:rPr>
              <w:t>容量价格是可靠性市场信号，不等于居民零售电价同比涨幅。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FBF4E6"/>
            <w:tcBorders>
              <w:top w:val="single" w:sz="3" w:color="FBF4E6"/>
              <w:left w:val="single" w:sz="3" w:color="FBF4E6"/>
              <w:bottom w:val="single" w:sz="3" w:color="FBF4E6"/>
              <w:right w:val="single" w:sz="3" w:color="FBF4E6"/>
            </w:tcBorders>
          </w:tcPr>
          <w:p>
            <w:pPr>
              <w:spacing w:after="20"/>
            </w:pPr>
            <w:r/>
            <w:r>
              <w:rPr>
                <w:rFonts w:ascii="Arial" w:hAnsi="Arial" w:eastAsia="Noto Sans CJK SC"/>
                <w:b/>
                <w:i w:val="0"/>
                <w:color w:val="8A6D22"/>
                <w:sz w:val="18"/>
              </w:rPr>
              <w:t>口径与冲突提示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PJM容量价格、ERCOT实时电价和居民零售账单是三种不同口径。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Dominion、ERCOT等大负荷队列存在重复申请和投机项目，不能视为预测容量。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EAF4E8"/>
            <w:tcBorders>
              <w:top w:val="single" w:sz="3" w:color="EAF4E8"/>
              <w:left w:val="single" w:sz="3" w:color="EAF4E8"/>
              <w:bottom w:val="single" w:sz="3" w:color="EAF4E8"/>
              <w:right w:val="single" w:sz="3" w:color="EAF4E8"/>
            </w:tcBorders>
            <w:shd w:fill="EAF3EA"/>
            <w:shd w:fill="EAF3EA"/>
          </w:tcPr>
          <w:p>
            <w:pPr>
              <w:spacing w:after="20"/>
            </w:pPr>
            <w:r/>
            <w:r>
              <w:rPr>
                <w:rFonts w:ascii="Arial" w:hAnsi="Arial" w:eastAsia="Noto Sans CJK SC"/>
                <w:b/>
                <w:i w:val="0"/>
                <w:color w:val="26734D"/>
                <w:sz w:val="18"/>
              </w:rPr>
              <w:t>→ 深化结果与信源边界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i w:val="0"/>
                <w:color w:val="26734D"/>
                <w:sz w:val="16"/>
              </w:rPr>
              <w:t>• 大型变压器交期已从Build.inc商业文章追溯到DOE：配电变压器约1-2年或更长，大型变电站/发电机变压器约3-4年。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i w:val="0"/>
                <w:color w:val="26734D"/>
                <w:sz w:val="16"/>
              </w:rPr>
              <w:t>• GE Vernova已由Q1的100GW更新为Q2的116GW，年末目标至少125GW；Siemens Energy Q2集团backlog更新为1540亿欧元。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i w:val="0"/>
                <w:color w:val="26734D"/>
                <w:sz w:val="16"/>
              </w:rPr>
              <w:t>• PJM容量拍卖数据改引PJM官方Newsroom；容量价格仍不能直接等同居民账单涨幅。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i w:val="0"/>
                <w:color w:val="26734D"/>
                <w:sz w:val="16"/>
              </w:rPr>
              <w:t>• ERCOT、Virginia GS-5、核电和现场燃气仍按监管及项目进度持续更新。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00" w:after="100"/>
      </w:pPr>
      <w:r>
        <w:rPr>
          <w:rFonts w:ascii="Arial" w:hAnsi="Arial" w:eastAsia="Noto Sans CJK SC"/>
          <w:b/>
          <w:i w:val="0"/>
          <w:color w:val="0F5D6A"/>
          <w:sz w:val="36"/>
        </w:rPr>
        <w:t>五、地：选址与政策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5.1 选址逻辑之变</w:t>
      </w:r>
    </w:p>
    <w:p>
      <w:pPr>
        <w:keepNext w:val="0"/>
        <w:spacing w:before="0" w:after="60" w:line="259" w:lineRule="auto"/>
      </w:pPr>
      <w:r>
        <w:rPr>
          <w:rFonts w:ascii="Arial" w:hAnsi="Arial" w:eastAsia="Noto Sans CJK SC"/>
          <w:b w:val="0"/>
          <w:i w:val="0"/>
          <w:color w:val="000000"/>
          <w:sz w:val="18"/>
        </w:rPr>
        <w:t>传统托管依赖光纤密度、靠近用户和合规；AI训练把“何时能获得数百MW电力”置于第一位。推理仍需要靠近用户、企业数据和互联。time-to-power已经取代网络，成为大型训练园区的第一选址变量。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5.2 美国、亚洲、欧洲与中东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cantSplit/>
          <w:tblHeader w:val="1"/>
        </w:trPr>
        <w:tc>
          <w:tcPr>
            <w:tcW w:type="dxa" w:w="170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地区</w:t>
            </w:r>
          </w:p>
        </w:tc>
        <w:tc>
          <w:tcPr>
            <w:tcW w:type="dxa" w:w="4535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政策或约束</w:t>
            </w:r>
          </w:p>
        </w:tc>
        <w:tc>
          <w:tcPr>
            <w:tcW w:type="dxa" w:w="3005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正式表述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Virginia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GS-5覆盖25MW+；新客户14年合同、85%输配电及60%发电最低收费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2027起适用，减少成本转移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Texas/ERCOT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项目真实性、成本分摊、可削减性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410GW队列不代表落地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新加坡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至少200MW配额，PUE&lt;1.3及低碳电力门槛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配额不是运营容量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柔佛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电力利用和可持续要求趋严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85%指电力利用，不是用水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爱尔兰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条件性开放，要求可调度电源/储能和新增可再生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不是无条件解冻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德国/EU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余热、绿电、能耗和用水报告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按年份和门槛列示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韩国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10MW+需电网影响评估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10MW不是建设上限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巴西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REDATA仍有立法不确定性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不能写成稳定生效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中东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阿布扎比5GW园区；HUMAIN国家平台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规划与公司目标分开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5.3 1GW园区成本桥与水资源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76"/>
      </w:tblGrid>
      <w:tr>
        <w:trPr>
          <w:cantSplit/>
        </w:trPr>
        <w:tc>
          <w:tcPr>
            <w:tcW w:type="dxa" w:w="10376"/>
          </w:tcPr>
          <w:p>
            <w:pPr>
              <w:spacing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140000" cy="2418324"/>
                  <wp:docPr id="5" name="Picture 5" descr="1GW AI数据中心成本构成柱状图。" title="1GW AI数据中心成本构成柱状图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_v06_cost_brid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2418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i w:val="0"/>
                <w:color w:val="0F5D6A"/>
                <w:sz w:val="16"/>
              </w:rPr>
              <w:t>图5｜1GW AI数据中心前期资本开支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6F6F6F"/>
                <w:sz w:val="14"/>
              </w:rPr>
              <w:t>Epoch AI风格化模型：总CapEx约380亿美元，其中计算与网络260亿美元、设施/土地/公用工程120亿美元。</w:t>
            </w:r>
          </w:p>
        </w:tc>
      </w:tr>
    </w:tbl>
    <w:p>
      <w:pPr>
        <w:spacing w:after="20"/>
      </w:pPr>
    </w:p>
    <w:p>
      <w:pPr>
        <w:keepNext w:val="0"/>
        <w:spacing w:before="0" w:after="60" w:line="259" w:lineRule="auto"/>
      </w:pPr>
      <w:r>
        <w:rPr>
          <w:rFonts w:ascii="Arial" w:hAnsi="Arial" w:eastAsia="Noto Sans CJK SC"/>
          <w:b w:val="0"/>
          <w:i w:val="0"/>
          <w:color w:val="000000"/>
          <w:sz w:val="17"/>
        </w:rPr>
        <w:t>JLL预测2026年shell &amp; core约1130万美元/MW，即1GW约113亿美元，与Epoch AI的120亿美元设施口径接近，但定义并非完全一致。公开原文没有把设施成本进一步拆成土地、土建、电力和冷却，本报告不强行分配比例。</w:t>
      </w:r>
    </w:p>
    <w:p>
      <w:pPr>
        <w:keepNext w:val="0"/>
        <w:spacing w:before="0" w:after="60" w:line="259" w:lineRule="auto"/>
      </w:pPr>
      <w:r>
        <w:rPr>
          <w:rFonts w:ascii="Arial" w:hAnsi="Arial" w:eastAsia="Noto Sans CJK SC"/>
          <w:b w:val="0"/>
          <w:i w:val="0"/>
          <w:color w:val="000000"/>
          <w:sz w:val="17"/>
        </w:rPr>
        <w:t>水资源应区分WUE、取水量、耗水量、冷却用水和上游发电用水。Microsoft 2025年平均WUE为0.27L/kWh；“零耗水”应改为“运营冷却零蒸发耗水”。</w:t>
      </w:r>
    </w:p>
    <w:p>
      <w:pPr>
        <w:spacing w:before="0" w:after="60" w:line="240" w:lineRule="auto"/>
      </w:pPr>
      <w:r>
        <w:rPr>
          <w:rFonts w:ascii="Arial" w:hAnsi="Arial" w:eastAsia="Noto Sans CJK SC"/>
          <w:b w:val="0"/>
          <w:i w:val="0"/>
          <w:color w:val="6F6F6F"/>
          <w:sz w:val="14"/>
        </w:rPr>
        <w:t>（Epoch AI；JLL；Microsoft）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FBF4E6"/>
            <w:tcBorders>
              <w:top w:val="single" w:sz="3" w:color="FBF4E6"/>
              <w:left w:val="single" w:sz="3" w:color="FBF4E6"/>
              <w:bottom w:val="single" w:sz="3" w:color="FBF4E6"/>
              <w:right w:val="single" w:sz="3" w:color="FBF4E6"/>
            </w:tcBorders>
          </w:tcPr>
          <w:p>
            <w:pPr>
              <w:spacing w:after="20"/>
            </w:pPr>
            <w:r/>
            <w:r>
              <w:rPr>
                <w:rFonts w:ascii="Arial" w:hAnsi="Arial" w:eastAsia="Noto Sans CJK SC"/>
                <w:b/>
                <w:i w:val="0"/>
                <w:color w:val="8A6D22"/>
                <w:sz w:val="18"/>
              </w:rPr>
              <w:t>口径与冲突提示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380亿美元包含IT设备；113亿美元只含shell &amp; core，两者不能当同一成本口径。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原初稿中的Newton County水井案例和Project Jade“三户家庭”已删除。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3118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sz w:val="14"/>
              </w:rPr>
              <w:t>官方园区样本</w:t>
            </w:r>
          </w:p>
        </w:tc>
        <w:tc>
          <w:tcPr>
            <w:tcW w:type="dxa" w:w="1701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sz w:val="14"/>
              </w:rPr>
              <w:t>容量</w:t>
            </w:r>
          </w:p>
        </w:tc>
        <w:tc>
          <w:tcPr>
            <w:tcW w:type="dxa" w:w="1757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sz w:val="14"/>
              </w:rPr>
              <w:t>土地</w:t>
            </w:r>
          </w:p>
        </w:tc>
        <w:tc>
          <w:tcPr>
            <w:tcW w:type="dxa" w:w="1814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sz w:val="14"/>
              </w:rPr>
              <w:t>英亩/GW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Vantage Ashburn I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206MW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52英亩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252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Vantage New Albany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192MW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70英亩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365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STACK DFW02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500MW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193英亩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386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Vantage Fredericksburg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192MW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82英亩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427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Vantage Reno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224MW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137英亩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612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Vantage Frontier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1.4GW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1,200英亩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857</w:t>
            </w:r>
          </w:p>
        </w:tc>
      </w:tr>
    </w:tbl>
    <w:p>
      <w:pPr>
        <w:spacing w:before="20" w:after="40"/>
      </w:pPr>
      <w:r>
        <w:rPr>
          <w:rFonts w:ascii="Arial" w:hAnsi="Arial" w:eastAsia="Noto Sans CJK SC"/>
          <w:b w:val="0"/>
          <w:color w:val="666666"/>
          <w:sz w:val="14"/>
        </w:rPr>
        <w:t>六个官方样本约252-857英亩/GW，中位数约407英亩/GW；楼层、能源设施、变电站和缓冲区造成巨大差异。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EAF4E8"/>
            <w:tcBorders>
              <w:top w:val="single" w:sz="3" w:color="EAF4E8"/>
              <w:left w:val="single" w:sz="3" w:color="EAF4E8"/>
              <w:bottom w:val="single" w:sz="3" w:color="EAF4E8"/>
              <w:right w:val="single" w:sz="3" w:color="EAF4E8"/>
            </w:tcBorders>
            <w:shd w:fill="EAF3EA"/>
          </w:tcPr>
          <w:p>
            <w:pPr>
              <w:spacing w:after="20"/>
            </w:pPr>
            <w:r/>
            <w:r>
              <w:rPr>
                <w:rFonts w:ascii="Arial" w:hAnsi="Arial" w:eastAsia="Noto Sans CJK SC"/>
                <w:b/>
                <w:color w:val="26734D"/>
                <w:sz w:val="18"/>
              </w:rPr>
              <w:t>→ 深化结果与剩余边界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color w:val="26734D"/>
                <w:sz w:val="16"/>
              </w:rPr>
              <w:t>• 已建立6个官方园区土地样本，折算约252-857英亩/GW，中位数约407英亩/GW。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color w:val="26734D"/>
                <w:sz w:val="16"/>
              </w:rPr>
              <w:t>• 该区间只能作为选址经验值，不能作为统一设计标准；核心市场多层建筑和远期能源园区差异很大。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color w:val="26734D"/>
                <w:sz w:val="16"/>
              </w:rPr>
              <w:t>• 公开原文仍没有把设施成本统一拆成土地、土建、电力和冷却，本报告不强行分配比例。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00" w:after="100"/>
      </w:pPr>
      <w:r>
        <w:rPr>
          <w:rFonts w:ascii="Arial" w:hAnsi="Arial" w:eastAsia="Noto Sans CJK SC"/>
          <w:b/>
          <w:i w:val="0"/>
          <w:color w:val="0F5D6A"/>
          <w:sz w:val="36"/>
        </w:rPr>
        <w:t>六、什么产品（里面装什么）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6.1 算力芯片与整柜路线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cantSplit/>
          <w:tblHeader w:val="1"/>
        </w:trPr>
        <w:tc>
          <w:tcPr>
            <w:tcW w:type="dxa" w:w="192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4"/>
              </w:rPr>
              <w:t>平台</w:t>
            </w:r>
          </w:p>
        </w:tc>
        <w:tc>
          <w:tcPr>
            <w:tcW w:type="dxa" w:w="1814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4"/>
              </w:rPr>
              <w:t>当前状态</w:t>
            </w:r>
          </w:p>
        </w:tc>
        <w:tc>
          <w:tcPr>
            <w:tcW w:type="dxa" w:w="3175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4"/>
              </w:rPr>
              <w:t>关键修订</w:t>
            </w:r>
          </w:p>
        </w:tc>
        <w:tc>
          <w:tcPr>
            <w:tcW w:type="dxa" w:w="2324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4"/>
              </w:rPr>
              <w:t>设施含义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GB300 NVL72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当前部署代际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135kW TDP/155kW峰值；约90%液冷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机柜峰值与设施设计功率分开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Vera Rubin NVL72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官方路线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不是NVL144；全液冷、45°C冷却液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高温液冷和高压直流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AMD MI355X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已出货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单GPU 1400W TBP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不是TDP或机柜功率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AMD Helios/MI455X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2026H2开始出货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72 GPU参考架构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仍处爬坡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Google Ironwood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GA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TPU8t/8i已宣布、仍Coming soon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训练/推理分化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Trainium2/3/4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分代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T2约140万颗；T3 GA；T4预计2027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架构上限非部署量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Maia/MTIA/Jalapeño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现有+未来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面向推理与自研路线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多年路线非当前GW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6.2 功率密度演进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cantSplit/>
          <w:tblHeader w:val="1"/>
        </w:trPr>
        <w:tc>
          <w:tcPr>
            <w:tcW w:type="dxa" w:w="3005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代际</w:t>
            </w:r>
          </w:p>
        </w:tc>
        <w:tc>
          <w:tcPr>
            <w:tcW w:type="dxa" w:w="226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功率密度</w:t>
            </w:r>
          </w:p>
        </w:tc>
        <w:tc>
          <w:tcPr>
            <w:tcW w:type="dxa" w:w="3969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冷却要求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传统企业机柜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5-10kW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风冷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云机柜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15-20kW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风冷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H100 AI机柜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约40kW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风冷极限区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GB200/GB300 NVL72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120-155kW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液冷为主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Vera Rubin NVL72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更高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全液冷、高温冷却液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下一代整柜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数百kW至MW级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800VDC、设施级CDU、预制化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6.3 电力设备与网络</w:t>
      </w:r>
    </w:p>
    <w:p>
      <w:pPr>
        <w:keepNext w:val="0"/>
        <w:spacing w:before="0" w:after="60" w:line="259" w:lineRule="auto"/>
      </w:pPr>
      <w:r>
        <w:rPr>
          <w:rFonts w:ascii="Arial" w:hAnsi="Arial" w:eastAsia="Noto Sans CJK SC"/>
          <w:b w:val="0"/>
          <w:i w:val="0"/>
          <w:sz w:val="18"/>
        </w:rPr>
        <w:t>电力设备链包括变压器、开关柜、UPS、发电机和800VDC。网络方面，Dell’Oro Group于2026年6月发布的原始新闻稿显示，Ethernet在2026Q1 AI集群数据中心交换机销售中约占三分之二；同一稿件也指出InfiniBand销售明显反弹，800Gbps交换机占主流。该指标是交换机销售口径，不是端口份额，也不能外推到全部数据中心网络。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76"/>
      </w:tblGrid>
      <w:tr>
        <w:trPr>
          <w:cantSplit/>
        </w:trPr>
        <w:tc>
          <w:tcPr>
            <w:tcW w:type="dxa" w:w="10376"/>
          </w:tcPr>
          <w:p>
            <w:pPr>
              <w:spacing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0" cy="2312920"/>
                  <wp:docPr id="6" name="Picture 6" descr="AI数据中心从芯片内存到最终负载的产业链图。" title="AI数据中心从芯片内存到最终负载的产业链图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8_industry_chai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31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i w:val="0"/>
                <w:color w:val="0F5D6A"/>
                <w:sz w:val="16"/>
              </w:rPr>
              <w:t>图6｜AI数据中心产业链：从芯片到可交付IT负载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i w:val="0"/>
                <w:color w:val="6F6F6F"/>
                <w:sz w:val="14"/>
              </w:rPr>
              <w:t>资本、能源与政策贯穿全部环节；图中顺序不代表价值量排序。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FBF4E6"/>
            <w:tcBorders>
              <w:top w:val="single" w:sz="3" w:color="FBF4E6"/>
              <w:left w:val="single" w:sz="3" w:color="FBF4E6"/>
              <w:bottom w:val="single" w:sz="3" w:color="FBF4E6"/>
              <w:right w:val="single" w:sz="3" w:color="FBF4E6"/>
            </w:tcBorders>
          </w:tcPr>
          <w:p>
            <w:pPr>
              <w:spacing w:after="20"/>
            </w:pPr>
            <w:r/>
            <w:r>
              <w:rPr>
                <w:rFonts w:ascii="Arial" w:hAnsi="Arial" w:eastAsia="Noto Sans CJK SC"/>
                <w:b/>
                <w:i w:val="0"/>
                <w:color w:val="8A6D22"/>
                <w:sz w:val="18"/>
              </w:rPr>
              <w:t>口径与冲突提示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GB300的135kW是TDP、155kW是峰值，均不等于设施设计功率。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Kyber的600kW与延期信息仍缺乏稳定的一手最终规格。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ASIC出货增速不等于算力或收入份额。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1191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sz w:val="13"/>
              </w:rPr>
              <w:t>类别</w:t>
            </w:r>
          </w:p>
        </w:tc>
        <w:tc>
          <w:tcPr>
            <w:tcW w:type="dxa" w:w="2324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sz w:val="13"/>
              </w:rPr>
              <w:t>代表产品</w:t>
            </w:r>
          </w:p>
        </w:tc>
        <w:tc>
          <w:tcPr>
            <w:tcW w:type="dxa" w:w="3912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sz w:val="13"/>
              </w:rPr>
              <w:t>公开能力</w:t>
            </w:r>
          </w:p>
        </w:tc>
        <w:tc>
          <w:tcPr>
            <w:tcW w:type="dxa" w:w="2211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sz w:val="13"/>
              </w:rPr>
              <w:t>研究结论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UPS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Schneider Galaxy VXL</w:t>
            </w:r>
          </w:p>
        </w:tc>
        <w:tc>
          <w:tcPr>
            <w:tcW w:type="dxa" w:w="39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1.25MW/框；4台并联5MW；97.5%/99%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单框与并联系统分开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UPS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Vertiv Trinergy</w:t>
            </w:r>
          </w:p>
        </w:tc>
        <w:tc>
          <w:tcPr>
            <w:tcW w:type="dxa" w:w="39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2MW单机；系统1.5-20MW；97%/99%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20MW是系统能力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UPS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Eaton 9395X/XC</w:t>
            </w:r>
          </w:p>
        </w:tc>
        <w:tc>
          <w:tcPr>
            <w:tcW w:type="dxa" w:w="39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1-1.7MW；XC最高2.25MW、双机3MW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型号和地区电压分开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发电机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Cat C175-20 / Cummins QSK95</w:t>
            </w:r>
          </w:p>
        </w:tc>
        <w:tc>
          <w:tcPr>
            <w:tcW w:type="dxa" w:w="39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最高4MW备用 / 3.35MW数据中心持续功率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备用、主用、持续额定分开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AI网络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Spectrum-X Ethernet</w:t>
            </w:r>
          </w:p>
        </w:tc>
        <w:tc>
          <w:tcPr>
            <w:tcW w:type="dxa" w:w="39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开放、多租户、跨园区；800G/CPO路线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厂商基准不等于全市场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AI网络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Quantum-X InfiniBand</w:t>
            </w:r>
          </w:p>
        </w:tc>
        <w:tc>
          <w:tcPr>
            <w:tcW w:type="dxa" w:w="39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低延迟、in-network computing、144×800G CPO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更偏训练/HPC高性能域</w:t>
            </w:r>
          </w:p>
        </w:tc>
      </w:tr>
      <w:tr>
        <w:trPr>
          <w:cantSplit/>
        </w:trPr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3"/>
              </w:rPr>
              <w:t>变压器</w:t>
            </w:r>
          </w:p>
        </w:tc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3"/>
              </w:rPr>
              <w:t>DOE 2026工作组</w:t>
            </w:r>
          </w:p>
        </w:tc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3"/>
              </w:rPr>
              <w:t>配电变压器1-2年或更长；大型变压器3-4年</w:t>
            </w:r>
          </w:p>
        </w:tc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3"/>
              </w:rPr>
              <w:t>替换商业采购文章的通用区间</w:t>
            </w:r>
          </w:p>
        </w:tc>
      </w:tr>
      <w:tr>
        <w:trPr>
          <w:cantSplit/>
        </w:trPr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3"/>
              </w:rPr>
              <w:t>燃机订单</w:t>
            </w:r>
          </w:p>
        </w:tc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3"/>
              </w:rPr>
              <w:t>GE Vernova Q2 2026</w:t>
            </w:r>
          </w:p>
        </w:tc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3"/>
              </w:rPr>
              <w:t>116GW；年末目标≥125GW</w:t>
            </w:r>
          </w:p>
        </w:tc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3"/>
              </w:rPr>
              <w:t>并非全部为数据中心</w:t>
            </w:r>
          </w:p>
        </w:tc>
      </w:tr>
      <w:tr>
        <w:trPr>
          <w:cantSplit/>
        </w:trPr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3"/>
              </w:rPr>
              <w:t>集团订单</w:t>
            </w:r>
          </w:p>
        </w:tc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3"/>
              </w:rPr>
              <w:t>Siemens Energy Q2 FY2026</w:t>
            </w:r>
          </w:p>
        </w:tc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3"/>
              </w:rPr>
              <w:t>order backlog €154B</w:t>
            </w:r>
          </w:p>
        </w:tc>
        <w:tc>
          <w:tcPr>
            <w:tcW w:type="dxa" w:w="259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3"/>
              </w:rPr>
              <w:t>集团总量，不能全部归因数据中心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EAF4E8"/>
            <w:tcBorders>
              <w:top w:val="single" w:sz="3" w:color="EAF4E8"/>
              <w:left w:val="single" w:sz="3" w:color="EAF4E8"/>
              <w:bottom w:val="single" w:sz="3" w:color="EAF4E8"/>
              <w:right w:val="single" w:sz="3" w:color="EAF4E8"/>
            </w:tcBorders>
            <w:shd w:fill="EAF3EA"/>
          </w:tcPr>
          <w:p>
            <w:pPr>
              <w:spacing w:after="20"/>
            </w:pPr>
            <w:r/>
            <w:r>
              <w:rPr>
                <w:rFonts w:ascii="Arial" w:hAnsi="Arial" w:eastAsia="Noto Sans CJK SC"/>
                <w:b/>
                <w:color w:val="26734D"/>
                <w:sz w:val="18"/>
              </w:rPr>
              <w:t>→ 深化结果与剩余边界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color w:val="26734D"/>
                <w:sz w:val="16"/>
              </w:rPr>
              <w:t>• UPS、发电机、Ethernet/InfiniBand和800G/CPO系统对照已完成，单机额定与系统并联能力分开。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color w:val="26734D"/>
                <w:sz w:val="16"/>
              </w:rPr>
              <w:t>• Ethernet适合开放、多租户和跨园区生态；InfiniBand强调确定性低延迟与in-network computing，不能用单一市场份额决定选型。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color w:val="26734D"/>
                <w:sz w:val="16"/>
              </w:rPr>
              <w:t>• CPO与1.6T路线仍需跟踪量产、维护和客户认证；厂商性能数据不等于第三方实测。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00" w:after="100"/>
      </w:pPr>
      <w:r>
        <w:rPr>
          <w:rFonts w:ascii="Arial" w:hAnsi="Arial" w:eastAsia="Noto Sans CJK SC"/>
          <w:b/>
          <w:i w:val="0"/>
          <w:color w:val="0F5D6A"/>
          <w:sz w:val="36"/>
        </w:rPr>
        <w:t>七、散热方案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7.1 风冷→冷板液冷→浸没式</w:t>
      </w:r>
    </w:p>
    <w:p>
      <w:pPr>
        <w:keepNext w:val="0"/>
        <w:spacing w:before="0" w:after="60" w:line="259" w:lineRule="auto"/>
      </w:pPr>
      <w:r>
        <w:rPr>
          <w:rFonts w:ascii="Arial" w:hAnsi="Arial" w:eastAsia="Noto Sans CJK SC"/>
          <w:b w:val="0"/>
          <w:i w:val="0"/>
          <w:sz w:val="18"/>
        </w:rPr>
        <w:t>Schneider和Vertiv的官方技术资料通常把30-50kW/柜视为风冷进入实际限制区，50kW以上常需要液冷或混合冷却；这不是全球统一的物理或经济上限。GB200/GB300的120-155kW直接推动冷板式液冷成为AI主流，浸没式仍受生态兼容、维护方式和流体供应变化限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1474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sz w:val="13"/>
              </w:rPr>
              <w:t>环节</w:t>
            </w:r>
          </w:p>
        </w:tc>
        <w:tc>
          <w:tcPr>
            <w:tcW w:type="dxa" w:w="2438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sz w:val="13"/>
              </w:rPr>
              <w:t>代表方案</w:t>
            </w:r>
          </w:p>
        </w:tc>
        <w:tc>
          <w:tcPr>
            <w:tcW w:type="dxa" w:w="3628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sz w:val="13"/>
              </w:rPr>
              <w:t>公开特征</w:t>
            </w:r>
          </w:p>
        </w:tc>
        <w:tc>
          <w:tcPr>
            <w:tcW w:type="dxa" w:w="2098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sz w:val="13"/>
              </w:rPr>
              <w:t>边界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机架内快接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Danfoss/Staubli UQD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OCP、多源兼容、氦检、低压降、无滴漏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流量和密封材料按型号确认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设施侧快接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Danfoss FD83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1/2英寸、10bar、双重互锁、低压降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厂商测试不等于系统实测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管路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Danfoss EHW194 / DC394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EPDM、阻燃、大口径源侧管线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需与冷却液及OEM共同认证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下一代快接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Staubli LQD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小尺寸、高流量、低压损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2026新品，仍需量产验证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PFAS/浸没式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3M完成PFAS制造退出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含氟流体供应链需要替代和再认证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3"/>
              </w:rPr>
              <w:t>退出不等于全球统一禁令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cantSplit/>
          <w:tblHeader w:val="1"/>
        </w:trPr>
        <w:tc>
          <w:tcPr>
            <w:tcW w:type="dxa" w:w="192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路线</w:t>
            </w:r>
          </w:p>
        </w:tc>
        <w:tc>
          <w:tcPr>
            <w:tcW w:type="dxa" w:w="3572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当前判断</w:t>
            </w:r>
          </w:p>
        </w:tc>
        <w:tc>
          <w:tcPr>
            <w:tcW w:type="dxa" w:w="379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主要玩家/产品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冷板式D2C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当前AI主流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Motivair、CoolIT、Vertiv、Delta、Boyd等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CDU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从机架/列级向设施级扩展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Motivair 2.5MW、Vertiv 2.3MW、CoolIT 2MW、Delta 2.4MW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浸没式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基数小、特定场景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LiquidStack、Asperitas、GRC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快接头/管路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认证与可靠性壁垒高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CPC、Parker、Danfoss、Staubli等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7.2 并购与市场规模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8"/>
        </w:rPr>
        <w:t>• Schneider / Motivair：</w:t>
      </w:r>
      <w:r>
        <w:rPr>
          <w:rFonts w:ascii="Arial" w:hAnsi="Arial" w:eastAsia="Noto Sans CJK SC"/>
          <w:b w:val="0"/>
          <w:i w:val="0"/>
          <w:color w:val="000000"/>
          <w:sz w:val="18"/>
        </w:rPr>
        <w:t>2025年取得75%控股权，剩余股权计划后续取得。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8"/>
        </w:rPr>
        <w:t>• Eaton / Boyd：</w:t>
      </w:r>
      <w:r>
        <w:rPr>
          <w:rFonts w:ascii="Arial" w:hAnsi="Arial" w:eastAsia="Noto Sans CJK SC"/>
          <w:b w:val="0"/>
          <w:i w:val="0"/>
          <w:color w:val="000000"/>
          <w:sz w:val="18"/>
        </w:rPr>
        <w:t>2026年3月完成95亿美元收购；Boyd的17亿美元为2026预测销售。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8"/>
        </w:rPr>
        <w:t>• Ecolab / CoolIT、Trane / LiquidStack、Vertiv / CoolTera：</w:t>
      </w:r>
      <w:r>
        <w:rPr>
          <w:rFonts w:ascii="Arial" w:hAnsi="Arial" w:eastAsia="Noto Sans CJK SC"/>
          <w:b w:val="0"/>
          <w:i w:val="0"/>
          <w:color w:val="000000"/>
          <w:sz w:val="18"/>
        </w:rPr>
        <w:t>所有权已更新，不能再把标的公司作为完全独立玩家。</w:t>
      </w:r>
    </w:p>
    <w:p>
      <w:pPr>
        <w:keepNext w:val="0"/>
        <w:spacing w:before="0" w:after="60" w:line="259" w:lineRule="auto"/>
      </w:pPr>
      <w:r>
        <w:rPr>
          <w:rFonts w:ascii="Arial" w:hAnsi="Arial" w:eastAsia="Noto Sans CJK SC"/>
          <w:b w:val="0"/>
          <w:i w:val="0"/>
          <w:color w:val="000000"/>
          <w:sz w:val="18"/>
        </w:rPr>
        <w:t>商业市场预测口径差异大：Mordor为广义液冷市场，MarketsandMarkets包含解决方案与服务，Grand View的16亿至71亿美元只统计CDU。终稿并列范围，不取平均。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7.3 水的问题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cantSplit/>
          <w:tblHeader w:val="1"/>
        </w:trPr>
        <w:tc>
          <w:tcPr>
            <w:tcW w:type="dxa" w:w="192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指标</w:t>
            </w:r>
          </w:p>
        </w:tc>
        <w:tc>
          <w:tcPr>
            <w:tcW w:type="dxa" w:w="3572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回答什么</w:t>
            </w:r>
          </w:p>
        </w:tc>
        <w:tc>
          <w:tcPr>
            <w:tcW w:type="dxa" w:w="379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不能回答什么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WUE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单位IT能耗的现场水输入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峰值管网与上游发电用水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取水量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设施所需供水能力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最终耗水量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耗水量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蒸发或不能回到同一流域的水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瞬时供水需求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冷却用水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比较蒸发、闭环和干冷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园区总用水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上游电力用水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低WUE是否转移到发电环节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本地管网压力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FBF4E6"/>
            <w:tcBorders>
              <w:top w:val="single" w:sz="3" w:color="FBF4E6"/>
              <w:left w:val="single" w:sz="3" w:color="FBF4E6"/>
              <w:bottom w:val="single" w:sz="3" w:color="FBF4E6"/>
              <w:right w:val="single" w:sz="3" w:color="FBF4E6"/>
            </w:tcBorders>
          </w:tcPr>
          <w:p>
            <w:pPr>
              <w:spacing w:after="20"/>
            </w:pPr>
            <w:r/>
            <w:r>
              <w:rPr>
                <w:rFonts w:ascii="Arial" w:hAnsi="Arial" w:eastAsia="Noto Sans CJK SC"/>
                <w:b/>
                <w:i w:val="0"/>
                <w:color w:val="8A6D22"/>
                <w:sz w:val="18"/>
              </w:rPr>
              <w:t>口径与冲突提示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AI液冷渗透率14%→33%只适用于AI部署口径。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“零耗水”只能写成运营冷却零蒸发耗水。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液冷市场规模因是否含CDU、服务和工程而相差数倍。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EAF4E8"/>
            <w:tcBorders>
              <w:top w:val="single" w:sz="3" w:color="EAF4E8"/>
              <w:left w:val="single" w:sz="3" w:color="EAF4E8"/>
              <w:bottom w:val="single" w:sz="3" w:color="EAF4E8"/>
              <w:right w:val="single" w:sz="3" w:color="EAF4E8"/>
            </w:tcBorders>
            <w:shd w:fill="EAF3EA"/>
            <w:shd w:fill="EAF3EA"/>
          </w:tcPr>
          <w:p>
            <w:pPr>
              <w:spacing w:after="20"/>
            </w:pPr>
            <w:r/>
            <w:r>
              <w:rPr>
                <w:rFonts w:ascii="Arial" w:hAnsi="Arial" w:eastAsia="Noto Sans CJK SC"/>
                <w:b/>
                <w:i w:val="0"/>
                <w:color w:val="26734D"/>
                <w:sz w:val="18"/>
              </w:rPr>
              <w:t>→ 深化结果与信源边界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i w:val="0"/>
                <w:color w:val="26734D"/>
                <w:sz w:val="16"/>
              </w:rPr>
              <w:t>• 快接头、软管、冷却液兼容和PFAS供应链已补充；UQD/OCP标准化正在降低单一供应商锁定。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i w:val="0"/>
                <w:color w:val="26734D"/>
                <w:sz w:val="16"/>
              </w:rPr>
              <w:t>• 3M官方确认已在2025年底完成自身PFAS制造退出，但第三方制造的PFAS材料仍可能因技术、认证或行业标准在部分产品中继续使用。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i w:val="0"/>
                <w:color w:val="26734D"/>
                <w:sz w:val="16"/>
              </w:rPr>
              <w:t>• 因此“3M退出PFAS制造”不能写成全球供应链已无PFAS，也不等于全球统一禁令。</w:t>
            </w:r>
          </w:p>
          <w:p>
            <w:pPr>
              <w:spacing w:after="20"/>
            </w:pPr>
            <w:r>
              <w:rPr>
                <w:rFonts w:ascii="Arial" w:hAnsi="Arial" w:eastAsia="Noto Sans CJK SC"/>
                <w:b w:val="0"/>
                <w:i w:val="0"/>
                <w:color w:val="26734D"/>
                <w:sz w:val="16"/>
              </w:rPr>
              <w:t>• 并购后的真实出货量仍不公开，不能用集团订单或产能直接代表液冷收入。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00" w:after="100"/>
      </w:pPr>
      <w:r>
        <w:rPr>
          <w:rFonts w:ascii="Arial" w:hAnsi="Arial" w:eastAsia="Noto Sans CJK SC"/>
          <w:b/>
          <w:i w:val="0"/>
          <w:color w:val="0F5D6A"/>
          <w:sz w:val="36"/>
        </w:rPr>
        <w:t>八、瓶颈排序与趋势</w:t>
      </w:r>
    </w:p>
    <w:p>
      <w:pPr>
        <w:keepNext w:val="0"/>
        <w:spacing w:before="0" w:after="60" w:line="259" w:lineRule="auto"/>
      </w:pPr>
      <w:r>
        <w:rPr>
          <w:rFonts w:ascii="Arial" w:hAnsi="Arial" w:eastAsia="Noto Sans CJK SC"/>
          <w:b w:val="0"/>
          <w:i w:val="0"/>
          <w:color w:val="000000"/>
          <w:sz w:val="18"/>
        </w:rPr>
        <w:t>瓶颈不应只有一个全球统一排序。训练园区、推理节点和传统托管的关键路径不同。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cantSplit/>
          <w:tblHeader w:val="1"/>
        </w:trPr>
        <w:tc>
          <w:tcPr>
            <w:tcW w:type="dxa" w:w="170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4"/>
              </w:rPr>
              <w:t>项目类型</w:t>
            </w:r>
          </w:p>
        </w:tc>
        <w:tc>
          <w:tcPr>
            <w:tcW w:type="dxa" w:w="1984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4"/>
              </w:rPr>
              <w:t>第一瓶颈</w:t>
            </w:r>
          </w:p>
        </w:tc>
        <w:tc>
          <w:tcPr>
            <w:tcW w:type="dxa" w:w="238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4"/>
              </w:rPr>
              <w:t>第二瓶颈</w:t>
            </w:r>
          </w:p>
        </w:tc>
        <w:tc>
          <w:tcPr>
            <w:tcW w:type="dxa" w:w="209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4"/>
              </w:rPr>
              <w:t>第三瓶颈</w:t>
            </w:r>
          </w:p>
        </w:tc>
        <w:tc>
          <w:tcPr>
            <w:tcW w:type="dxa" w:w="1701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4"/>
              </w:rPr>
              <w:t>判断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AI训练园区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可按期交付的电力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变压器/燃机/开关柜/液冷交付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融资与项目真实性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工程链决定收入时点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AI推理节点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都会区电力与位置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互联、数据合规和时延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硬件更新与单位推理成本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核心市场重新受益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传统云/企业托管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核心市场空间和租金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高密度改造能力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迁移与合规成本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4"/>
              </w:rPr>
              <w:t>不会被AI完全替代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8.1 未来2-3年最值得关注的变化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8"/>
        </w:rPr>
        <w:t>• 趋势1：电力资产化。</w:t>
      </w:r>
      <w:r>
        <w:rPr>
          <w:rFonts w:ascii="Arial" w:hAnsi="Arial" w:eastAsia="Noto Sans CJK SC"/>
          <w:b w:val="0"/>
          <w:i w:val="0"/>
          <w:color w:val="000000"/>
          <w:sz w:val="18"/>
        </w:rPr>
        <w:t>开发商更早锁定变电站、燃机、储能、核电PPA和可削减负荷。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8"/>
        </w:rPr>
        <w:t>• 趋势2：队列去水分。</w:t>
      </w:r>
      <w:r>
        <w:rPr>
          <w:rFonts w:ascii="Arial" w:hAnsi="Arial" w:eastAsia="Noto Sans CJK SC"/>
          <w:b w:val="0"/>
          <w:i w:val="0"/>
          <w:color w:val="000000"/>
          <w:sz w:val="18"/>
        </w:rPr>
        <w:t>站点控制、研究费、抵押品和最低需求费将过滤投机申请。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8"/>
        </w:rPr>
        <w:t>• 趋势3：训练与推理地理分化。</w:t>
      </w:r>
      <w:r>
        <w:rPr>
          <w:rFonts w:ascii="Arial" w:hAnsi="Arial" w:eastAsia="Noto Sans CJK SC"/>
          <w:b w:val="0"/>
          <w:i w:val="0"/>
          <w:color w:val="000000"/>
          <w:sz w:val="18"/>
        </w:rPr>
        <w:t>训练继续向电力富集区集中，推理增长提升都会区与互联型托管价值。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8"/>
        </w:rPr>
        <w:t>• 趋势4：整柜功率继续上升。</w:t>
      </w:r>
      <w:r>
        <w:rPr>
          <w:rFonts w:ascii="Arial" w:hAnsi="Arial" w:eastAsia="Noto Sans CJK SC"/>
          <w:b w:val="0"/>
          <w:i w:val="0"/>
          <w:color w:val="000000"/>
          <w:sz w:val="18"/>
        </w:rPr>
        <w:t>全液冷、800VDC、预制化和设施级CDU成为确定性设备主题。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8"/>
        </w:rPr>
        <w:t>• 趋势5：液冷行业整合。</w:t>
      </w:r>
      <w:r>
        <w:rPr>
          <w:rFonts w:ascii="Arial" w:hAnsi="Arial" w:eastAsia="Noto Sans CJK SC"/>
          <w:b w:val="0"/>
          <w:i w:val="0"/>
          <w:color w:val="000000"/>
          <w:sz w:val="18"/>
        </w:rPr>
        <w:t>电力设备、楼宇冷却和IT液冷公司合并为端到端平台。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8"/>
        </w:rPr>
        <w:t>• 趋势6：监管管理外部性。</w:t>
      </w:r>
      <w:r>
        <w:rPr>
          <w:rFonts w:ascii="Arial" w:hAnsi="Arial" w:eastAsia="Noto Sans CJK SC"/>
          <w:b w:val="0"/>
          <w:i w:val="0"/>
          <w:color w:val="000000"/>
          <w:sz w:val="18"/>
        </w:rPr>
        <w:t>电价分摊、用水边界、能效、余热和项目真实性成为选址成本。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8"/>
        </w:rPr>
        <w:t>• 趋势7：需求集中与循环融资。</w:t>
      </w:r>
      <w:r>
        <w:rPr>
          <w:rFonts w:ascii="Arial" w:hAnsi="Arial" w:eastAsia="Noto Sans CJK SC"/>
          <w:b w:val="0"/>
          <w:i w:val="0"/>
          <w:color w:val="000000"/>
          <w:sz w:val="18"/>
        </w:rPr>
        <w:t>长期合同可能因融资、模型变现或技术替代而调整。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FBF4E6"/>
            <w:tcBorders>
              <w:top w:val="single" w:sz="3" w:color="FBF4E6"/>
              <w:left w:val="single" w:sz="3" w:color="FBF4E6"/>
              <w:bottom w:val="single" w:sz="3" w:color="FBF4E6"/>
              <w:right w:val="single" w:sz="3" w:color="FBF4E6"/>
            </w:tcBorders>
          </w:tcPr>
          <w:p>
            <w:pPr>
              <w:spacing w:after="20"/>
            </w:pPr>
            <w:r/>
            <w:r>
              <w:rPr>
                <w:rFonts w:ascii="Arial" w:hAnsi="Arial" w:eastAsia="Noto Sans CJK SC"/>
                <w:b/>
                <w:i w:val="0"/>
                <w:color w:val="8A6D22"/>
                <w:sz w:val="18"/>
              </w:rPr>
              <w:t>本报告的独立判断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未来两到三年，工程链和电力链比单一GPU供给更可能决定项目能否按期产生收入。</w:t>
            </w:r>
          </w:p>
          <w:p>
            <w:pPr>
              <w:spacing w:after="20"/>
              <w:ind w:left="142" w:hanging="102"/>
            </w:pPr>
            <w:r>
              <w:rPr>
                <w:rFonts w:ascii="Arial" w:hAnsi="Arial" w:eastAsia="Noto Sans CJK SC"/>
                <w:b w:val="0"/>
                <w:i w:val="0"/>
                <w:color w:val="8A6D22"/>
                <w:sz w:val="16"/>
              </w:rPr>
              <w:t>• 对投资者最重要的不是宣布GW，而是可按日期交付、具备客户和资金闭环的IT负载。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00" w:after="100"/>
      </w:pPr>
      <w:r>
        <w:rPr>
          <w:rFonts w:ascii="Arial" w:hAnsi="Arial" w:eastAsia="Noto Sans CJK SC"/>
          <w:b/>
          <w:i w:val="0"/>
          <w:color w:val="0F5D6A"/>
          <w:sz w:val="36"/>
        </w:rPr>
        <w:t>附录 A：关键数据速查表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cantSplit/>
          <w:tblHeader w:val="1"/>
        </w:trPr>
        <w:tc>
          <w:tcPr>
            <w:tcW w:type="dxa" w:w="3402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指标</w:t>
            </w:r>
          </w:p>
        </w:tc>
        <w:tc>
          <w:tcPr>
            <w:tcW w:type="dxa" w:w="294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修订值</w:t>
            </w:r>
          </w:p>
        </w:tc>
        <w:tc>
          <w:tcPr>
            <w:tcW w:type="dxa" w:w="2948"/>
            <w:vAlign w:val="center"/>
            <w:shd w:fill="E5EF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color w:val="000000"/>
                <w:sz w:val="15"/>
              </w:rPr>
              <w:t>来源/时点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全球IT容量（2025）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约103GW（推算）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JLL 200GW-新增97GW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全球IT容量（2030E）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约200GW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JLL预测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全球数据中心用电（2025）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约485TWh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IEA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全球数据中心用电（2030E）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约950TWh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IEA预测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全球16市场空置率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6.7%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CBRE 2026Q1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四大Hyperscaler capex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约6900亿-7200亿美元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2026当前口径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Digital Realty现有/在建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3.024GW / 1.169GW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2026Q1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ERCOT大负荷申请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约410GW，87%数据中心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2026-03-26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PJM容量价格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325美元/MW-day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2028/29交付年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中国智能算力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1590 / 1880 EFLOPS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2025末 / 2026Q1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Microsoft WUE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0.27L/kWh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2025平均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GB300 NVL72功率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135kW TDP / 155kW峰值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Lenovo官方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AI液冷渗透率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14%→33%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2024→2025，AI部署口径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1GW AI园区CapEx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约380亿美元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color w:val="000000"/>
                <w:sz w:val="15"/>
              </w:rPr>
              <w:t>Epoch AI模型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00" w:after="100"/>
      </w:pPr>
      <w:r>
        <w:rPr>
          <w:rFonts w:ascii="Arial" w:hAnsi="Arial" w:eastAsia="Noto Sans CJK SC"/>
          <w:b/>
          <w:i w:val="0"/>
          <w:color w:val="0F5D6A"/>
          <w:sz w:val="36"/>
        </w:rPr>
        <w:t>附录 B：主要信源（按章节）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市场总览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JLL 2026 Global Data Center Outlook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CBRE Global Data Center Trends 2026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Cushman &amp; Wakefield APAC / India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McKinsey - The future of AI workloads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谁在建 / 谁在用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Microsoft FY26 Q3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Digital Realty Q1 2026 Supplement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Equinix Q1 2026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Epoch AI Stargate Tracker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NVIDIA / AMD / Anthropic / Lambda / OpenAI公司公告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电与政策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IEA Energy and AI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ERCOT Large Load Update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PJM Capacity Auction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AEP Ohio Data Center Tariff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Virginia Code / Texas SB6 / EU法规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产品与散热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Lenovo GB300 NVL72 Guide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NVIDIA Vera Rubin / 800VDC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AMD Helios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Amazon Trainium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Microsoft Maia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TrendForce Liquid Cooling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Mordor / Grand View</w:t>
      </w:r>
    </w:p>
    <w:p>
      <w:pPr>
        <w:pStyle w:val="Heading2"/>
        <w:keepNext/>
        <w:spacing w:before="100" w:after="60"/>
      </w:pPr>
      <w:r>
        <w:rPr>
          <w:rFonts w:ascii="Arial" w:hAnsi="Arial" w:eastAsia="Noto Sans CJK SC"/>
          <w:b/>
          <w:i w:val="0"/>
          <w:color w:val="222222"/>
          <w:sz w:val="25"/>
        </w:rPr>
        <w:t>中国与资本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国家数据局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GDS Q1 2026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VNET Q1 2026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Bain/Chindata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Blackstone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Brookfield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MGX</w:t>
      </w:r>
    </w:p>
    <w:p>
      <w:pPr>
        <w:spacing w:after="50" w:line="259" w:lineRule="auto"/>
        <w:ind w:left="255" w:hanging="142"/>
      </w:pPr>
      <w:r>
        <w:rPr>
          <w:rFonts w:ascii="Arial" w:hAnsi="Arial" w:eastAsia="Noto Sans CJK SC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Noto Sans CJK SC"/>
          <w:b w:val="0"/>
          <w:i w:val="0"/>
          <w:color w:val="000000"/>
          <w:sz w:val="16"/>
        </w:rPr>
        <w:t>PIF/Aramco</w:t>
      </w:r>
    </w:p>
    <w:p>
      <w:pPr>
        <w:spacing w:before="0" w:after="60" w:line="240" w:lineRule="auto"/>
      </w:pPr>
      <w:r>
        <w:rPr>
          <w:rFonts w:ascii="Arial" w:hAnsi="Arial" w:eastAsia="Noto Sans CJK SC"/>
          <w:b w:val="0"/>
          <w:i w:val="0"/>
          <w:color w:val="6F6F6F"/>
          <w:sz w:val="14"/>
        </w:rPr>
        <w:t>配套Excel：《全球数据中心行业_项目状态与玩家清单_v0.2_信源追溯版_2026-07-23.xlsx》，含项目状态、玩家清单、口径字典、49项审计、资本所有权、任务完成度和1GW成本桥。</w:t>
      </w:r>
    </w:p>
    <w:p>
      <w:pPr>
        <w:spacing w:before="60" w:after="40"/>
      </w:pPr>
      <w:r>
        <w:rPr>
          <w:rFonts w:ascii="Arial" w:hAnsi="Arial" w:eastAsia="Noto Sans CJK SC"/>
          <w:b/>
          <w:color w:val="222222"/>
          <w:sz w:val="23"/>
        </w:rPr>
        <w:t>主要原文链接</w:t>
      </w:r>
    </w:p>
    <w:p>
      <w:pPr>
        <w:pStyle w:val="ListBullet"/>
        <w:spacing w:after="0"/>
      </w:pPr>
      <w:hyperlink r:id="rId16">
        <w:r>
          <w:rPr>
            <w:color w:val="0563C1"/>
            <w:u w:val="single"/>
            <w:sz w:val="14"/>
            <w:rFonts w:ascii="Arial" w:hAnsi="Arial" w:eastAsia="Noto Sans CJK SC"/>
          </w:rPr>
          <w:t>PJM Newsroom</w:t>
        </w:r>
      </w:hyperlink>
    </w:p>
    <w:p>
      <w:pPr>
        <w:pStyle w:val="ListBullet"/>
        <w:spacing w:after="0"/>
      </w:pPr>
      <w:hyperlink r:id="rId17">
        <w:r>
          <w:rPr>
            <w:color w:val="0563C1"/>
            <w:u w:val="single"/>
            <w:sz w:val="14"/>
            <w:rFonts w:ascii="Arial" w:hAnsi="Arial" w:eastAsia="Noto Sans CJK SC"/>
          </w:rPr>
          <w:t>DOE Transformer Webinar</w:t>
        </w:r>
      </w:hyperlink>
    </w:p>
    <w:p>
      <w:pPr>
        <w:pStyle w:val="ListBullet"/>
        <w:spacing w:after="0"/>
      </w:pPr>
      <w:hyperlink r:id="rId18">
        <w:r>
          <w:rPr>
            <w:color w:val="0563C1"/>
            <w:u w:val="single"/>
            <w:sz w:val="14"/>
            <w:rFonts w:ascii="Arial" w:hAnsi="Arial" w:eastAsia="Noto Sans CJK SC"/>
          </w:rPr>
          <w:t>GE Vernova Q2 2026</w:t>
        </w:r>
      </w:hyperlink>
    </w:p>
    <w:p>
      <w:pPr>
        <w:pStyle w:val="ListBullet"/>
        <w:spacing w:after="0"/>
      </w:pPr>
      <w:hyperlink r:id="rId19">
        <w:r>
          <w:rPr>
            <w:color w:val="0563C1"/>
            <w:u w:val="single"/>
            <w:sz w:val="14"/>
            <w:rFonts w:ascii="Arial" w:hAnsi="Arial" w:eastAsia="Noto Sans CJK SC"/>
          </w:rPr>
          <w:t>Siemens Energy Q2 FY2026</w:t>
        </w:r>
      </w:hyperlink>
    </w:p>
    <w:p>
      <w:pPr>
        <w:pStyle w:val="ListBullet"/>
        <w:spacing w:after="0"/>
      </w:pPr>
      <w:hyperlink r:id="rId20">
        <w:r>
          <w:rPr>
            <w:color w:val="0563C1"/>
            <w:u w:val="single"/>
            <w:sz w:val="14"/>
            <w:rFonts w:ascii="Arial" w:hAnsi="Arial" w:eastAsia="Noto Sans CJK SC"/>
          </w:rPr>
          <w:t>Dell'Oro AI Networking</w:t>
        </w:r>
      </w:hyperlink>
    </w:p>
    <w:p>
      <w:pPr>
        <w:pStyle w:val="ListBullet"/>
        <w:spacing w:after="0"/>
      </w:pPr>
      <w:hyperlink r:id="rId21">
        <w:r>
          <w:rPr>
            <w:color w:val="0563C1"/>
            <w:u w:val="single"/>
            <w:sz w:val="14"/>
            <w:rFonts w:ascii="Arial" w:hAnsi="Arial" w:eastAsia="Noto Sans CJK SC"/>
          </w:rPr>
          <w:t>Virginia SCC GS-5</w:t>
        </w:r>
      </w:hyperlink>
    </w:p>
    <w:p>
      <w:pPr>
        <w:pStyle w:val="ListBullet"/>
        <w:spacing w:after="0"/>
      </w:pPr>
      <w:hyperlink r:id="rId22">
        <w:r>
          <w:rPr>
            <w:color w:val="0563C1"/>
            <w:u w:val="single"/>
            <w:sz w:val="14"/>
            <w:rFonts w:ascii="Arial" w:hAnsi="Arial" w:eastAsia="Noto Sans CJK SC"/>
          </w:rPr>
          <w:t>3M PFAS Exit</w:t>
        </w:r>
      </w:hyperlink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https://www.jll.com/en-us/insights/market-outlook/data-center-outlook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https://www.cbre.com/insights/reports/global-data-center-trends-2026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https://www.cushmanwakefield.com/en/singapore/news/2026/03/apac-data-centre-development-pipeline-hits-record-in-2025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https://www.mckinsey.com/featured-insights/week-in-charts/the-future-of-ai-workloads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https://www.iea.org/reports/key-questions-on-energy-and-ai/executive-summary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https://epoch.ai/publications/openai-stargate-where-the-us-sites-stand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https://investor.digitalrealty.com/static-files/953419cb-91ee-4485-8017-26ee0b29bb2a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https://www.microsoft.com/en-us/investor/events/fy-2026/earnings-fy-2026-q3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https://www.ercot.com/files/docs/2026/04/09/ERCOTLargeLoadUpdate-April9HouseStateAffairsHearing.pdf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https://blogs.nvidia.com/blog/gigawatt-ai-factories-ocp-vera-rubin/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https://www.amd.com/en/products/rackscale-solutions/helios.html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https://ir.aboutamazon.com/news-release/news-release-details/2026/Amazon-com-Announces-Fourth-Quarter-Results/default.aspx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https://investors.gds-services.com/news-releases/news-release-details/gds-holdings-limited-reports-first-quarter-2026-results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https://ir.vnet.com/news-releases/news-release-details/vnet-reports-unaudited-first-quarter-2026-financial-results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https://www.blackstone.com/insights/article/2026-mid-year-investment-perspectives/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https://www.aramco.com/en/news-media/news/2025/pif-and-aramco-agree-for-aramco-to-acquire-a-significant-minority-stake-in-humain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https://blogs.microsoft.com/blog/2026/06/24/inside-microsofts-two-decade-push-to-cut-water-intensity-while-scaling-for-growth/</w:t>
      </w:r>
    </w:p>
    <w:p>
      <w:pPr>
        <w:spacing w:after="0"/>
        <w:ind w:left="200" w:hanging="120"/>
      </w:pPr>
      <w:r>
        <w:rPr>
          <w:rFonts w:ascii="Arial" w:hAnsi="Arial" w:eastAsia="Noto Sans CJK SC"/>
          <w:b w:val="0"/>
          <w:color w:val="6F6F6F"/>
          <w:sz w:val="13"/>
        </w:rPr>
        <w:t>• https://www.trendforce.com/presscenter/news/20250821-12682.html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i w:val="0"/>
          <w:color w:val="0F5D6A"/>
          <w:sz w:val="30"/>
        </w:rPr>
        <w:t>附录 C：文章对比与上游信源追溯</w:t>
      </w:r>
    </w:p>
    <w:p>
      <w:r>
        <w:rPr>
          <w:rFonts w:ascii="Arial" w:hAnsi="Arial" w:eastAsia="Noto Sans CJK SC"/>
          <w:b w:val="0"/>
          <w:i w:val="0"/>
          <w:sz w:val="17"/>
        </w:rPr>
        <w:t>本附录把报告中使用过的媒体、行业文章和新闻稿与公司、监管机构、政府部门或研究机构原文逐项对比。如二手文章与上游原文一致，保留数字但替换主引用；如存在时点或口径差异，则按最新原文修正。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1984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i w:val="0"/>
                <w:sz w:val="14"/>
              </w:rPr>
              <w:t>报告主张</w:t>
            </w:r>
          </w:p>
        </w:tc>
        <w:tc>
          <w:tcPr>
            <w:tcW w:type="dxa" w:w="2211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i w:val="0"/>
                <w:sz w:val="14"/>
              </w:rPr>
              <w:t>文章/二手来源</w:t>
            </w:r>
          </w:p>
        </w:tc>
        <w:tc>
          <w:tcPr>
            <w:tcW w:type="dxa" w:w="2891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i w:val="0"/>
                <w:sz w:val="14"/>
              </w:rPr>
              <w:t>上游原始来源</w:t>
            </w:r>
          </w:p>
        </w:tc>
        <w:tc>
          <w:tcPr>
            <w:tcW w:type="dxa" w:w="2268"/>
            <w:vAlign w:val="center"/>
            <w:shd w:fill="DCE8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i w:val="0"/>
                <w:sz w:val="14"/>
              </w:rPr>
              <w:t>对比结论与修改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PJM容量拍卖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PR Newswire/行业转述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PJM Newsroom官方稿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数字一致；主引用改为PJM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AI网络份额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SDxCentral转述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Dell’Oro Group原始新闻稿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两者一致；直接引用Dell’Oro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变压器交期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Build.inc 24-48个月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DOE 2026工作组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改为配电1-2年、大型3-4年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燃机订单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GE Q1 100GW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GE Vernova Q2 116GW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更新时点；年末目标≥125GW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Siemens backlog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Q1 1460亿欧元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Q2 1540亿欧元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更新时点；注明集团总量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HUMAIN目标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媒体6.6GW/$77B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NVIDIA GTC约6GW；PIF未披露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降级为管理层目标并列差异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PFAS退出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行业文章“3M退出”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3M官网及SEC文件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退出自身制造，但第三方PFAS可能继续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Virginia大负荷费率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政策媒体报道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Virginia SCC官方Q&amp;A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4"/>
              </w:rPr>
              <w:t>核心条款一致，改引SCC</w:t>
            </w:r>
          </w:p>
        </w:tc>
      </w:tr>
    </w:tbl>
    <w:p>
      <w:pPr>
        <w:spacing w:before="60" w:after="40"/>
      </w:pPr>
      <w:r>
        <w:rPr>
          <w:rFonts w:ascii="Arial" w:hAnsi="Arial" w:eastAsia="Noto Sans CJK SC"/>
          <w:b/>
          <w:i w:val="0"/>
          <w:color w:val="26734D"/>
          <w:sz w:val="16"/>
        </w:rPr>
        <w:t>完整18条追溯链及URL见配套Excel“信源追溯链”工作表。</w:t>
      </w:r>
    </w:p>
    <w:p>
      <w:pPr>
        <w:spacing w:after="40"/>
      </w:pPr>
      <w:r>
        <w:rPr>
          <w:rFonts w:ascii="Arial" w:hAnsi="Arial" w:eastAsia="Noto Sans CJK SC"/>
          <w:b/>
          <w:i w:val="0"/>
          <w:color w:val="666666"/>
          <w:sz w:val="14"/>
        </w:rPr>
        <w:t>上游原文：</w:t>
      </w:r>
      <w:hyperlink r:id="rId17">
        <w:r>
          <w:rPr>
            <w:color w:val="0563C1"/>
            <w:u w:val="single"/>
            <w:sz w:val="14"/>
            <w:rFonts w:ascii="Arial" w:hAnsi="Arial" w:eastAsia="Noto Sans CJK SC"/>
          </w:rPr>
          <w:t>DOE变压器工作组</w:t>
        </w:r>
      </w:hyperlink>
      <w:r>
        <w:rPr>
          <w:rFonts w:ascii="Arial" w:hAnsi="Arial" w:eastAsia="Noto Sans CJK SC"/>
          <w:b w:val="0"/>
          <w:i w:val="0"/>
          <w:color w:val="666666"/>
          <w:sz w:val="14"/>
        </w:rPr>
        <w:t>；</w:t>
      </w:r>
      <w:hyperlink r:id="rId18">
        <w:r>
          <w:rPr>
            <w:color w:val="0563C1"/>
            <w:u w:val="single"/>
            <w:sz w:val="14"/>
            <w:rFonts w:ascii="Arial" w:hAnsi="Arial" w:eastAsia="Noto Sans CJK SC"/>
          </w:rPr>
          <w:t>GE Vernova Q2</w:t>
        </w:r>
      </w:hyperlink>
      <w:r>
        <w:rPr>
          <w:rFonts w:ascii="Arial" w:hAnsi="Arial" w:eastAsia="Noto Sans CJK SC"/>
          <w:b w:val="0"/>
          <w:i w:val="0"/>
          <w:color w:val="666666"/>
          <w:sz w:val="14"/>
        </w:rPr>
        <w:t>；</w:t>
      </w:r>
      <w:hyperlink r:id="rId19">
        <w:r>
          <w:rPr>
            <w:color w:val="0563C1"/>
            <w:u w:val="single"/>
            <w:sz w:val="14"/>
            <w:rFonts w:ascii="Arial" w:hAnsi="Arial" w:eastAsia="Noto Sans CJK SC"/>
          </w:rPr>
          <w:t>Siemens Energy Q2</w:t>
        </w:r>
      </w:hyperlink>
      <w:r>
        <w:rPr>
          <w:rFonts w:ascii="Arial" w:hAnsi="Arial" w:eastAsia="Noto Sans CJK SC"/>
          <w:b w:val="0"/>
          <w:i w:val="0"/>
          <w:color w:val="666666"/>
          <w:sz w:val="14"/>
        </w:rPr>
        <w:t>；</w:t>
      </w:r>
      <w:hyperlink r:id="rId20">
        <w:r>
          <w:rPr>
            <w:color w:val="0563C1"/>
            <w:u w:val="single"/>
            <w:sz w:val="14"/>
            <w:rFonts w:ascii="Arial" w:hAnsi="Arial" w:eastAsia="Noto Sans CJK SC"/>
          </w:rPr>
          <w:t>Dell'Oro原始稿</w:t>
        </w:r>
      </w:hyperlink>
      <w:r>
        <w:rPr>
          <w:rFonts w:ascii="Arial" w:hAnsi="Arial" w:eastAsia="Noto Sans CJK SC"/>
          <w:b w:val="0"/>
          <w:i w:val="0"/>
          <w:color w:val="666666"/>
          <w:sz w:val="14"/>
        </w:rPr>
        <w:t>；</w:t>
      </w:r>
      <w:hyperlink r:id="rId21">
        <w:r>
          <w:rPr>
            <w:color w:val="0563C1"/>
            <w:u w:val="single"/>
            <w:sz w:val="14"/>
            <w:rFonts w:ascii="Arial" w:hAnsi="Arial" w:eastAsia="Noto Sans CJK SC"/>
          </w:rPr>
          <w:t>Virginia SCC</w:t>
        </w:r>
      </w:hyperlink>
      <w:r>
        <w:rPr>
          <w:rFonts w:ascii="Arial" w:hAnsi="Arial" w:eastAsia="Noto Sans CJK SC"/>
          <w:b w:val="0"/>
          <w:i w:val="0"/>
          <w:color w:val="666666"/>
          <w:sz w:val="14"/>
        </w:rPr>
        <w:t>；</w:t>
      </w:r>
      <w:hyperlink r:id="rId22">
        <w:r>
          <w:rPr>
            <w:color w:val="0563C1"/>
            <w:u w:val="single"/>
            <w:sz w:val="14"/>
            <w:rFonts w:ascii="Arial" w:hAnsi="Arial" w:eastAsia="Noto Sans CJK SC"/>
          </w:rPr>
          <w:t>3M PFAS</w:t>
        </w:r>
      </w:hyperlink>
    </w:p>
    <w:sectPr w:rsidR="00FC693F" w:rsidRPr="0006063C" w:rsidSect="00034616">
      <w:footerReference w:type="default" r:id="rId9"/>
      <w:pgSz w:w="11906" w:h="16838"/>
      <w:pgMar w:top="765" w:right="765" w:bottom="680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i w:val="0"/>
        <w:color w:val="6F6F6F"/>
        <w:sz w:val="1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www.pjm.com/about-pjm/newsroom" TargetMode="External"/><Relationship Id="rId17" Type="http://schemas.openxmlformats.org/officeDocument/2006/relationships/hyperlink" Target="https://www.energy.gov/oe/distribution-transformer-webinar-text-alternative" TargetMode="External"/><Relationship Id="rId18" Type="http://schemas.openxmlformats.org/officeDocument/2006/relationships/hyperlink" Target="https://www.gevernova.com/news/press-releases/ge-vernova-reports-second-quarter-2026-financial-results-raises-2026-financial" TargetMode="External"/><Relationship Id="rId19" Type="http://schemas.openxmlformats.org/officeDocument/2006/relationships/hyperlink" Target="https://www.siemens-energy.com/global/en/home/press-releases/earnings-release-q2-fy-2026.html" TargetMode="External"/><Relationship Id="rId20" Type="http://schemas.openxmlformats.org/officeDocument/2006/relationships/hyperlink" Target="https://www.prnewswire.com/news-releases/ethernet-extends-lead-in-ai-scale-out-networks-despite-strong-infiniband-rebound-according-to-delloro-group-302788112.html" TargetMode="External"/><Relationship Id="rId21" Type="http://schemas.openxmlformats.org/officeDocument/2006/relationships/hyperlink" Target="https://www.scc.virginia.gov/about-the-scc/scc-facts/" TargetMode="External"/><Relationship Id="rId22" Type="http://schemas.openxmlformats.org/officeDocument/2006/relationships/hyperlink" Target="https://www.3m.com/3M/en_US/pfas-stewardship/uses-applic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全球数据中心行业现状｜参考初稿版式 v0.2 信源追溯版</dc:title>
  <dc:subject>全球数据中心行业研究：文章对比与上游信源追溯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