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F72E53" w14:textId="77777777" w:rsidR="007B5C49" w:rsidRDefault="00000000">
      <w:pPr>
        <w:spacing w:after="720"/>
        <w:jc w:val="center"/>
      </w:pPr>
      <w:r>
        <w:rPr>
          <w:b/>
          <w:color w:val="1F4E79"/>
          <w:sz w:val="20"/>
        </w:rPr>
        <w:t>GLOBAL DATA CENTER RESEARCH</w:t>
      </w:r>
    </w:p>
    <w:p w14:paraId="5AB8F13B" w14:textId="77777777" w:rsidR="007B5C49" w:rsidRDefault="00000000">
      <w:pPr>
        <w:spacing w:after="160"/>
        <w:jc w:val="center"/>
      </w:pPr>
      <w:r>
        <w:rPr>
          <w:b/>
          <w:color w:val="17365D"/>
          <w:sz w:val="50"/>
        </w:rPr>
        <w:t>全球数据中心行业深度研究</w:t>
      </w:r>
    </w:p>
    <w:p w14:paraId="040B3E6D" w14:textId="77777777" w:rsidR="007B5C49" w:rsidRDefault="00000000">
      <w:pPr>
        <w:spacing w:after="360"/>
        <w:jc w:val="center"/>
      </w:pPr>
      <w:r>
        <w:rPr>
          <w:b/>
          <w:color w:val="1F4E79"/>
          <w:sz w:val="34"/>
        </w:rPr>
        <w:t>Q&amp;A总报告｜Q1—Q35</w:t>
      </w:r>
    </w:p>
    <w:p w14:paraId="3E6694D8" w14:textId="77777777" w:rsidR="007B5C49" w:rsidRDefault="00000000">
      <w:pPr>
        <w:spacing w:after="680"/>
        <w:jc w:val="center"/>
      </w:pPr>
      <w:r>
        <w:rPr>
          <w:color w:val="666666"/>
        </w:rPr>
        <w:t>Market · Supply · Demand · Power · Siting · Equipment · Cooling · Scenarios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7C91FE95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0068F39F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报告范围</w:t>
            </w:r>
          </w:p>
          <w:p w14:paraId="5556C35F" w14:textId="77777777" w:rsidR="007B5C49" w:rsidRDefault="00000000">
            <w:pPr>
              <w:spacing w:after="0" w:line="288" w:lineRule="auto"/>
            </w:pPr>
            <w:r>
              <w:t>汇总八批研究成果，共35个问题；保留原有问题分解、核心答案、详细支撑、推导链条与来源。各批封面、阶段性结语及下一批范围已移除。</w:t>
            </w:r>
          </w:p>
        </w:tc>
      </w:tr>
    </w:tbl>
    <w:p w14:paraId="07E09803" w14:textId="77777777" w:rsidR="007B5C49" w:rsidRDefault="007B5C49">
      <w:pPr>
        <w:spacing w:after="40"/>
      </w:pPr>
    </w:p>
    <w:p w14:paraId="4E34648F" w14:textId="77777777" w:rsidR="007B5C49" w:rsidRDefault="00000000">
      <w:pPr>
        <w:spacing w:after="160"/>
      </w:pPr>
      <w:r>
        <w:rPr>
          <w:b/>
          <w:color w:val="17365D"/>
          <w:sz w:val="24"/>
        </w:rPr>
        <w:t>统一阅读口径</w:t>
      </w:r>
    </w:p>
    <w:p w14:paraId="4B02A800" w14:textId="77777777" w:rsidR="007B5C49" w:rsidRDefault="00000000">
      <w:pPr>
        <w:pStyle w:val="ListBullet"/>
        <w:spacing w:after="80" w:line="288" w:lineRule="auto"/>
        <w:ind w:left="403" w:hanging="259"/>
      </w:pPr>
      <w:r>
        <w:t>明确区分规划、签约、在建、通电、投运和有效利用等项目状态。</w:t>
      </w:r>
    </w:p>
    <w:p w14:paraId="3FF3F0FA" w14:textId="77777777" w:rsidR="007B5C49" w:rsidRDefault="00000000">
      <w:pPr>
        <w:pStyle w:val="ListBullet"/>
        <w:spacing w:after="80" w:line="288" w:lineRule="auto"/>
        <w:ind w:left="403" w:hanging="259"/>
      </w:pPr>
      <w:r>
        <w:t>不同机构的MW/GW、TWh、芯片数量、资本开支和合同金额不直接混加。</w:t>
      </w:r>
    </w:p>
    <w:p w14:paraId="0C706CA8" w14:textId="77777777" w:rsidR="007B5C49" w:rsidRDefault="00000000">
      <w:pPr>
        <w:pStyle w:val="ListBullet"/>
        <w:spacing w:after="80" w:line="288" w:lineRule="auto"/>
        <w:ind w:left="403" w:hanging="259"/>
      </w:pPr>
      <w:r>
        <w:t>公司公告与第三方研究分别标注；推算数字保留假设与边界。</w:t>
      </w:r>
    </w:p>
    <w:p w14:paraId="50052799" w14:textId="77777777" w:rsidR="007B5C49" w:rsidRDefault="00000000">
      <w:pPr>
        <w:pStyle w:val="ListBullet"/>
        <w:spacing w:after="80" w:line="288" w:lineRule="auto"/>
        <w:ind w:left="403" w:hanging="259"/>
      </w:pPr>
      <w:r>
        <w:t>每题延续“通俗问题—主要研究—研究方向—核心答案—详细支撑—来源”的统一结构。</w:t>
      </w:r>
    </w:p>
    <w:p w14:paraId="70CCE5C1" w14:textId="77777777" w:rsidR="007B5C49" w:rsidRDefault="00000000">
      <w:pPr>
        <w:spacing w:after="0"/>
        <w:jc w:val="center"/>
      </w:pPr>
      <w:r>
        <w:rPr>
          <w:color w:val="666666"/>
          <w:sz w:val="19"/>
        </w:rPr>
        <w:t>内部研究资料｜整合版 v1.0｜2026年8月2日</w:t>
      </w:r>
    </w:p>
    <w:p w14:paraId="7F9720C2" w14:textId="77777777" w:rsidR="007B5C49" w:rsidRDefault="00000000">
      <w:r>
        <w:br w:type="page"/>
      </w:r>
    </w:p>
    <w:p w14:paraId="63D0B839" w14:textId="77777777" w:rsidR="007B5C49" w:rsidRDefault="00000000">
      <w:pPr>
        <w:pStyle w:val="Heading1"/>
      </w:pPr>
      <w:r>
        <w:lastRenderedPageBreak/>
        <w:t>总目录</w:t>
      </w:r>
    </w:p>
    <w:p w14:paraId="59384563" w14:textId="77777777" w:rsidR="007B5C49" w:rsidRDefault="00000000">
      <w:pPr>
        <w:spacing w:after="200"/>
      </w:pPr>
      <w:r>
        <w:rPr>
          <w:color w:val="666666"/>
          <w:sz w:val="19"/>
        </w:rPr>
        <w:t>按问题编号顺序阅读；各题均从新页开始。</w:t>
      </w:r>
    </w:p>
    <w:p w14:paraId="5ECAC945" w14:textId="77777777" w:rsidR="007B5C49" w:rsidRDefault="00000000">
      <w:pPr>
        <w:pStyle w:val="Heading2"/>
      </w:pPr>
      <w:r>
        <w:t>第一部分｜全球市场总体规模</w:t>
      </w:r>
    </w:p>
    <w:p w14:paraId="249841E5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Q1  </w:t>
      </w:r>
      <w:r>
        <w:rPr>
          <w:sz w:val="18"/>
        </w:rPr>
        <w:t>全球数据中心市场到底有多大？</w:t>
      </w:r>
    </w:p>
    <w:p w14:paraId="0024C244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Q2  </w:t>
      </w:r>
      <w:r>
        <w:rPr>
          <w:sz w:val="18"/>
        </w:rPr>
        <w:t>已经运营、正在建设和规划中的容量分别意味着什么？</w:t>
      </w:r>
    </w:p>
    <w:p w14:paraId="1D3D568A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Q3  </w:t>
      </w:r>
      <w:r>
        <w:rPr>
          <w:sz w:val="18"/>
        </w:rPr>
        <w:t>全球核心数据中心市场在哪里？为什么是这些地方？</w:t>
      </w:r>
    </w:p>
    <w:p w14:paraId="552DA993" w14:textId="77777777" w:rsidR="007B5C49" w:rsidRDefault="00000000">
      <w:pPr>
        <w:pStyle w:val="Heading2"/>
      </w:pPr>
      <w:r>
        <w:t>第二部分｜供给侧</w:t>
      </w:r>
    </w:p>
    <w:p w14:paraId="53CF5287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Q4  </w:t>
      </w:r>
      <w:r>
        <w:rPr>
          <w:sz w:val="18"/>
        </w:rPr>
        <w:t>Microsoft、Amazon、Google、Meta为什么要自己建数据中心？</w:t>
      </w:r>
    </w:p>
    <w:p w14:paraId="539DF4FC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Q5  </w:t>
      </w:r>
      <w:r>
        <w:rPr>
          <w:sz w:val="18"/>
        </w:rPr>
        <w:t>大厂为什么自己能建，仍然还要大量租赁？</w:t>
      </w:r>
    </w:p>
    <w:p w14:paraId="6DCC4F9F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Q6  </w:t>
      </w:r>
      <w:r>
        <w:rPr>
          <w:sz w:val="18"/>
        </w:rPr>
        <w:t>专业数据中心开发商和运营商到底分别做什么？</w:t>
      </w:r>
    </w:p>
    <w:p w14:paraId="52176C10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Q7  </w:t>
      </w:r>
      <w:r>
        <w:rPr>
          <w:sz w:val="18"/>
        </w:rPr>
        <w:t>Neocloud是什么？它如何连接GPU、资本和AI客户？</w:t>
      </w:r>
    </w:p>
    <w:p w14:paraId="679991D4" w14:textId="77777777" w:rsidR="007B5C49" w:rsidRDefault="00000000">
      <w:pPr>
        <w:pStyle w:val="Heading2"/>
      </w:pPr>
      <w:r>
        <w:t>第三部分｜需求侧</w:t>
      </w:r>
    </w:p>
    <w:p w14:paraId="097C6110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Q8  </w:t>
      </w:r>
      <w:r>
        <w:rPr>
          <w:sz w:val="18"/>
        </w:rPr>
        <w:t>OpenAI、Anthropic的算力到底从哪里来？</w:t>
      </w:r>
    </w:p>
    <w:p w14:paraId="03A45DA3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Q9  </w:t>
      </w:r>
      <w:r>
        <w:rPr>
          <w:sz w:val="18"/>
        </w:rPr>
        <w:t>AI训练、AI推理、传统云和企业托管分别有多大？</w:t>
      </w:r>
    </w:p>
    <w:p w14:paraId="53A8D9E1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Q10  </w:t>
      </w:r>
      <w:r>
        <w:rPr>
          <w:sz w:val="18"/>
        </w:rPr>
        <w:t>Hyperscaler的数据中心有多少自用、多少对外出租？</w:t>
      </w:r>
    </w:p>
    <w:p w14:paraId="0FBB7843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Q11  </w:t>
      </w:r>
      <w:r>
        <w:rPr>
          <w:sz w:val="18"/>
        </w:rPr>
        <w:t>空置率、预租率和租金说明全球供给有多紧？</w:t>
      </w:r>
    </w:p>
    <w:p w14:paraId="26016EEB" w14:textId="77777777" w:rsidR="007B5C49" w:rsidRDefault="00000000">
      <w:pPr>
        <w:pStyle w:val="Heading2"/>
      </w:pPr>
      <w:r>
        <w:t>第四部分｜电力与并网</w:t>
      </w:r>
    </w:p>
    <w:p w14:paraId="2008F947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Q12  </w:t>
      </w:r>
      <w:r>
        <w:rPr>
          <w:sz w:val="18"/>
        </w:rPr>
        <w:t>数据中心的电到底从哪里来？</w:t>
      </w:r>
    </w:p>
    <w:p w14:paraId="134FCC59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Q13  </w:t>
      </w:r>
      <w:r>
        <w:rPr>
          <w:sz w:val="18"/>
        </w:rPr>
        <w:t>并网、燃机和变压器为什么卡住数据中心交付？</w:t>
      </w:r>
    </w:p>
    <w:p w14:paraId="775F249B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Q14  </w:t>
      </w:r>
      <w:r>
        <w:rPr>
          <w:sz w:val="18"/>
        </w:rPr>
        <w:t>数据中心会不会推高居民电价，成本应该由谁承担？</w:t>
      </w:r>
    </w:p>
    <w:p w14:paraId="180C49F1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Q15  </w:t>
      </w:r>
      <w:r>
        <w:rPr>
          <w:sz w:val="18"/>
        </w:rPr>
        <w:t>为什么time-to-power已经成为第一选址因子？</w:t>
      </w:r>
    </w:p>
    <w:p w14:paraId="2A7D7127" w14:textId="77777777" w:rsidR="007B5C49" w:rsidRDefault="00000000">
      <w:pPr>
        <w:pStyle w:val="Heading2"/>
      </w:pPr>
      <w:r>
        <w:t>第五部分｜土地、选址与政策</w:t>
      </w:r>
    </w:p>
    <w:p w14:paraId="296AAD67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Q16  </w:t>
      </w:r>
      <w:r>
        <w:rPr>
          <w:sz w:val="18"/>
        </w:rPr>
        <w:t>传统数据中心与AI数据中心为什么选址逻辑不同？</w:t>
      </w:r>
    </w:p>
    <w:p w14:paraId="7C8AFFC9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Q17  </w:t>
      </w:r>
      <w:r>
        <w:rPr>
          <w:sz w:val="18"/>
        </w:rPr>
        <w:t>美国税收优惠竞争为什么开始遭遇立法反弹？</w:t>
      </w:r>
    </w:p>
    <w:p w14:paraId="7B83CB23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Q18  </w:t>
      </w:r>
      <w:r>
        <w:rPr>
          <w:sz w:val="18"/>
        </w:rPr>
        <w:t>新加坡、柔佛与欧洲限制如何重塑亚洲和欧洲布局？</w:t>
      </w:r>
    </w:p>
    <w:p w14:paraId="0A14E6FE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Q19  </w:t>
      </w:r>
      <w:r>
        <w:rPr>
          <w:sz w:val="18"/>
        </w:rPr>
        <w:t>中东国家级项目与中国“东数西算”分别靠什么推进？</w:t>
      </w:r>
    </w:p>
    <w:p w14:paraId="5EEE59B1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Q20  </w:t>
      </w:r>
      <w:r>
        <w:rPr>
          <w:sz w:val="18"/>
        </w:rPr>
        <w:t>1GW AI园区大约需要多少土地、资本和水？</w:t>
      </w:r>
    </w:p>
    <w:p w14:paraId="78F3B6B6" w14:textId="77777777" w:rsidR="007B5C49" w:rsidRDefault="00000000">
      <w:pPr>
        <w:pStyle w:val="Heading2"/>
      </w:pPr>
      <w:r>
        <w:t>第六部分｜产品与设备链</w:t>
      </w:r>
    </w:p>
    <w:p w14:paraId="38B55509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Q21  </w:t>
      </w:r>
      <w:r>
        <w:rPr>
          <w:sz w:val="18"/>
        </w:rPr>
        <w:t>NVIDIA GB200/GB300到Vera Rubin，产品到底如何演进？</w:t>
      </w:r>
    </w:p>
    <w:p w14:paraId="1F8C09EC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Q22  </w:t>
      </w:r>
      <w:r>
        <w:rPr>
          <w:sz w:val="18"/>
        </w:rPr>
        <w:t>AMD、TPU、Trainium和自研芯片能否真正分流NVIDIA需求？</w:t>
      </w:r>
    </w:p>
    <w:p w14:paraId="5A65596E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Q23  </w:t>
      </w:r>
      <w:r>
        <w:rPr>
          <w:sz w:val="18"/>
        </w:rPr>
        <w:t>AI机柜为什么从5—10kW跃升到130kW以上？</w:t>
      </w:r>
    </w:p>
    <w:p w14:paraId="7D24C1B9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Q24  </w:t>
      </w:r>
      <w:r>
        <w:rPr>
          <w:sz w:val="18"/>
        </w:rPr>
        <w:t>变压器、发电机、UPS和开关柜谁在供货，真正瓶颈在哪里？</w:t>
      </w:r>
    </w:p>
    <w:p w14:paraId="0628E493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lastRenderedPageBreak/>
        <w:t xml:space="preserve">Q25  </w:t>
      </w:r>
      <w:r>
        <w:rPr>
          <w:sz w:val="18"/>
        </w:rPr>
        <w:t>800VDC、InfiniBand、Ethernet和光互连将如何改变机房？</w:t>
      </w:r>
    </w:p>
    <w:p w14:paraId="69D5935F" w14:textId="77777777" w:rsidR="007B5C49" w:rsidRDefault="00000000">
      <w:pPr>
        <w:pStyle w:val="Heading2"/>
      </w:pPr>
      <w:r>
        <w:t>第七部分｜散热与水系统</w:t>
      </w:r>
    </w:p>
    <w:p w14:paraId="418397A7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Q26  </w:t>
      </w:r>
      <w:r>
        <w:rPr>
          <w:sz w:val="18"/>
        </w:rPr>
        <w:t>风冷、后门换热与冷板液冷应该怎样选择？</w:t>
      </w:r>
    </w:p>
    <w:p w14:paraId="705DA9F9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Q27  </w:t>
      </w:r>
      <w:r>
        <w:rPr>
          <w:sz w:val="18"/>
        </w:rPr>
        <w:t>浸没式液冷会成为AI数据中心主流吗？</w:t>
      </w:r>
    </w:p>
    <w:p w14:paraId="544E9A29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Q28  </w:t>
      </w:r>
      <w:r>
        <w:rPr>
          <w:sz w:val="18"/>
        </w:rPr>
        <w:t>CDU、冷板、管路和设施水路如何组成完整系统？</w:t>
      </w:r>
    </w:p>
    <w:p w14:paraId="667CF587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Q29  </w:t>
      </w:r>
      <w:r>
        <w:rPr>
          <w:sz w:val="18"/>
        </w:rPr>
        <w:t>散热产业链中哪些公司真正供货，谁掌握关键环节？</w:t>
      </w:r>
    </w:p>
    <w:p w14:paraId="62E425B1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Q30  </w:t>
      </w:r>
      <w:r>
        <w:rPr>
          <w:sz w:val="18"/>
        </w:rPr>
        <w:t>不同气候下PUE、WUE、成本与用水应该怎样权衡？</w:t>
      </w:r>
    </w:p>
    <w:p w14:paraId="6586D57C" w14:textId="77777777" w:rsidR="007B5C49" w:rsidRDefault="00000000">
      <w:pPr>
        <w:pStyle w:val="Heading2"/>
      </w:pPr>
      <w:r>
        <w:t>第八部分｜最终瓶颈与</w:t>
      </w:r>
      <w:r>
        <w:t>2030</w:t>
      </w:r>
      <w:r>
        <w:t>情景</w:t>
      </w:r>
    </w:p>
    <w:p w14:paraId="00B8DC41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Q31  </w:t>
      </w:r>
      <w:r>
        <w:rPr>
          <w:sz w:val="18"/>
        </w:rPr>
        <w:t>GPU、电、地、设备、散热、施工和融资，谁先成为瓶颈？</w:t>
      </w:r>
    </w:p>
    <w:p w14:paraId="4EE653CC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Q32  </w:t>
      </w:r>
      <w:r>
        <w:rPr>
          <w:sz w:val="18"/>
        </w:rPr>
        <w:t>美国、欧洲、亚洲、中东和中国的瓶颈为什么不同？</w:t>
      </w:r>
    </w:p>
    <w:p w14:paraId="75299D10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Q33  </w:t>
      </w:r>
      <w:r>
        <w:rPr>
          <w:sz w:val="18"/>
        </w:rPr>
        <w:t>超大资本开支与长期算力合同会产生哪些融资风险？</w:t>
      </w:r>
    </w:p>
    <w:p w14:paraId="587B5FF4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Q34  </w:t>
      </w:r>
      <w:r>
        <w:rPr>
          <w:sz w:val="18"/>
        </w:rPr>
        <w:t>2026—2030基准、乐观与压力情景分别是什么？</w:t>
      </w:r>
    </w:p>
    <w:p w14:paraId="101CF81F" w14:textId="77777777" w:rsidR="007B5C49" w:rsidRDefault="00000000">
      <w:pPr>
        <w:spacing w:after="50" w:line="252" w:lineRule="auto"/>
      </w:pPr>
      <w:r>
        <w:rPr>
          <w:b/>
          <w:color w:val="1F4E79"/>
          <w:sz w:val="18"/>
        </w:rPr>
        <w:t xml:space="preserve">Q35  </w:t>
      </w:r>
      <w:r>
        <w:rPr>
          <w:sz w:val="18"/>
        </w:rPr>
        <w:t>应用哪些指标持续判断行业是短缺、过热还是转向？</w:t>
      </w:r>
    </w:p>
    <w:p w14:paraId="426786FE" w14:textId="77777777" w:rsidR="007B5C49" w:rsidRDefault="00000000">
      <w:r>
        <w:br w:type="page"/>
      </w:r>
    </w:p>
    <w:p w14:paraId="18B28DED" w14:textId="77777777" w:rsidR="007B5C49" w:rsidRDefault="00000000">
      <w:pPr>
        <w:pStyle w:val="Heading1"/>
        <w:pageBreakBefore/>
      </w:pPr>
      <w:r>
        <w:lastRenderedPageBreak/>
        <w:t>Q1</w:t>
      </w:r>
      <w:r>
        <w:t>：全球数据中心市场到底有多大？</w:t>
      </w:r>
    </w:p>
    <w:p w14:paraId="14FB73CC" w14:textId="77777777" w:rsidR="007B5C49" w:rsidRDefault="00000000">
      <w:pPr>
        <w:pStyle w:val="QALabel"/>
      </w:pPr>
      <w:r>
        <w:t>通俗问题</w:t>
      </w:r>
    </w:p>
    <w:p w14:paraId="0D962384" w14:textId="77777777" w:rsidR="007B5C49" w:rsidRDefault="00000000">
      <w:r>
        <w:t>全球到底有多少数据中心？这个行业现在有多大，未来五年还会不会高速增长？</w:t>
      </w:r>
    </w:p>
    <w:p w14:paraId="53DD4097" w14:textId="77777777" w:rsidR="007B5C49" w:rsidRDefault="00000000">
      <w:pPr>
        <w:pStyle w:val="QALabel"/>
      </w:pPr>
      <w:r>
        <w:t>主要研究（专业）</w:t>
      </w:r>
    </w:p>
    <w:p w14:paraId="6A03BF30" w14:textId="77777777" w:rsidR="007B5C49" w:rsidRDefault="00000000">
      <w:r>
        <w:t>全球数据中心IT负载容量、区域分布、增长速度与AI新增需求贡献。研究对象不是“机房数量”，而是可以承载服务器的IT电力容量；建设成本、能源消耗和资本开支分别作为辅助指标。</w:t>
      </w:r>
    </w:p>
    <w:p w14:paraId="2CCA8894" w14:textId="77777777" w:rsidR="007B5C49" w:rsidRDefault="00000000">
      <w:pPr>
        <w:pStyle w:val="QALabel"/>
      </w:pPr>
      <w:r>
        <w:t>研究方向</w:t>
      </w:r>
    </w:p>
    <w:p w14:paraId="70E65E12" w14:textId="77777777" w:rsidR="007B5C49" w:rsidRDefault="00000000">
      <w:pPr>
        <w:pStyle w:val="ListBullet"/>
        <w:spacing w:after="80" w:line="288" w:lineRule="auto"/>
        <w:ind w:left="403" w:hanging="259"/>
      </w:pPr>
      <w:r>
        <w:t>确定2025年全球IT负载容量基准与2030年预测，并拆分美洲、亚太和EMEA。</w:t>
      </w:r>
    </w:p>
    <w:p w14:paraId="50B3BD3E" w14:textId="77777777" w:rsidR="007B5C49" w:rsidRDefault="00000000">
      <w:pPr>
        <w:pStyle w:val="ListBullet"/>
        <w:spacing w:after="80" w:line="288" w:lineRule="auto"/>
        <w:ind w:left="403" w:hanging="259"/>
      </w:pPr>
      <w:r>
        <w:t>区分容量、用电量、建设成本和工作负载需求，避免把不同统计对象拼成一个数字。</w:t>
      </w:r>
    </w:p>
    <w:p w14:paraId="1A6FD229" w14:textId="77777777" w:rsidR="007B5C49" w:rsidRDefault="00000000">
      <w:pPr>
        <w:pStyle w:val="ListBullet"/>
        <w:spacing w:after="80" w:line="288" w:lineRule="auto"/>
        <w:ind w:left="403" w:hanging="259"/>
      </w:pPr>
      <w:r>
        <w:t>判断增长究竟来自传统云迁移、AI训练还是AI推理，并说明预测的不确定性。</w:t>
      </w:r>
    </w:p>
    <w:p w14:paraId="4EDE322E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6B913A3D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3D37ECE5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2587F365" w14:textId="77777777" w:rsidR="007B5C49" w:rsidRDefault="00000000">
            <w:pPr>
              <w:spacing w:after="0" w:line="288" w:lineRule="auto"/>
            </w:pPr>
            <w:r>
              <w:t>全球数据中心已经是约103GW的IT容量市场，JLL预计2030年达到约200GW，即2025—2030年净增97GW、五年接近翻倍；但这不是“200GW都已经建成”，而是包含未来交付预测。AI与超大规模云是增长主因，真正制约增量落地的是电力、并网、设备交付和审批。</w:t>
            </w:r>
          </w:p>
        </w:tc>
      </w:tr>
    </w:tbl>
    <w:p w14:paraId="3D741A1D" w14:textId="77777777" w:rsidR="007B5C49" w:rsidRDefault="007B5C49">
      <w:pPr>
        <w:spacing w:after="40"/>
      </w:pPr>
    </w:p>
    <w:p w14:paraId="2A1AB037" w14:textId="77777777" w:rsidR="007B5C49" w:rsidRDefault="00000000">
      <w:pPr>
        <w:pStyle w:val="QALabel"/>
      </w:pPr>
      <w:r>
        <w:t>详细支撑</w:t>
      </w:r>
    </w:p>
    <w:p w14:paraId="5CE6F41D" w14:textId="77777777" w:rsidR="007B5C49" w:rsidRDefault="00000000">
      <w:pPr>
        <w:pStyle w:val="Heading2"/>
      </w:pPr>
      <w:r>
        <w:t xml:space="preserve">1. </w:t>
      </w:r>
      <w:r>
        <w:t>先把</w:t>
      </w:r>
      <w:r>
        <w:t>“</w:t>
      </w:r>
      <w:r>
        <w:t>市场有多大</w:t>
      </w:r>
      <w:r>
        <w:t>”</w:t>
      </w:r>
      <w:r>
        <w:t>的四种口径分开</w:t>
      </w:r>
    </w:p>
    <w:p w14:paraId="232FD6FA" w14:textId="77777777" w:rsidR="007B5C49" w:rsidRDefault="00000000">
      <w:r>
        <w:t>第一种是IT负载容量，单位MW/GW，表示服务器及IT设备可使用的电力规模，是本报告的主口径。JLL 2026年展望直接给出：全球数据中心容量预计由2025年的约103GW增至2030年的约200GW，新增约97GW，对应约14%的年复合增长率。这个数字最适合回答“行业的物理供给有多大”。</w:t>
      </w:r>
    </w:p>
    <w:p w14:paraId="7D56F182" w14:textId="77777777" w:rsidR="007B5C49" w:rsidRDefault="00000000">
      <w:r>
        <w:t>第二种是电力消费量，单位TWh，表示一年实际使用了多少电。IEA在2026年更新中预计，全球数据中心用电由2025年的约485TWh升至2030年的约950TWh，接近翻倍；AI专用数据中心的用电同期约增至三倍。TWh不能直接除以某个固定小时数就当作IT容量，因为实际负载率、PUE、备用系统和设施用电各不相同。</w:t>
      </w:r>
    </w:p>
    <w:p w14:paraId="0B7C0D61" w14:textId="77777777" w:rsidR="007B5C49" w:rsidRDefault="00000000">
      <w:r>
        <w:t>第三种是建设投资。JLL预计2026—2030年约100GW新增容量需要约1.2万亿美元房地产资产投入，租户侧服务器、网络及其他IT设备还可能再投入1万亿—2万亿美元。JLL同时给出2026年shell &amp; core平均建设成本约1,130万美元/MW。这里的shell &amp; core不等于完整AI集群总成本；GPU、网络、存储和租户装修通常另计。</w:t>
      </w:r>
    </w:p>
    <w:p w14:paraId="3119ED2C" w14:textId="77777777" w:rsidR="007B5C49" w:rsidRDefault="00000000">
      <w:r>
        <w:t>第四种是工作负载需求模型。例如此前底稿引用的McKinsey模型将2025年需求拆为AI训练23.1GW、AI推理20.9GW、非AI云与企业38.3GW，合计82.3GW；2030年分别约62.2GW、93.3GW和63.5GW，合计约219GW。它描述的是工作负载需求模型，不是已经运营的全球数据中心库存，不能拿82.3GW与JLL的103GW直接相减得出“过剩21GW”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1500"/>
        <w:gridCol w:w="1500"/>
        <w:gridCol w:w="4500"/>
      </w:tblGrid>
      <w:tr w:rsidR="007B5C49" w14:paraId="1EAF0817" w14:textId="77777777">
        <w:trPr>
          <w:tblHeader/>
          <w:jc w:val="center"/>
        </w:trPr>
        <w:tc>
          <w:tcPr>
            <w:tcW w:w="2100" w:type="dxa"/>
            <w:shd w:val="clear" w:color="auto" w:fill="D9EAF7"/>
            <w:vAlign w:val="center"/>
          </w:tcPr>
          <w:p w14:paraId="4AAC8DE5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lastRenderedPageBreak/>
              <w:t>指标</w:t>
            </w:r>
          </w:p>
        </w:tc>
        <w:tc>
          <w:tcPr>
            <w:tcW w:w="1500" w:type="dxa"/>
            <w:shd w:val="clear" w:color="auto" w:fill="D9EAF7"/>
            <w:vAlign w:val="center"/>
          </w:tcPr>
          <w:p w14:paraId="58CC6D05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2025/基准</w:t>
            </w:r>
          </w:p>
        </w:tc>
        <w:tc>
          <w:tcPr>
            <w:tcW w:w="1500" w:type="dxa"/>
            <w:shd w:val="clear" w:color="auto" w:fill="D9EAF7"/>
            <w:vAlign w:val="center"/>
          </w:tcPr>
          <w:p w14:paraId="357F490F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2030</w:t>
            </w:r>
          </w:p>
        </w:tc>
        <w:tc>
          <w:tcPr>
            <w:tcW w:w="4500" w:type="dxa"/>
            <w:shd w:val="clear" w:color="auto" w:fill="D9EAF7"/>
            <w:vAlign w:val="center"/>
          </w:tcPr>
          <w:p w14:paraId="6F22A208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含义与限制</w:t>
            </w:r>
          </w:p>
        </w:tc>
      </w:tr>
      <w:tr w:rsidR="007B5C49" w14:paraId="65502531" w14:textId="77777777">
        <w:trPr>
          <w:jc w:val="center"/>
        </w:trPr>
        <w:tc>
          <w:tcPr>
            <w:tcW w:w="2100" w:type="dxa"/>
            <w:vAlign w:val="center"/>
          </w:tcPr>
          <w:p w14:paraId="3BD62582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全球IT容量（JLL）</w:t>
            </w:r>
          </w:p>
        </w:tc>
        <w:tc>
          <w:tcPr>
            <w:tcW w:w="1500" w:type="dxa"/>
            <w:vAlign w:val="center"/>
          </w:tcPr>
          <w:p w14:paraId="2169CD30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约103GW</w:t>
            </w:r>
          </w:p>
        </w:tc>
        <w:tc>
          <w:tcPr>
            <w:tcW w:w="1500" w:type="dxa"/>
            <w:vAlign w:val="center"/>
          </w:tcPr>
          <w:p w14:paraId="72F15F8F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约200GW</w:t>
            </w:r>
          </w:p>
        </w:tc>
        <w:tc>
          <w:tcPr>
            <w:tcW w:w="4500" w:type="dxa"/>
            <w:vAlign w:val="center"/>
          </w:tcPr>
          <w:p w14:paraId="30EBE8D6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供给容量预测；2025—2030新增97GW</w:t>
            </w:r>
          </w:p>
        </w:tc>
      </w:tr>
      <w:tr w:rsidR="007B5C49" w14:paraId="2610F3FC" w14:textId="77777777">
        <w:trPr>
          <w:jc w:val="center"/>
        </w:trPr>
        <w:tc>
          <w:tcPr>
            <w:tcW w:w="2100" w:type="dxa"/>
            <w:vAlign w:val="center"/>
          </w:tcPr>
          <w:p w14:paraId="4EAFC5A1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全球用电（IEA）</w:t>
            </w:r>
          </w:p>
        </w:tc>
        <w:tc>
          <w:tcPr>
            <w:tcW w:w="1500" w:type="dxa"/>
            <w:vAlign w:val="center"/>
          </w:tcPr>
          <w:p w14:paraId="483DA2DB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约485TWh</w:t>
            </w:r>
          </w:p>
        </w:tc>
        <w:tc>
          <w:tcPr>
            <w:tcW w:w="1500" w:type="dxa"/>
            <w:vAlign w:val="center"/>
          </w:tcPr>
          <w:p w14:paraId="7F9D7E93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约950TWh</w:t>
            </w:r>
          </w:p>
        </w:tc>
        <w:tc>
          <w:tcPr>
            <w:tcW w:w="4500" w:type="dxa"/>
            <w:vAlign w:val="center"/>
          </w:tcPr>
          <w:p w14:paraId="580DD77E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年度电量，不等于IT负载容量</w:t>
            </w:r>
          </w:p>
        </w:tc>
      </w:tr>
      <w:tr w:rsidR="007B5C49" w14:paraId="7F20CD90" w14:textId="77777777">
        <w:trPr>
          <w:jc w:val="center"/>
        </w:trPr>
        <w:tc>
          <w:tcPr>
            <w:tcW w:w="2100" w:type="dxa"/>
            <w:vAlign w:val="center"/>
          </w:tcPr>
          <w:p w14:paraId="736CE402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AI训练需求模型</w:t>
            </w:r>
          </w:p>
        </w:tc>
        <w:tc>
          <w:tcPr>
            <w:tcW w:w="1500" w:type="dxa"/>
            <w:vAlign w:val="center"/>
          </w:tcPr>
          <w:p w14:paraId="33741C49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23.1GW</w:t>
            </w:r>
          </w:p>
        </w:tc>
        <w:tc>
          <w:tcPr>
            <w:tcW w:w="1500" w:type="dxa"/>
            <w:vAlign w:val="center"/>
          </w:tcPr>
          <w:p w14:paraId="086DE43B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62.2GW</w:t>
            </w:r>
          </w:p>
        </w:tc>
        <w:tc>
          <w:tcPr>
            <w:tcW w:w="4500" w:type="dxa"/>
            <w:vAlign w:val="center"/>
          </w:tcPr>
          <w:p w14:paraId="7AD95863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集中式训练负载；模型值</w:t>
            </w:r>
          </w:p>
        </w:tc>
      </w:tr>
      <w:tr w:rsidR="007B5C49" w14:paraId="79177721" w14:textId="77777777">
        <w:trPr>
          <w:jc w:val="center"/>
        </w:trPr>
        <w:tc>
          <w:tcPr>
            <w:tcW w:w="2100" w:type="dxa"/>
            <w:vAlign w:val="center"/>
          </w:tcPr>
          <w:p w14:paraId="287B1A67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AI推理需求模型</w:t>
            </w:r>
          </w:p>
        </w:tc>
        <w:tc>
          <w:tcPr>
            <w:tcW w:w="1500" w:type="dxa"/>
            <w:vAlign w:val="center"/>
          </w:tcPr>
          <w:p w14:paraId="15B0BC75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20.9GW</w:t>
            </w:r>
          </w:p>
        </w:tc>
        <w:tc>
          <w:tcPr>
            <w:tcW w:w="1500" w:type="dxa"/>
            <w:vAlign w:val="center"/>
          </w:tcPr>
          <w:p w14:paraId="383AA294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93.3GW</w:t>
            </w:r>
          </w:p>
        </w:tc>
        <w:tc>
          <w:tcPr>
            <w:tcW w:w="4500" w:type="dxa"/>
            <w:vAlign w:val="center"/>
          </w:tcPr>
          <w:p w14:paraId="3C7BEBF2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增长更快，更多靠近用户和数据</w:t>
            </w:r>
          </w:p>
        </w:tc>
      </w:tr>
      <w:tr w:rsidR="007B5C49" w14:paraId="513CE5F9" w14:textId="77777777">
        <w:trPr>
          <w:jc w:val="center"/>
        </w:trPr>
        <w:tc>
          <w:tcPr>
            <w:tcW w:w="2100" w:type="dxa"/>
            <w:vAlign w:val="center"/>
          </w:tcPr>
          <w:p w14:paraId="1442337D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非AI云+企业需求</w:t>
            </w:r>
          </w:p>
        </w:tc>
        <w:tc>
          <w:tcPr>
            <w:tcW w:w="1500" w:type="dxa"/>
            <w:vAlign w:val="center"/>
          </w:tcPr>
          <w:p w14:paraId="4ABDF7AF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38.3GW</w:t>
            </w:r>
          </w:p>
        </w:tc>
        <w:tc>
          <w:tcPr>
            <w:tcW w:w="1500" w:type="dxa"/>
            <w:vAlign w:val="center"/>
          </w:tcPr>
          <w:p w14:paraId="74D3D408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63.5GW</w:t>
            </w:r>
          </w:p>
        </w:tc>
        <w:tc>
          <w:tcPr>
            <w:tcW w:w="4500" w:type="dxa"/>
            <w:vAlign w:val="center"/>
          </w:tcPr>
          <w:p w14:paraId="7D7A207A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传统云与企业托管仍是稳定底盘</w:t>
            </w:r>
          </w:p>
        </w:tc>
      </w:tr>
    </w:tbl>
    <w:p w14:paraId="284F72D3" w14:textId="77777777" w:rsidR="007B5C49" w:rsidRDefault="007B5C49">
      <w:pPr>
        <w:spacing w:after="40"/>
      </w:pPr>
    </w:p>
    <w:p w14:paraId="0AF4DBAD" w14:textId="77777777" w:rsidR="007B5C49" w:rsidRDefault="00000000">
      <w:pPr>
        <w:pStyle w:val="Heading2"/>
      </w:pPr>
      <w:r>
        <w:t xml:space="preserve">2. </w:t>
      </w:r>
      <w:r>
        <w:t>区域增长不是平均发生</w:t>
      </w:r>
    </w:p>
    <w:p w14:paraId="6E9C3936" w14:textId="77777777" w:rsidR="007B5C49" w:rsidRDefault="00000000">
      <w:r>
        <w:t>JLL估计美洲目前约占全球容量的50%，其中美国约占美洲容量的90%。美洲到2030年的供给年复合增长率预计约17%，高于全球平均值，因此美国仍将是AI训练、云基础设施和大租户最集中的区域。按103GW的全球基准粗略理解，美洲当前量级约在50GW上下，但这只是基于JLL占比的量级推算，不应伪装成精确库存。</w:t>
      </w:r>
    </w:p>
    <w:p w14:paraId="7A4BC3C0" w14:textId="77777777" w:rsidR="007B5C49" w:rsidRDefault="00000000">
      <w:r>
        <w:t>亚太容量预计由约32GW增至2030年的57GW，约12%的年复合增长率。增长并不只来自新加坡、东京等成熟节点，也来自柔佛、印度及东南亚新兴市场。JLL指出亚太托管容量增长可达约19%，而企业自有机房容量可能下降，反映出企业继续从本地机房迁移到云与专业托管设施。</w:t>
      </w:r>
    </w:p>
    <w:p w14:paraId="47A1959C" w14:textId="77777777" w:rsidR="007B5C49" w:rsidRDefault="00000000">
      <w:r>
        <w:t>欧洲和中东、非洲的总量仍低于美洲，但供给约束更强。欧洲成熟市场面临并网、土地、能效和审批限制；中东拥有资本与能源优势，却有大量项目仍停留在国家级规划或园区远期容量阶段。因此，区域比较必须同时写“运营容量”和“项目状态”，不能只比较新闻标题中的GW。</w:t>
      </w:r>
    </w:p>
    <w:p w14:paraId="1CF55B10" w14:textId="77777777" w:rsidR="007B5C49" w:rsidRDefault="00000000">
      <w:pPr>
        <w:pStyle w:val="Heading2"/>
      </w:pPr>
      <w:r>
        <w:t xml:space="preserve">3. </w:t>
      </w:r>
      <w:r>
        <w:t>为什么</w:t>
      </w:r>
      <w:r>
        <w:t>200GW</w:t>
      </w:r>
      <w:r>
        <w:t>目标既合理又不等于必然交付</w:t>
      </w:r>
    </w:p>
    <w:p w14:paraId="0BB3430B" w14:textId="77777777" w:rsidR="007B5C49" w:rsidRDefault="00000000">
      <w:r>
        <w:t>需求端的合理性来自三层叠加：传统云仍在增长；企业AI把更多工作负载迁入云和托管设施；AI训练与推理需要更高功率密度。IEA预计加速服务器用电增长显著快于传统服务器，并贡献接近一半的全球数据中心用电净增量。</w:t>
      </w:r>
    </w:p>
    <w:p w14:paraId="771FA262" w14:textId="77777777" w:rsidR="007B5C49" w:rsidRDefault="00000000">
      <w:r>
        <w:t>供给端的风险则来自交付链条。一个5GW园区从宣布到实际形成5GW IT负载，需要逐期取得土地、输电与发电资源、变压器和开关设备、资本、客户合同、GPU和液冷能力。任何一环延迟都会让“规划容量”停留在PPT上。因此，200GW应理解为在当前需求和投资条件下的行业预测，而不是已经锁定的可用容量。</w:t>
      </w:r>
    </w:p>
    <w:p w14:paraId="13A57BF2" w14:textId="77777777" w:rsidR="007B5C49" w:rsidRDefault="00000000">
      <w:r>
        <w:t>本题的最终判断是：行业不是简单从103GW机械增长到200GW，而是在需求确定性较高、供给交付弹性较低的条件下扩张。未来两三年最值得追踪的先行指标不是“宣布了多少GW”，而是获得了多少可交付电力、多少容量已经开工、多少在建容量已预租、预计何时真正通电。</w:t>
      </w:r>
    </w:p>
    <w:p w14:paraId="4E90AD6F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6B700E9C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1F5A4FD8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需求—供给逻辑</w:t>
            </w:r>
          </w:p>
          <w:p w14:paraId="66B5E71C" w14:textId="77777777" w:rsidR="007B5C49" w:rsidRDefault="00000000">
            <w:pPr>
              <w:spacing w:after="0" w:line="288" w:lineRule="auto"/>
            </w:pPr>
            <w:r>
              <w:t>AI模型与用户调用增长 → GPU/ASIC数量和利用率上升 → 单机柜功率密度提高 → 新增IT负载需求增加 → 大规模园区和托管容量扩张；与此同时，并网排队、设备交期、土地审批和资本约束 → 规划容量无法等比例转化为运营容量 → 已通电容量和time-to-power获得溢价。</w:t>
            </w:r>
          </w:p>
        </w:tc>
      </w:tr>
    </w:tbl>
    <w:p w14:paraId="44ED7706" w14:textId="77777777" w:rsidR="007B5C49" w:rsidRDefault="007B5C49">
      <w:pPr>
        <w:spacing w:after="40"/>
      </w:pPr>
    </w:p>
    <w:p w14:paraId="64FC00DC" w14:textId="77777777" w:rsidR="007B5C49" w:rsidRDefault="00000000">
      <w:pPr>
        <w:pStyle w:val="QALabel"/>
      </w:pPr>
      <w:r>
        <w:lastRenderedPageBreak/>
        <w:t>来源</w:t>
      </w:r>
    </w:p>
    <w:p w14:paraId="32B9F667" w14:textId="77777777" w:rsidR="007B5C49" w:rsidRDefault="00000000">
      <w:pPr>
        <w:spacing w:after="80"/>
        <w:ind w:left="360" w:hanging="288"/>
      </w:pPr>
      <w:r>
        <w:rPr>
          <w:b/>
        </w:rPr>
        <w:t>• JLL｜2026 Global Data Center Market Outlook</w:t>
      </w:r>
      <w:r>
        <w:t>：103GW增至200GW、新增97GW、区域增长与投资口径</w:t>
      </w:r>
      <w:r>
        <w:rPr>
          <w:color w:val="1F4E79"/>
        </w:rPr>
        <w:br/>
        <w:t>https://www.jll.com/en-us/insights/market-outlook/data-center-outlook</w:t>
      </w:r>
    </w:p>
    <w:p w14:paraId="232E9846" w14:textId="77777777" w:rsidR="007B5C49" w:rsidRDefault="00000000">
      <w:pPr>
        <w:spacing w:after="80"/>
        <w:ind w:left="360" w:hanging="288"/>
      </w:pPr>
      <w:r>
        <w:rPr>
          <w:b/>
        </w:rPr>
        <w:t>• JLL｜Global data center sector to nearly double to 200GW</w:t>
      </w:r>
      <w:r>
        <w:t>：JLL新闻稿对103GW与200GW的直接表述</w:t>
      </w:r>
      <w:r>
        <w:rPr>
          <w:color w:val="1F4E79"/>
        </w:rPr>
        <w:br/>
        <w:t>https://www.jll.com/en-us/newsroom/global-data-center-sector-to-nearly-double-to-200gw-amid-ai-infrastructure-boom</w:t>
      </w:r>
    </w:p>
    <w:p w14:paraId="4D947A83" w14:textId="77777777" w:rsidR="007B5C49" w:rsidRDefault="00000000">
      <w:pPr>
        <w:spacing w:after="80"/>
        <w:ind w:left="360" w:hanging="288"/>
      </w:pPr>
      <w:r>
        <w:rPr>
          <w:b/>
        </w:rPr>
        <w:t>• IEA｜Key Questions on Energy and AI：Executive summary</w:t>
      </w:r>
      <w:r>
        <w:t>：2025年485TWh、2030年950TWh及AI专用设施增长</w:t>
      </w:r>
      <w:r>
        <w:rPr>
          <w:color w:val="1F4E79"/>
        </w:rPr>
        <w:br/>
        <w:t>https://www.iea.org/reports/key-questions-on-energy-and-ai/executive-summary</w:t>
      </w:r>
    </w:p>
    <w:p w14:paraId="542CDF90" w14:textId="77777777" w:rsidR="007B5C49" w:rsidRDefault="00000000">
      <w:pPr>
        <w:spacing w:after="80"/>
        <w:ind w:left="360" w:hanging="288"/>
      </w:pPr>
      <w:r>
        <w:rPr>
          <w:b/>
        </w:rPr>
        <w:t>• IEA｜Energy demand from AI</w:t>
      </w:r>
      <w:r>
        <w:t>：设备类型、区域用电与增长贡献</w:t>
      </w:r>
      <w:r>
        <w:rPr>
          <w:color w:val="1F4E79"/>
        </w:rPr>
        <w:br/>
        <w:t>https://www.iea.org/reports/energy-and-ai/energy-demand-from-ai</w:t>
      </w:r>
    </w:p>
    <w:p w14:paraId="58896756" w14:textId="77777777" w:rsidR="007B5C49" w:rsidRDefault="00000000">
      <w:pPr>
        <w:pStyle w:val="Heading1"/>
        <w:pageBreakBefore/>
      </w:pPr>
      <w:r>
        <w:lastRenderedPageBreak/>
        <w:t>Q2</w:t>
      </w:r>
      <w:r>
        <w:t>：已经运营、正在建设和规划中的容量分别意味着什么？</w:t>
      </w:r>
    </w:p>
    <w:p w14:paraId="2A4E27C8" w14:textId="77777777" w:rsidR="007B5C49" w:rsidRDefault="00000000">
      <w:pPr>
        <w:pStyle w:val="QALabel"/>
      </w:pPr>
      <w:r>
        <w:t>通俗问题</w:t>
      </w:r>
    </w:p>
    <w:p w14:paraId="1358FFD2" w14:textId="77777777" w:rsidR="007B5C49" w:rsidRDefault="00000000">
      <w:r>
        <w:t>新闻里经常出现1GW、5GW甚至10GW项目。哪些已经是真的供给，哪些只是远期目标？</w:t>
      </w:r>
    </w:p>
    <w:p w14:paraId="585ADECC" w14:textId="77777777" w:rsidR="007B5C49" w:rsidRDefault="00000000">
      <w:pPr>
        <w:pStyle w:val="QALabel"/>
      </w:pPr>
      <w:r>
        <w:t>主要研究（专业）</w:t>
      </w:r>
    </w:p>
    <w:p w14:paraId="31222B33" w14:textId="77777777" w:rsidR="007B5C49" w:rsidRDefault="00000000">
      <w:r>
        <w:t>全球数据中心供应状态拆分、项目真实性评级和可交付容量分析。</w:t>
      </w:r>
    </w:p>
    <w:p w14:paraId="06E01D5F" w14:textId="77777777" w:rsidR="007B5C49" w:rsidRDefault="00000000">
      <w:pPr>
        <w:pStyle w:val="QALabel"/>
      </w:pPr>
      <w:r>
        <w:t>研究方向</w:t>
      </w:r>
    </w:p>
    <w:p w14:paraId="5ED370D2" w14:textId="77777777" w:rsidR="007B5C49" w:rsidRDefault="00000000">
      <w:pPr>
        <w:pStyle w:val="ListBullet"/>
        <w:spacing w:after="80" w:line="288" w:lineRule="auto"/>
        <w:ind w:left="403" w:hanging="259"/>
      </w:pPr>
      <w:r>
        <w:t>建立统一项目状态：运营、调试/即将上线、在建、已获批/已锁电、早期规划、电力申请。</w:t>
      </w:r>
    </w:p>
    <w:p w14:paraId="709C01AD" w14:textId="77777777" w:rsidR="007B5C49" w:rsidRDefault="00000000">
      <w:pPr>
        <w:pStyle w:val="ListBullet"/>
        <w:spacing w:after="80" w:line="288" w:lineRule="auto"/>
        <w:ind w:left="403" w:hanging="259"/>
      </w:pPr>
      <w:r>
        <w:t>对每个项目核查土地、电力、施工、客户合同、融资、设备和实际上线时间。</w:t>
      </w:r>
    </w:p>
    <w:p w14:paraId="2BF93E70" w14:textId="77777777" w:rsidR="007B5C49" w:rsidRDefault="00000000">
      <w:pPr>
        <w:pStyle w:val="ListBullet"/>
        <w:spacing w:after="80" w:line="288" w:lineRule="auto"/>
        <w:ind w:left="403" w:hanging="259"/>
      </w:pPr>
      <w:r>
        <w:t>识别同一容量在园区公告、云合同、GPU采购和开发商管道中被重复计算的风险。</w:t>
      </w:r>
    </w:p>
    <w:p w14:paraId="13DD1A71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5062981E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244C2D08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1968466E" w14:textId="77777777" w:rsidR="007B5C49" w:rsidRDefault="00000000">
            <w:pPr>
              <w:spacing w:after="0" w:line="288" w:lineRule="auto"/>
            </w:pPr>
            <w:r>
              <w:t>真正能够进入当期供给的只有已经通电、完成调试并可承载服务器的IT负载；“在建”仍受设备和并网影响，“规划”只代表可能性，“电力申请”甚至可能包含重复或投机性排队。项目越接近商业运营，容量可信度越高。</w:t>
            </w:r>
          </w:p>
        </w:tc>
      </w:tr>
    </w:tbl>
    <w:p w14:paraId="71728C8A" w14:textId="77777777" w:rsidR="007B5C49" w:rsidRDefault="007B5C49">
      <w:pPr>
        <w:spacing w:after="40"/>
      </w:pPr>
    </w:p>
    <w:p w14:paraId="52867B93" w14:textId="77777777" w:rsidR="007B5C49" w:rsidRDefault="00000000">
      <w:pPr>
        <w:pStyle w:val="QALabel"/>
      </w:pPr>
      <w:r>
        <w:t>详细支撑</w:t>
      </w:r>
    </w:p>
    <w:p w14:paraId="0C3F9065" w14:textId="77777777" w:rsidR="007B5C49" w:rsidRDefault="00000000">
      <w:pPr>
        <w:pStyle w:val="Heading2"/>
      </w:pPr>
      <w:r>
        <w:t xml:space="preserve">1. </w:t>
      </w:r>
      <w:r>
        <w:t>六级状态比</w:t>
      </w:r>
      <w:r>
        <w:t>“</w:t>
      </w:r>
      <w:r>
        <w:t>已建</w:t>
      </w:r>
      <w:r>
        <w:t>/</w:t>
      </w:r>
      <w:r>
        <w:t>未建</w:t>
      </w:r>
      <w:r>
        <w:t>”</w:t>
      </w:r>
      <w:r>
        <w:t>更准确</w:t>
      </w:r>
    </w:p>
    <w:p w14:paraId="7D932BEF" w14:textId="77777777" w:rsidR="007B5C49" w:rsidRDefault="00000000">
      <w:r>
        <w:t>运营容量是最硬的口径：设施已通电，服务器可以运行，并且通常已开始向自用业务或租户提供服务。调试/即将上线容量已经完成主体施工，但仍可能卡在电力切换、设备验收和客户部署。两者都比单纯“竣工面积”更有意义，因为空壳机房没有稳定电力、网络和冷却时不能形成IT供给。</w:t>
      </w:r>
    </w:p>
    <w:p w14:paraId="12096757" w14:textId="77777777" w:rsidR="007B5C49" w:rsidRDefault="00000000">
      <w:r>
        <w:t>在建容量意味着现场已施工或关键设备已下单，但交付日期仍可能变化。已获批或已锁电项目的可信度高于普通规划，因为它至少跨过审批或供电门槛；不过“签署PPA”不一定等于获得本地输配电能力。早期规划通常只有土地、园区概念或远期end-state容量。电力申请队列最弱，它可以反映需求热度，却不能当作未来落地容量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1700"/>
        <w:gridCol w:w="3400"/>
        <w:gridCol w:w="3050"/>
      </w:tblGrid>
      <w:tr w:rsidR="007B5C49" w14:paraId="226A55B6" w14:textId="77777777">
        <w:trPr>
          <w:tblHeader/>
          <w:jc w:val="center"/>
        </w:trPr>
        <w:tc>
          <w:tcPr>
            <w:tcW w:w="1450" w:type="dxa"/>
            <w:shd w:val="clear" w:color="auto" w:fill="D9EAF7"/>
            <w:vAlign w:val="center"/>
          </w:tcPr>
          <w:p w14:paraId="0DCE1D4C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374691ED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可否计入当前供给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2958F61C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核心证据</w:t>
            </w:r>
          </w:p>
        </w:tc>
        <w:tc>
          <w:tcPr>
            <w:tcW w:w="3050" w:type="dxa"/>
            <w:shd w:val="clear" w:color="auto" w:fill="D9EAF7"/>
            <w:vAlign w:val="center"/>
          </w:tcPr>
          <w:p w14:paraId="54E64ED0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主要风险</w:t>
            </w:r>
          </w:p>
        </w:tc>
      </w:tr>
      <w:tr w:rsidR="007B5C49" w14:paraId="1D985A79" w14:textId="77777777">
        <w:trPr>
          <w:jc w:val="center"/>
        </w:trPr>
        <w:tc>
          <w:tcPr>
            <w:tcW w:w="1450" w:type="dxa"/>
            <w:vAlign w:val="center"/>
          </w:tcPr>
          <w:p w14:paraId="6466D9EB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运营</w:t>
            </w:r>
          </w:p>
        </w:tc>
        <w:tc>
          <w:tcPr>
            <w:tcW w:w="1700" w:type="dxa"/>
            <w:vAlign w:val="center"/>
          </w:tcPr>
          <w:p w14:paraId="58C2EC0E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可以</w:t>
            </w:r>
          </w:p>
        </w:tc>
        <w:tc>
          <w:tcPr>
            <w:tcW w:w="3400" w:type="dxa"/>
            <w:vAlign w:val="center"/>
          </w:tcPr>
          <w:p w14:paraId="48E6AD34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通电、服务器运行、商业服务</w:t>
            </w:r>
          </w:p>
        </w:tc>
        <w:tc>
          <w:tcPr>
            <w:tcW w:w="3050" w:type="dxa"/>
            <w:vAlign w:val="center"/>
          </w:tcPr>
          <w:p w14:paraId="548F6EBE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口径可能含设施电力而非IT负载</w:t>
            </w:r>
          </w:p>
        </w:tc>
      </w:tr>
      <w:tr w:rsidR="007B5C49" w14:paraId="31EF209E" w14:textId="77777777">
        <w:trPr>
          <w:jc w:val="center"/>
        </w:trPr>
        <w:tc>
          <w:tcPr>
            <w:tcW w:w="1450" w:type="dxa"/>
            <w:vAlign w:val="center"/>
          </w:tcPr>
          <w:p w14:paraId="78D39990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调试/上线</w:t>
            </w:r>
          </w:p>
        </w:tc>
        <w:tc>
          <w:tcPr>
            <w:tcW w:w="1700" w:type="dxa"/>
            <w:vAlign w:val="center"/>
          </w:tcPr>
          <w:p w14:paraId="68B71FB2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谨慎计入近期</w:t>
            </w:r>
          </w:p>
        </w:tc>
        <w:tc>
          <w:tcPr>
            <w:tcW w:w="3400" w:type="dxa"/>
            <w:vAlign w:val="center"/>
          </w:tcPr>
          <w:p w14:paraId="5447EF91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主体完工、供电与设备验收</w:t>
            </w:r>
          </w:p>
        </w:tc>
        <w:tc>
          <w:tcPr>
            <w:tcW w:w="3050" w:type="dxa"/>
            <w:vAlign w:val="center"/>
          </w:tcPr>
          <w:p w14:paraId="66BE69D6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上线日期延迟</w:t>
            </w:r>
          </w:p>
        </w:tc>
      </w:tr>
      <w:tr w:rsidR="007B5C49" w14:paraId="479DB463" w14:textId="77777777">
        <w:trPr>
          <w:jc w:val="center"/>
        </w:trPr>
        <w:tc>
          <w:tcPr>
            <w:tcW w:w="1450" w:type="dxa"/>
            <w:vAlign w:val="center"/>
          </w:tcPr>
          <w:p w14:paraId="3DC31A20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在建</w:t>
            </w:r>
          </w:p>
        </w:tc>
        <w:tc>
          <w:tcPr>
            <w:tcW w:w="1700" w:type="dxa"/>
            <w:vAlign w:val="center"/>
          </w:tcPr>
          <w:p w14:paraId="00CE1778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不计入当前</w:t>
            </w:r>
          </w:p>
        </w:tc>
        <w:tc>
          <w:tcPr>
            <w:tcW w:w="3400" w:type="dxa"/>
            <w:vAlign w:val="center"/>
          </w:tcPr>
          <w:p w14:paraId="7D6701E6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施工、设备订单、明确交付期</w:t>
            </w:r>
          </w:p>
        </w:tc>
        <w:tc>
          <w:tcPr>
            <w:tcW w:w="3050" w:type="dxa"/>
            <w:vAlign w:val="center"/>
          </w:tcPr>
          <w:p w14:paraId="73C0D44E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并网、设备和成本超支</w:t>
            </w:r>
          </w:p>
        </w:tc>
      </w:tr>
      <w:tr w:rsidR="007B5C49" w14:paraId="3091C252" w14:textId="77777777">
        <w:trPr>
          <w:jc w:val="center"/>
        </w:trPr>
        <w:tc>
          <w:tcPr>
            <w:tcW w:w="1450" w:type="dxa"/>
            <w:vAlign w:val="center"/>
          </w:tcPr>
          <w:p w14:paraId="081E2424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已获批/锁电</w:t>
            </w:r>
          </w:p>
        </w:tc>
        <w:tc>
          <w:tcPr>
            <w:tcW w:w="1700" w:type="dxa"/>
            <w:vAlign w:val="center"/>
          </w:tcPr>
          <w:p w14:paraId="075D3B52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不计入当前</w:t>
            </w:r>
          </w:p>
        </w:tc>
        <w:tc>
          <w:tcPr>
            <w:tcW w:w="3400" w:type="dxa"/>
            <w:vAlign w:val="center"/>
          </w:tcPr>
          <w:p w14:paraId="1EB95BC8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许可、供电协议、客户预租</w:t>
            </w:r>
          </w:p>
        </w:tc>
        <w:tc>
          <w:tcPr>
            <w:tcW w:w="3050" w:type="dxa"/>
            <w:vAlign w:val="center"/>
          </w:tcPr>
          <w:p w14:paraId="4802DAD4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电网工程和融资条件</w:t>
            </w:r>
          </w:p>
        </w:tc>
      </w:tr>
      <w:tr w:rsidR="007B5C49" w14:paraId="1C166FE7" w14:textId="77777777">
        <w:trPr>
          <w:jc w:val="center"/>
        </w:trPr>
        <w:tc>
          <w:tcPr>
            <w:tcW w:w="1450" w:type="dxa"/>
            <w:vAlign w:val="center"/>
          </w:tcPr>
          <w:p w14:paraId="62D88C51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规划</w:t>
            </w:r>
          </w:p>
        </w:tc>
        <w:tc>
          <w:tcPr>
            <w:tcW w:w="1700" w:type="dxa"/>
            <w:vAlign w:val="center"/>
          </w:tcPr>
          <w:p w14:paraId="288BF909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不计入</w:t>
            </w:r>
          </w:p>
        </w:tc>
        <w:tc>
          <w:tcPr>
            <w:tcW w:w="3400" w:type="dxa"/>
            <w:vAlign w:val="center"/>
          </w:tcPr>
          <w:p w14:paraId="1CDDA08B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土地或公司公告</w:t>
            </w:r>
          </w:p>
        </w:tc>
        <w:tc>
          <w:tcPr>
            <w:tcW w:w="3050" w:type="dxa"/>
            <w:vAlign w:val="center"/>
          </w:tcPr>
          <w:p w14:paraId="7D64B8E7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取消、缩容、分期极慢</w:t>
            </w:r>
          </w:p>
        </w:tc>
      </w:tr>
      <w:tr w:rsidR="007B5C49" w14:paraId="0BD34258" w14:textId="77777777">
        <w:trPr>
          <w:jc w:val="center"/>
        </w:trPr>
        <w:tc>
          <w:tcPr>
            <w:tcW w:w="1450" w:type="dxa"/>
            <w:vAlign w:val="center"/>
          </w:tcPr>
          <w:p w14:paraId="23CFBFAB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电力申请</w:t>
            </w:r>
          </w:p>
        </w:tc>
        <w:tc>
          <w:tcPr>
            <w:tcW w:w="1700" w:type="dxa"/>
            <w:vAlign w:val="center"/>
          </w:tcPr>
          <w:p w14:paraId="73F8D949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绝不计入</w:t>
            </w:r>
          </w:p>
        </w:tc>
        <w:tc>
          <w:tcPr>
            <w:tcW w:w="3400" w:type="dxa"/>
            <w:vAlign w:val="center"/>
          </w:tcPr>
          <w:p w14:paraId="2CB4C161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并网队列或负荷申请</w:t>
            </w:r>
          </w:p>
        </w:tc>
        <w:tc>
          <w:tcPr>
            <w:tcW w:w="3050" w:type="dxa"/>
            <w:vAlign w:val="center"/>
          </w:tcPr>
          <w:p w14:paraId="2D6B6375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重复申请、投机排队</w:t>
            </w:r>
          </w:p>
        </w:tc>
      </w:tr>
    </w:tbl>
    <w:p w14:paraId="42A4DE58" w14:textId="77777777" w:rsidR="007B5C49" w:rsidRDefault="007B5C49">
      <w:pPr>
        <w:spacing w:after="40"/>
      </w:pPr>
    </w:p>
    <w:p w14:paraId="49F2AE89" w14:textId="77777777" w:rsidR="007B5C49" w:rsidRDefault="00000000">
      <w:pPr>
        <w:pStyle w:val="Heading2"/>
      </w:pPr>
      <w:r>
        <w:lastRenderedPageBreak/>
        <w:t xml:space="preserve">2. </w:t>
      </w:r>
      <w:r>
        <w:t>用</w:t>
      </w:r>
      <w:r>
        <w:t>Stargate</w:t>
      </w:r>
      <w:r>
        <w:t>相关园区说明</w:t>
      </w:r>
      <w:r>
        <w:t>“</w:t>
      </w:r>
      <w:r>
        <w:t>规划</w:t>
      </w:r>
      <w:r>
        <w:t>GW”</w:t>
      </w:r>
      <w:r>
        <w:t>怎样拆开</w:t>
      </w:r>
    </w:p>
    <w:p w14:paraId="7E1E8C11" w14:textId="77777777" w:rsidR="007B5C49" w:rsidRDefault="00000000">
      <w:r>
        <w:t>此前九轮核验后的项目表显示，德州Abilene园区的远期规划约1.2GW，而截至核验时约421MW处于运营口径，其余仍在扩建。正确写法应是“约421MW已运营，园区远期规划约1.2GW”，而不是“Abilene已经有1.2GW”。这一个措辞差异，会使当前供给被高估接近三倍。</w:t>
      </w:r>
    </w:p>
    <w:p w14:paraId="74F06142" w14:textId="77777777" w:rsidR="007B5C49" w:rsidRDefault="00000000">
      <w:r>
        <w:t>同样，Vantage在德州Frontier项目的官方远期规划约1.4GW；STACK在新墨西哥州Doña Ana项目规划约2.2GW；SB Energy在Milam County规划约1.2GW；Vantage在威斯康星州Port Washington规划约1.3GW；Related Digital在密歇根Saline Township规划约1.4GW。上述数字用于描述园区终局潜力或公告规模，不能直接加总后写成“已经新增7.5GW供给”。</w:t>
      </w:r>
    </w:p>
    <w:p w14:paraId="44D00F32" w14:textId="77777777" w:rsidR="007B5C49" w:rsidRDefault="00000000">
      <w:r>
        <w:t>Stargate UAE更需要谨慎：公开叙事中可同时出现约1GW子项目和5GW园区总规划。如果研究者把子项目、园区总规模和参与公司的其他项目全部相加，同一容量会被重复统计。正确方法是以物理地点为主键，分别记录园区总规划、已开工分期、已通电分期和客户分配。</w:t>
      </w:r>
    </w:p>
    <w:p w14:paraId="7CE3D27E" w14:textId="77777777" w:rsidR="007B5C49" w:rsidRDefault="00000000">
      <w:pPr>
        <w:pStyle w:val="Heading2"/>
      </w:pPr>
      <w:r>
        <w:t xml:space="preserve">3. </w:t>
      </w:r>
      <w:r>
        <w:t>五项硬证据决定项目可信度</w:t>
      </w:r>
    </w:p>
    <w:p w14:paraId="4B0F2A1A" w14:textId="77777777" w:rsidR="007B5C49" w:rsidRDefault="00000000">
      <w:r>
        <w:t>第一是土地：是否完成购买或长期控制，地块能否满足变电站、备用电源、冷却和扩建需求。第二是电力：是否有明确的接入容量、交付年份和电网工程，而不仅是意向PPA。第三是施工：是否有总包、开工许可、现场进度和关键设备订单。第四是客户：是否存在可识别的预租、云服务承诺或长期算力合同。第五是资本：开发商和项目公司是否已完成足以覆盖当前分期的融资，而不是只公布远期投资目标。</w:t>
      </w:r>
    </w:p>
    <w:p w14:paraId="1FCF0ABA" w14:textId="77777777" w:rsidR="007B5C49" w:rsidRDefault="00000000">
      <w:r>
        <w:t>在AI园区中还应加第六项——设备与系统集成。GPU已经采购并不意味着园区能按时上线；高压变压器、开关柜、UPS、冷却塔或干冷器、CDU、光模块和网络架构任何一个环节都可能成为关键路径。因此，项目状态要按“最慢的关键环节”判断，而不是按最乐观的公司宣传判断。</w:t>
      </w:r>
    </w:p>
    <w:p w14:paraId="64DB4EE5" w14:textId="77777777" w:rsidR="007B5C49" w:rsidRDefault="00000000">
      <w:pPr>
        <w:pStyle w:val="Heading2"/>
      </w:pPr>
      <w:r>
        <w:t xml:space="preserve">4. </w:t>
      </w:r>
      <w:r>
        <w:t>建议采用可复核的项目数据库</w:t>
      </w:r>
    </w:p>
    <w:p w14:paraId="4C6E926A" w14:textId="77777777" w:rsidR="007B5C49" w:rsidRDefault="00000000">
      <w:r>
        <w:t>每条项目记录至少包含：物理地点、业主/基金、开发商、运营商、最终客户、运营MW、在建MW、规划MW、供电来源、预计上线日期、最后核验日期和原始网址。容量字段必须分列，不能只保留一个“总容量”。同一项目若有多个分期，应分别建行，再以园区ID汇总。</w:t>
      </w:r>
    </w:p>
    <w:p w14:paraId="48F3C393" w14:textId="77777777" w:rsidR="007B5C49" w:rsidRDefault="00000000">
      <w:r>
        <w:t>本题的结论不是“规划数据都不可信”，而是不同状态回答不同问题。运营容量回答当期供给；在建容量回答未来一至三年的潜在交付；规划容量回答长期竞争格局；电力申请回答电网压力。只有把问题与状态匹配，数据才有意义。</w:t>
      </w:r>
    </w:p>
    <w:p w14:paraId="4AA2BACA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1E87EBB5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5FE4AFCC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项目真实性链条</w:t>
            </w:r>
          </w:p>
          <w:p w14:paraId="63390BD6" w14:textId="77777777" w:rsidR="007B5C49" w:rsidRDefault="00000000">
            <w:pPr>
              <w:spacing w:after="0" w:line="288" w:lineRule="auto"/>
            </w:pPr>
            <w:r>
              <w:t>项目宣布 → 土地控制 → 许可与电力确认 → 融资/客户合同 → 开工 → 机电设备安装 → 通电调试 → 服务器部署 → 商业运营。每前进一步，容量可信度提高；在任何节点停滞，都不能把远期GW写成当前供给。</w:t>
            </w:r>
          </w:p>
        </w:tc>
      </w:tr>
    </w:tbl>
    <w:p w14:paraId="5F6A45DC" w14:textId="77777777" w:rsidR="007B5C49" w:rsidRDefault="007B5C49">
      <w:pPr>
        <w:spacing w:after="40"/>
      </w:pPr>
    </w:p>
    <w:p w14:paraId="0B06F13A" w14:textId="77777777" w:rsidR="007B5C49" w:rsidRDefault="00000000">
      <w:pPr>
        <w:pStyle w:val="QALabel"/>
      </w:pPr>
      <w:r>
        <w:lastRenderedPageBreak/>
        <w:t>来源</w:t>
      </w:r>
    </w:p>
    <w:p w14:paraId="2460EB8E" w14:textId="77777777" w:rsidR="007B5C49" w:rsidRDefault="00000000">
      <w:pPr>
        <w:spacing w:after="80"/>
        <w:ind w:left="360" w:hanging="288"/>
      </w:pPr>
      <w:r>
        <w:rPr>
          <w:b/>
        </w:rPr>
        <w:t>• OpenAI｜Stargate advances with 4.5 GW partnership with Oracle</w:t>
      </w:r>
      <w:r>
        <w:t>：Stargate扩建及合作框架的一手说明</w:t>
      </w:r>
      <w:r>
        <w:rPr>
          <w:color w:val="1F4E79"/>
        </w:rPr>
        <w:br/>
        <w:t>https://openai.com/index/stargate-advances-with-partnership-with-oracle/</w:t>
      </w:r>
    </w:p>
    <w:p w14:paraId="353963E1" w14:textId="77777777" w:rsidR="007B5C49" w:rsidRDefault="00000000">
      <w:pPr>
        <w:spacing w:after="80"/>
        <w:ind w:left="360" w:hanging="288"/>
      </w:pPr>
      <w:r>
        <w:rPr>
          <w:b/>
        </w:rPr>
        <w:t>• Vantage Data Centers｜North America campuses</w:t>
      </w:r>
      <w:r>
        <w:t>：园区地点、开发规模和分期信息</w:t>
      </w:r>
      <w:r>
        <w:rPr>
          <w:color w:val="1F4E79"/>
        </w:rPr>
        <w:br/>
        <w:t>https://vantage-dc.com/data-center-locations/north-america/</w:t>
      </w:r>
    </w:p>
    <w:p w14:paraId="75B9788A" w14:textId="77777777" w:rsidR="007B5C49" w:rsidRDefault="00000000">
      <w:pPr>
        <w:spacing w:after="80"/>
        <w:ind w:left="360" w:hanging="288"/>
      </w:pPr>
      <w:r>
        <w:rPr>
          <w:b/>
        </w:rPr>
        <w:t>• STACK Infrastructure｜Locations</w:t>
      </w:r>
      <w:r>
        <w:t>：园区和开发管道的一手页面</w:t>
      </w:r>
      <w:r>
        <w:rPr>
          <w:color w:val="1F4E79"/>
        </w:rPr>
        <w:br/>
        <w:t>https://www.stackinfra.com/locations/</w:t>
      </w:r>
    </w:p>
    <w:p w14:paraId="6752431C" w14:textId="77777777" w:rsidR="007B5C49" w:rsidRDefault="00000000">
      <w:pPr>
        <w:spacing w:after="80"/>
        <w:ind w:left="360" w:hanging="288"/>
      </w:pPr>
      <w:r>
        <w:rPr>
          <w:b/>
        </w:rPr>
        <w:t>• Cushman &amp; Wakefield｜2026 Global Data Center Market Comparison</w:t>
      </w:r>
      <w:r>
        <w:t>：管道、预租和执行风险的市场方法</w:t>
      </w:r>
      <w:r>
        <w:rPr>
          <w:color w:val="1F4E79"/>
        </w:rPr>
        <w:br/>
        <w:t>https://www.cushmanwakefield.com/en/insights/global-data-center-market-comparison</w:t>
      </w:r>
    </w:p>
    <w:p w14:paraId="59E58879" w14:textId="77777777" w:rsidR="007B5C49" w:rsidRDefault="00000000">
      <w:pPr>
        <w:spacing w:after="80"/>
        <w:ind w:left="360" w:hanging="288"/>
      </w:pPr>
      <w:r>
        <w:rPr>
          <w:b/>
        </w:rPr>
        <w:t>• 本项目｜源头核验与修改台账v9及v1.9信源追溯版</w:t>
      </w:r>
      <w:r>
        <w:t>：项目状态、容量口径和重复计算风险的九轮核验底稿</w:t>
      </w:r>
      <w:r>
        <w:rPr>
          <w:color w:val="1F4E79"/>
        </w:rPr>
        <w:br/>
        <w:t>内部资料，2026-07-22至2026-07-23</w:t>
      </w:r>
    </w:p>
    <w:p w14:paraId="55B17B19" w14:textId="77777777" w:rsidR="007B5C49" w:rsidRDefault="00000000">
      <w:pPr>
        <w:pStyle w:val="Heading1"/>
        <w:pageBreakBefore/>
      </w:pPr>
      <w:r>
        <w:lastRenderedPageBreak/>
        <w:t>Q3</w:t>
      </w:r>
      <w:r>
        <w:t>：全球核心数据中心市场在哪里？为什么是这些地方？</w:t>
      </w:r>
    </w:p>
    <w:p w14:paraId="14CC5290" w14:textId="77777777" w:rsidR="007B5C49" w:rsidRDefault="00000000">
      <w:pPr>
        <w:pStyle w:val="QALabel"/>
      </w:pPr>
      <w:r>
        <w:t>通俗问题</w:t>
      </w:r>
    </w:p>
    <w:p w14:paraId="7D88280A" w14:textId="77777777" w:rsidR="007B5C49" w:rsidRDefault="00000000">
      <w:r>
        <w:t>为什么北弗吉尼亚、新加坡和法兰克福长期是核心市场，而现在德州、柔佛、中东等地又快速兴起？</w:t>
      </w:r>
    </w:p>
    <w:p w14:paraId="6B74FDA4" w14:textId="77777777" w:rsidR="007B5C49" w:rsidRDefault="00000000">
      <w:pPr>
        <w:pStyle w:val="QALabel"/>
      </w:pPr>
      <w:r>
        <w:t>主要研究（专业）</w:t>
      </w:r>
    </w:p>
    <w:p w14:paraId="02338015" w14:textId="77777777" w:rsidR="007B5C49" w:rsidRDefault="00000000">
      <w:r>
        <w:t>全球数据中心区域格局、成熟市场与新兴市场的竞争力，以及传统云/托管和AI训练/推理的选址差异。</w:t>
      </w:r>
    </w:p>
    <w:p w14:paraId="0CC550B7" w14:textId="77777777" w:rsidR="007B5C49" w:rsidRDefault="00000000">
      <w:pPr>
        <w:pStyle w:val="QALabel"/>
      </w:pPr>
      <w:r>
        <w:t>研究方向</w:t>
      </w:r>
    </w:p>
    <w:p w14:paraId="08B640F9" w14:textId="77777777" w:rsidR="007B5C49" w:rsidRDefault="00000000">
      <w:pPr>
        <w:pStyle w:val="ListBullet"/>
        <w:spacing w:after="80" w:line="288" w:lineRule="auto"/>
        <w:ind w:left="403" w:hanging="259"/>
      </w:pPr>
      <w:r>
        <w:t>美国：北弗吉尼亚、达拉斯、亚特兰大、凤凰城及德州新兴超大园区。</w:t>
      </w:r>
    </w:p>
    <w:p w14:paraId="52E73550" w14:textId="77777777" w:rsidR="007B5C49" w:rsidRDefault="00000000">
      <w:pPr>
        <w:pStyle w:val="ListBullet"/>
        <w:spacing w:after="80" w:line="288" w:lineRule="auto"/>
        <w:ind w:left="403" w:hanging="259"/>
      </w:pPr>
      <w:r>
        <w:t>欧洲：FLAP-D成熟集群及西班牙、北欧等电力相对充足的替代市场。</w:t>
      </w:r>
    </w:p>
    <w:p w14:paraId="0AF516BC" w14:textId="77777777" w:rsidR="007B5C49" w:rsidRDefault="00000000">
      <w:pPr>
        <w:pStyle w:val="ListBullet"/>
        <w:spacing w:after="80" w:line="288" w:lineRule="auto"/>
        <w:ind w:left="403" w:hanging="259"/>
      </w:pPr>
      <w:r>
        <w:t>亚太：东京、新加坡、柔佛、孟买及东南亚扩张。</w:t>
      </w:r>
    </w:p>
    <w:p w14:paraId="7775E09E" w14:textId="77777777" w:rsidR="007B5C49" w:rsidRDefault="00000000">
      <w:pPr>
        <w:pStyle w:val="ListBullet"/>
        <w:spacing w:after="80" w:line="288" w:lineRule="auto"/>
        <w:ind w:left="403" w:hanging="259"/>
      </w:pPr>
      <w:r>
        <w:t>中东：沙特、阿联酋的国家级AI与云基础设施项目。</w:t>
      </w:r>
    </w:p>
    <w:p w14:paraId="003701B1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3B690DC1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5948932E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5043282C" w14:textId="77777777" w:rsidR="007B5C49" w:rsidRDefault="00000000">
            <w:pPr>
              <w:spacing w:after="0" w:line="288" w:lineRule="auto"/>
            </w:pPr>
            <w:r>
              <w:t>传统云和托管市场围绕客户、网络互联、合规和生态形成；AI训练园区则把可在目标时间交付的数百MW至GW级电力放在首位。北弗吉尼亚、FLAP-D、新加坡和东京仍是需求与互联中心，但新增大规模训练容量正向德州、柔佛、北欧、西班牙和中东等电力与土地更有扩展性的地区迁移。</w:t>
            </w:r>
          </w:p>
        </w:tc>
      </w:tr>
    </w:tbl>
    <w:p w14:paraId="484182EC" w14:textId="77777777" w:rsidR="007B5C49" w:rsidRDefault="007B5C49">
      <w:pPr>
        <w:spacing w:after="40"/>
      </w:pPr>
    </w:p>
    <w:p w14:paraId="14488176" w14:textId="77777777" w:rsidR="007B5C49" w:rsidRDefault="00000000">
      <w:pPr>
        <w:pStyle w:val="QALabel"/>
      </w:pPr>
      <w:r>
        <w:t>详细支撑</w:t>
      </w:r>
    </w:p>
    <w:p w14:paraId="3C9B4AA8" w14:textId="77777777" w:rsidR="007B5C49" w:rsidRDefault="00000000">
      <w:pPr>
        <w:pStyle w:val="Heading2"/>
      </w:pPr>
      <w:r>
        <w:t xml:space="preserve">1. </w:t>
      </w:r>
      <w:r>
        <w:t>美国仍是全球中心，但内部重心正在变化</w:t>
      </w:r>
    </w:p>
    <w:p w14:paraId="2C8BF11D" w14:textId="77777777" w:rsidR="007B5C49" w:rsidRDefault="00000000">
      <w:r>
        <w:t>北弗吉尼亚是全球最成熟的数据中心集群之一。此前信源追溯版记录的2026年一季度口径为约4,039.6MW库存、空置率约0.3%。低空置率说明需求极强，也说明新增客户很难迅速获得大块容量。它的优势来自AWS等云生态、密集光纤互联、企业与政府客户以及长期形成的运营商集群；劣势则是输电、变电站和社区审批压力。</w:t>
      </w:r>
    </w:p>
    <w:p w14:paraId="0FADB676" w14:textId="77777777" w:rsidR="007B5C49" w:rsidRDefault="00000000">
      <w:r>
        <w:t>北美八大一级市场在2025年下半年的统一口径约有9,432MW存量、5,994MW在建、空置率约1.4%。在建量相当大，但不能理解为短期全部交付，因为多个市场的在建容量已经被预租，且电力和设备可能延迟。凤凰城此前核验的H2 2025库存约807.3MW、可用容量仅10.5MW，半年吸纳约256MW，同样显示供给紧张。</w:t>
      </w:r>
    </w:p>
    <w:p w14:paraId="163D86F1" w14:textId="77777777" w:rsidR="007B5C49" w:rsidRDefault="00000000">
      <w:r>
        <w:t>德州的重要性上升不是因为网络突然超过弗吉尼亚，而是因为土地、独立电网、天然气资源、可再生能源、州级招商和大型负荷接入空间共同构成了AI训练园区的条件。Cushman &amp; Wakefield 2026年市场比较甚至把Texas描述为正在成为“下一个Virginia”。但ERCOT负荷申请队列巨大，申请量不能等同于实际项目，德州也存在电网峰值、气候和输电建设风险。</w:t>
      </w:r>
    </w:p>
    <w:p w14:paraId="516E7642" w14:textId="77777777" w:rsidR="007B5C49" w:rsidRDefault="00000000">
      <w:pPr>
        <w:pStyle w:val="Heading2"/>
      </w:pPr>
      <w:r>
        <w:lastRenderedPageBreak/>
        <w:t xml:space="preserve">2. </w:t>
      </w:r>
      <w:r>
        <w:t>欧洲成熟市场受限，新市场承接外溢</w:t>
      </w:r>
    </w:p>
    <w:p w14:paraId="15BBB059" w14:textId="77777777" w:rsidR="007B5C49" w:rsidRDefault="00000000">
      <w:r>
        <w:t>FLAP-D即法兰克福、伦敦、阿姆斯特丹、巴黎和都柏林，长期依靠金融、企业客户、海缆与互联生态形成优势。此前底稿记录2025年末FLAP-D空置率约6.3%，开发管道约83%已预租；法兰克福2026年一季度库存约1,222.5MW、空置率约5%。这些数据说明欧洲核心市场仍有需求，但交付受到电力、土地和政策约束。</w:t>
      </w:r>
    </w:p>
    <w:p w14:paraId="5C690F29" w14:textId="77777777" w:rsidR="007B5C49" w:rsidRDefault="00000000">
      <w:r>
        <w:t>Cushman &amp; Wakefield 2026年更新显示，2025年末EMEA运营容量超过11.4GW，同比增长约19%；开发管道接近15GW，但实际在建容量约2.5GW并趋于平台。这正是“规划增长快、交付增长慢”的区域样本。马德里等市场依靠海缆、可再生电力和土地承接部分扩张，北欧则吸引对低延迟不敏感的训练负载。</w:t>
      </w:r>
    </w:p>
    <w:p w14:paraId="45778703" w14:textId="77777777" w:rsidR="007B5C49" w:rsidRDefault="00000000">
      <w:pPr>
        <w:pStyle w:val="Heading2"/>
      </w:pPr>
      <w:r>
        <w:t xml:space="preserve">3. </w:t>
      </w:r>
      <w:r>
        <w:t>亚太呈现</w:t>
      </w:r>
      <w:r>
        <w:t>“</w:t>
      </w:r>
      <w:r>
        <w:t>成熟枢纽</w:t>
      </w:r>
      <w:r>
        <w:t>+</w:t>
      </w:r>
      <w:r>
        <w:t>外溢承接地</w:t>
      </w:r>
      <w:r>
        <w:t>”</w:t>
      </w:r>
    </w:p>
    <w:p w14:paraId="1583663E" w14:textId="77777777" w:rsidR="007B5C49" w:rsidRDefault="00000000">
      <w:r>
        <w:t>新加坡拥有区域总部、金融客户、海缆和稳定监管，是亚太最重要的互联节点之一。此前核验的2026年一季度口径显示空置率约2%、平均租金约403美元/kW/月，反映出供给稀缺。新加坡通过配额和绿色门槛控制新增项目，需求因此向马来西亚柔佛外溢；柔佛已形成约897MW运营规模，但其公开空置率和租金缺乏与新加坡完全同口径的数据，不能简单比较。</w:t>
      </w:r>
    </w:p>
    <w:p w14:paraId="6CF61E6E" w14:textId="77777777" w:rsidR="007B5C49" w:rsidRDefault="00000000">
      <w:r>
        <w:t>东京拥有超过1GW库存，2026年一季度空置率约6%，既服务日本国内企业、云和内容需求，也承接AI推理与训练。孟买及印度市场受数字化、云迁移和数据本地化推动；此前底稿记录印度运营容量约1.6GW，且高度集中于孟买等核心城市。JLL预计整个亚太容量从约32GW增至2030年的57GW，说明区域增长并非个别城市现象。</w:t>
      </w:r>
    </w:p>
    <w:p w14:paraId="38FA4DDC" w14:textId="77777777" w:rsidR="007B5C49" w:rsidRDefault="00000000">
      <w:pPr>
        <w:pStyle w:val="Heading2"/>
      </w:pPr>
      <w:r>
        <w:t xml:space="preserve">4. </w:t>
      </w:r>
      <w:r>
        <w:t>中东优势在能源与资本，弱点在项目成熟度</w:t>
      </w:r>
    </w:p>
    <w:p w14:paraId="7589B9F9" w14:textId="77777777" w:rsidR="007B5C49" w:rsidRDefault="00000000">
      <w:r>
        <w:t>沙特和阿联酋把数据中心、云和AI基础设施纳入国家产业战略。此前信源追溯版记录沙特2025年运营容量约440MW，而阿布扎比5GW园区属于规划口径；Stargate UAE的5GW总园区与约1GW子项目必须分开。中东具备资本、土地和能源优势，但本地客户规模、人才、供应链、跨境数据规则和项目执行仍决定远期规划能否转化为运营MW。</w:t>
      </w:r>
    </w:p>
    <w:p w14:paraId="3FB0897B" w14:textId="77777777" w:rsidR="007B5C49" w:rsidRDefault="00000000">
      <w:r>
        <w:t>因此，中东不能只以宣布GW排名，也不能因当前运营规模小就忽视。它更像一个由国家资本和能源条件推动的快速增量市场，其关键验证指标是实际开工分期、供电结构、客户承诺和互联能力。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300"/>
        <w:gridCol w:w="2500"/>
        <w:gridCol w:w="3000"/>
      </w:tblGrid>
      <w:tr w:rsidR="007B5C49" w14:paraId="242D22B1" w14:textId="77777777">
        <w:trPr>
          <w:tblHeader/>
          <w:jc w:val="center"/>
        </w:trPr>
        <w:tc>
          <w:tcPr>
            <w:tcW w:w="1800" w:type="dxa"/>
            <w:shd w:val="clear" w:color="auto" w:fill="D9EAF7"/>
            <w:vAlign w:val="center"/>
          </w:tcPr>
          <w:p w14:paraId="72970F78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市场/区域</w:t>
            </w:r>
          </w:p>
        </w:tc>
        <w:tc>
          <w:tcPr>
            <w:tcW w:w="2300" w:type="dxa"/>
            <w:shd w:val="clear" w:color="auto" w:fill="D9EAF7"/>
            <w:vAlign w:val="center"/>
          </w:tcPr>
          <w:p w14:paraId="28395BFE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已知运营或库存口径</w:t>
            </w:r>
          </w:p>
        </w:tc>
        <w:tc>
          <w:tcPr>
            <w:tcW w:w="2500" w:type="dxa"/>
            <w:shd w:val="clear" w:color="auto" w:fill="D9EAF7"/>
            <w:vAlign w:val="center"/>
          </w:tcPr>
          <w:p w14:paraId="3B8ADA3E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供需信号</w:t>
            </w:r>
          </w:p>
        </w:tc>
        <w:tc>
          <w:tcPr>
            <w:tcW w:w="3000" w:type="dxa"/>
            <w:shd w:val="clear" w:color="auto" w:fill="D9EAF7"/>
            <w:vAlign w:val="center"/>
          </w:tcPr>
          <w:p w14:paraId="58E3547D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主要逻辑</w:t>
            </w:r>
          </w:p>
        </w:tc>
      </w:tr>
      <w:tr w:rsidR="007B5C49" w14:paraId="73C2AD5B" w14:textId="77777777">
        <w:trPr>
          <w:jc w:val="center"/>
        </w:trPr>
        <w:tc>
          <w:tcPr>
            <w:tcW w:w="1800" w:type="dxa"/>
            <w:vAlign w:val="center"/>
          </w:tcPr>
          <w:p w14:paraId="7298ADA0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北弗吉尼亚</w:t>
            </w:r>
          </w:p>
        </w:tc>
        <w:tc>
          <w:tcPr>
            <w:tcW w:w="2300" w:type="dxa"/>
            <w:vAlign w:val="center"/>
          </w:tcPr>
          <w:p w14:paraId="6649BE58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4,039.6MW（2026Q1）</w:t>
            </w:r>
          </w:p>
        </w:tc>
        <w:tc>
          <w:tcPr>
            <w:tcW w:w="2500" w:type="dxa"/>
            <w:vAlign w:val="center"/>
          </w:tcPr>
          <w:p w14:paraId="36183379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空置率0.3%</w:t>
            </w:r>
          </w:p>
        </w:tc>
        <w:tc>
          <w:tcPr>
            <w:tcW w:w="3000" w:type="dxa"/>
            <w:vAlign w:val="center"/>
          </w:tcPr>
          <w:p w14:paraId="597B8C50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云生态强；电力和审批受限</w:t>
            </w:r>
          </w:p>
        </w:tc>
      </w:tr>
      <w:tr w:rsidR="007B5C49" w14:paraId="566FE1C8" w14:textId="77777777">
        <w:trPr>
          <w:jc w:val="center"/>
        </w:trPr>
        <w:tc>
          <w:tcPr>
            <w:tcW w:w="1800" w:type="dxa"/>
            <w:vAlign w:val="center"/>
          </w:tcPr>
          <w:p w14:paraId="0E81632A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北美八大一级市场</w:t>
            </w:r>
          </w:p>
        </w:tc>
        <w:tc>
          <w:tcPr>
            <w:tcW w:w="2300" w:type="dxa"/>
            <w:vAlign w:val="center"/>
          </w:tcPr>
          <w:p w14:paraId="14C5F357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9,432MW（H2 2025）</w:t>
            </w:r>
          </w:p>
        </w:tc>
        <w:tc>
          <w:tcPr>
            <w:tcW w:w="2500" w:type="dxa"/>
            <w:vAlign w:val="center"/>
          </w:tcPr>
          <w:p w14:paraId="0915031C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在建5,994MW；空置率1.4%</w:t>
            </w:r>
          </w:p>
        </w:tc>
        <w:tc>
          <w:tcPr>
            <w:tcW w:w="3000" w:type="dxa"/>
            <w:vAlign w:val="center"/>
          </w:tcPr>
          <w:p w14:paraId="06250CFC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全球最大集群；在建量高但预租强</w:t>
            </w:r>
          </w:p>
        </w:tc>
      </w:tr>
      <w:tr w:rsidR="007B5C49" w14:paraId="2CA03621" w14:textId="77777777">
        <w:trPr>
          <w:jc w:val="center"/>
        </w:trPr>
        <w:tc>
          <w:tcPr>
            <w:tcW w:w="1800" w:type="dxa"/>
            <w:vAlign w:val="center"/>
          </w:tcPr>
          <w:p w14:paraId="1D35A560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凤凰城</w:t>
            </w:r>
          </w:p>
        </w:tc>
        <w:tc>
          <w:tcPr>
            <w:tcW w:w="2300" w:type="dxa"/>
            <w:vAlign w:val="center"/>
          </w:tcPr>
          <w:p w14:paraId="2E16270C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807.3MW（H2 2025）</w:t>
            </w:r>
          </w:p>
        </w:tc>
        <w:tc>
          <w:tcPr>
            <w:tcW w:w="2500" w:type="dxa"/>
            <w:vAlign w:val="center"/>
          </w:tcPr>
          <w:p w14:paraId="22E4C2AA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可用10.5MW</w:t>
            </w:r>
          </w:p>
        </w:tc>
        <w:tc>
          <w:tcPr>
            <w:tcW w:w="3000" w:type="dxa"/>
            <w:vAlign w:val="center"/>
          </w:tcPr>
          <w:p w14:paraId="3D0CBC4A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土地较足；水、电和高温约束</w:t>
            </w:r>
          </w:p>
        </w:tc>
      </w:tr>
      <w:tr w:rsidR="007B5C49" w14:paraId="35E30895" w14:textId="77777777">
        <w:trPr>
          <w:jc w:val="center"/>
        </w:trPr>
        <w:tc>
          <w:tcPr>
            <w:tcW w:w="1800" w:type="dxa"/>
            <w:vAlign w:val="center"/>
          </w:tcPr>
          <w:p w14:paraId="19496243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FLAP-D</w:t>
            </w:r>
          </w:p>
        </w:tc>
        <w:tc>
          <w:tcPr>
            <w:tcW w:w="2300" w:type="dxa"/>
            <w:vAlign w:val="center"/>
          </w:tcPr>
          <w:p w14:paraId="2F4B68C0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成熟多城集群</w:t>
            </w:r>
          </w:p>
        </w:tc>
        <w:tc>
          <w:tcPr>
            <w:tcW w:w="2500" w:type="dxa"/>
            <w:vAlign w:val="center"/>
          </w:tcPr>
          <w:p w14:paraId="7AFE615E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空置率6.3%；管道83%预租</w:t>
            </w:r>
          </w:p>
        </w:tc>
        <w:tc>
          <w:tcPr>
            <w:tcW w:w="3000" w:type="dxa"/>
            <w:vAlign w:val="center"/>
          </w:tcPr>
          <w:p w14:paraId="0BEA4844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互联与客户强；政策和电力限制</w:t>
            </w:r>
          </w:p>
        </w:tc>
      </w:tr>
      <w:tr w:rsidR="007B5C49" w14:paraId="5F977814" w14:textId="77777777">
        <w:trPr>
          <w:jc w:val="center"/>
        </w:trPr>
        <w:tc>
          <w:tcPr>
            <w:tcW w:w="1800" w:type="dxa"/>
            <w:vAlign w:val="center"/>
          </w:tcPr>
          <w:p w14:paraId="61CD1897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新加坡</w:t>
            </w:r>
          </w:p>
        </w:tc>
        <w:tc>
          <w:tcPr>
            <w:tcW w:w="2300" w:type="dxa"/>
            <w:vAlign w:val="center"/>
          </w:tcPr>
          <w:p w14:paraId="1435383E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成熟枢纽</w:t>
            </w:r>
          </w:p>
        </w:tc>
        <w:tc>
          <w:tcPr>
            <w:tcW w:w="2500" w:type="dxa"/>
            <w:vAlign w:val="center"/>
          </w:tcPr>
          <w:p w14:paraId="58BB5EC4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空置率2%；约$403/kW/月</w:t>
            </w:r>
          </w:p>
        </w:tc>
        <w:tc>
          <w:tcPr>
            <w:tcW w:w="3000" w:type="dxa"/>
            <w:vAlign w:val="center"/>
          </w:tcPr>
          <w:p w14:paraId="272F608B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海缆、金融和合规；配额制</w:t>
            </w:r>
          </w:p>
        </w:tc>
      </w:tr>
      <w:tr w:rsidR="007B5C49" w14:paraId="3F024369" w14:textId="77777777">
        <w:trPr>
          <w:jc w:val="center"/>
        </w:trPr>
        <w:tc>
          <w:tcPr>
            <w:tcW w:w="1800" w:type="dxa"/>
            <w:vAlign w:val="center"/>
          </w:tcPr>
          <w:p w14:paraId="50E69153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柔佛</w:t>
            </w:r>
          </w:p>
        </w:tc>
        <w:tc>
          <w:tcPr>
            <w:tcW w:w="2300" w:type="dxa"/>
            <w:vAlign w:val="center"/>
          </w:tcPr>
          <w:p w14:paraId="3861F2DF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约897MW运营</w:t>
            </w:r>
          </w:p>
        </w:tc>
        <w:tc>
          <w:tcPr>
            <w:tcW w:w="2500" w:type="dxa"/>
            <w:vAlign w:val="center"/>
          </w:tcPr>
          <w:p w14:paraId="20AF270F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承接新加坡外溢</w:t>
            </w:r>
          </w:p>
        </w:tc>
        <w:tc>
          <w:tcPr>
            <w:tcW w:w="3000" w:type="dxa"/>
            <w:vAlign w:val="center"/>
          </w:tcPr>
          <w:p w14:paraId="7A7A4050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土地和电力；需警惕水电压力</w:t>
            </w:r>
          </w:p>
        </w:tc>
      </w:tr>
      <w:tr w:rsidR="007B5C49" w14:paraId="7706E2A7" w14:textId="77777777">
        <w:trPr>
          <w:jc w:val="center"/>
        </w:trPr>
        <w:tc>
          <w:tcPr>
            <w:tcW w:w="1800" w:type="dxa"/>
            <w:vAlign w:val="center"/>
          </w:tcPr>
          <w:p w14:paraId="54E0E0D8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东京</w:t>
            </w:r>
          </w:p>
        </w:tc>
        <w:tc>
          <w:tcPr>
            <w:tcW w:w="2300" w:type="dxa"/>
            <w:vAlign w:val="center"/>
          </w:tcPr>
          <w:p w14:paraId="521EA62B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超过1GW库存</w:t>
            </w:r>
          </w:p>
        </w:tc>
        <w:tc>
          <w:tcPr>
            <w:tcW w:w="2500" w:type="dxa"/>
            <w:vAlign w:val="center"/>
          </w:tcPr>
          <w:p w14:paraId="7CD9A871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空置率约6%</w:t>
            </w:r>
          </w:p>
        </w:tc>
        <w:tc>
          <w:tcPr>
            <w:tcW w:w="3000" w:type="dxa"/>
            <w:vAlign w:val="center"/>
          </w:tcPr>
          <w:p w14:paraId="451FFBAD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日本需求与云节点</w:t>
            </w:r>
          </w:p>
        </w:tc>
      </w:tr>
      <w:tr w:rsidR="007B5C49" w14:paraId="036446B6" w14:textId="77777777">
        <w:trPr>
          <w:jc w:val="center"/>
        </w:trPr>
        <w:tc>
          <w:tcPr>
            <w:tcW w:w="1800" w:type="dxa"/>
            <w:vAlign w:val="center"/>
          </w:tcPr>
          <w:p w14:paraId="5E321375" w14:textId="77777777" w:rsidR="007B5C49" w:rsidRDefault="00000000">
            <w:pPr>
              <w:spacing w:after="0" w:line="264" w:lineRule="auto"/>
            </w:pPr>
            <w:r>
              <w:rPr>
                <w:sz w:val="17"/>
              </w:rPr>
              <w:t>沙特</w:t>
            </w:r>
          </w:p>
        </w:tc>
        <w:tc>
          <w:tcPr>
            <w:tcW w:w="2300" w:type="dxa"/>
            <w:vAlign w:val="center"/>
          </w:tcPr>
          <w:p w14:paraId="422153D5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约440MW运营（2025）</w:t>
            </w:r>
          </w:p>
        </w:tc>
        <w:tc>
          <w:tcPr>
            <w:tcW w:w="2500" w:type="dxa"/>
            <w:vAlign w:val="center"/>
          </w:tcPr>
          <w:p w14:paraId="1399F48A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国家级扩张</w:t>
            </w:r>
          </w:p>
        </w:tc>
        <w:tc>
          <w:tcPr>
            <w:tcW w:w="3000" w:type="dxa"/>
            <w:vAlign w:val="center"/>
          </w:tcPr>
          <w:p w14:paraId="144703AA" w14:textId="77777777" w:rsidR="007B5C49" w:rsidRDefault="00000000">
            <w:pPr>
              <w:spacing w:after="0" w:line="264" w:lineRule="auto"/>
              <w:jc w:val="center"/>
            </w:pPr>
            <w:r>
              <w:rPr>
                <w:sz w:val="17"/>
              </w:rPr>
              <w:t>能源与资本；项目成熟度分化</w:t>
            </w:r>
          </w:p>
        </w:tc>
      </w:tr>
    </w:tbl>
    <w:p w14:paraId="38F95F34" w14:textId="77777777" w:rsidR="007B5C49" w:rsidRDefault="007B5C49">
      <w:pPr>
        <w:spacing w:after="40"/>
      </w:pPr>
    </w:p>
    <w:p w14:paraId="51C61260" w14:textId="77777777" w:rsidR="007B5C49" w:rsidRDefault="00000000">
      <w:pPr>
        <w:pStyle w:val="Heading2"/>
      </w:pPr>
      <w:r>
        <w:lastRenderedPageBreak/>
        <w:t xml:space="preserve">5. </w:t>
      </w:r>
      <w:r>
        <w:t>训练、推理和传统托管正在形成三套区位逻辑</w:t>
      </w:r>
    </w:p>
    <w:p w14:paraId="36BBC777" w14:textId="77777777" w:rsidR="007B5C49" w:rsidRDefault="00000000">
      <w:r>
        <w:t>传统企业托管最看重与客户的距离、网络互联、可用区冗余和合规，因此不会完全离开大城市。AI推理需要访问用户、数据和企业系统，部分负载仍会靠近都会区和区域云节点。AI训练对终端网络时延相对不敏感，却要求巨量连续电力、低单位电价、大片土地和高带宽后端网络，因此最容易迁往偏远能源区。</w:t>
      </w:r>
    </w:p>
    <w:p w14:paraId="5CDFEADC" w14:textId="77777777" w:rsidR="007B5C49" w:rsidRDefault="00000000">
      <w:r>
        <w:t>这意味着未来不是“旧核心市场被新市场替代”，而是功能分工加深：成熟都市集群继续承载互联、企业云、推理和高价值托管；能源型大园区承载训练和部分批量推理；二者通过骨干网络与云平台连接。判断一个市场是否有竞争力，必须先问它服务的负载类型。</w:t>
      </w:r>
    </w:p>
    <w:p w14:paraId="1541D078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4A81ED7D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18E73734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区域迁移逻辑</w:t>
            </w:r>
          </w:p>
          <w:p w14:paraId="793D94C9" w14:textId="77777777" w:rsidR="007B5C49" w:rsidRDefault="00000000">
            <w:pPr>
              <w:spacing w:after="0" w:line="288" w:lineRule="auto"/>
            </w:pPr>
            <w:r>
              <w:t>传统云/托管需求 → 客户、网络、合规形成成熟集群；AI训练功率快速上升 → 都市电网和土地无法快速扩张 → time-to-power成为第一选址因子 → 德州、柔佛、北欧、西班牙和中东等承接新增园区；AI推理增长 → 部分算力重新靠近人口、数据和企业节点 → 全球形成“能源型训练中心+都市型推理/互联中心”的双层结构。</w:t>
            </w:r>
          </w:p>
        </w:tc>
      </w:tr>
    </w:tbl>
    <w:p w14:paraId="7580A1A9" w14:textId="77777777" w:rsidR="007B5C49" w:rsidRDefault="007B5C49">
      <w:pPr>
        <w:spacing w:after="40"/>
      </w:pPr>
    </w:p>
    <w:p w14:paraId="62C6B4A6" w14:textId="77777777" w:rsidR="007B5C49" w:rsidRDefault="00000000">
      <w:pPr>
        <w:pStyle w:val="QALabel"/>
      </w:pPr>
      <w:r>
        <w:t>来源</w:t>
      </w:r>
    </w:p>
    <w:p w14:paraId="7C0D1F7D" w14:textId="77777777" w:rsidR="007B5C49" w:rsidRDefault="00000000">
      <w:pPr>
        <w:spacing w:after="80"/>
        <w:ind w:left="360" w:hanging="288"/>
      </w:pPr>
      <w:r>
        <w:rPr>
          <w:b/>
        </w:rPr>
        <w:t>• JLL｜2026 Global Data Center Market Outlook</w:t>
      </w:r>
      <w:r>
        <w:t>：全球区域占比、亚太32GW至57GW及美洲增长</w:t>
      </w:r>
      <w:r>
        <w:rPr>
          <w:color w:val="1F4E79"/>
        </w:rPr>
        <w:br/>
        <w:t>https://www.jll.com/en-us/insights/market-outlook/data-center-outlook</w:t>
      </w:r>
    </w:p>
    <w:p w14:paraId="1E7E00CA" w14:textId="77777777" w:rsidR="007B5C49" w:rsidRDefault="00000000">
      <w:pPr>
        <w:spacing w:after="80"/>
        <w:ind w:left="360" w:hanging="288"/>
      </w:pPr>
      <w:r>
        <w:rPr>
          <w:b/>
        </w:rPr>
        <w:t>• Cushman &amp; Wakefield｜2026 Global Data Center Market Comparison</w:t>
      </w:r>
      <w:r>
        <w:t>：107个市场、供电与执行因素、Texas趋势</w:t>
      </w:r>
      <w:r>
        <w:rPr>
          <w:color w:val="1F4E79"/>
        </w:rPr>
        <w:br/>
        <w:t>https://www.cushmanwakefield.com/en/insights/global-data-center-market-comparison</w:t>
      </w:r>
    </w:p>
    <w:p w14:paraId="62F0FAF4" w14:textId="77777777" w:rsidR="007B5C49" w:rsidRDefault="00000000">
      <w:pPr>
        <w:spacing w:after="80"/>
        <w:ind w:left="360" w:hanging="288"/>
      </w:pPr>
      <w:r>
        <w:rPr>
          <w:b/>
        </w:rPr>
        <w:t>• Cushman &amp; Wakefield｜H2 2025 EMEA Data Centre Market Update</w:t>
      </w:r>
      <w:r>
        <w:t>：欧洲运营容量、管道与在建容量</w:t>
      </w:r>
      <w:r>
        <w:rPr>
          <w:color w:val="1F4E79"/>
        </w:rPr>
        <w:br/>
        <w:t>https://www.cushmanwakefield.com/en/insights/emea-data-centre-update</w:t>
      </w:r>
    </w:p>
    <w:p w14:paraId="51D85DF9" w14:textId="77777777" w:rsidR="007B5C49" w:rsidRDefault="00000000">
      <w:pPr>
        <w:spacing w:after="80"/>
        <w:ind w:left="360" w:hanging="288"/>
      </w:pPr>
      <w:r>
        <w:rPr>
          <w:b/>
        </w:rPr>
        <w:t>• IEA｜Energy demand from AI</w:t>
      </w:r>
      <w:r>
        <w:t>：美国、中国、欧洲及东南亚用电增长</w:t>
      </w:r>
      <w:r>
        <w:rPr>
          <w:color w:val="1F4E79"/>
        </w:rPr>
        <w:br/>
        <w:t>https://www.iea.org/reports/energy-and-ai/energy-demand-from-ai</w:t>
      </w:r>
    </w:p>
    <w:p w14:paraId="7499F28B" w14:textId="77777777" w:rsidR="007B5C49" w:rsidRDefault="00000000">
      <w:pPr>
        <w:spacing w:after="80"/>
        <w:ind w:left="360" w:hanging="288"/>
      </w:pPr>
      <w:r>
        <w:rPr>
          <w:b/>
        </w:rPr>
        <w:t>• 本项目｜v1.9信源追溯版</w:t>
      </w:r>
      <w:r>
        <w:t>：北弗吉尼亚、Phoenix、FLAP-D、新加坡、柔佛、东京、印度和沙特的逐项核验口径</w:t>
      </w:r>
      <w:r>
        <w:rPr>
          <w:color w:val="1F4E79"/>
        </w:rPr>
        <w:br/>
        <w:t>内部资料，2026-07-23</w:t>
      </w:r>
    </w:p>
    <w:p w14:paraId="50FABD93" w14:textId="77777777" w:rsidR="007B5C49" w:rsidRDefault="00000000">
      <w:pPr>
        <w:pStyle w:val="Heading1"/>
        <w:pageBreakBefore/>
      </w:pPr>
      <w:r>
        <w:lastRenderedPageBreak/>
        <w:t>Q4</w:t>
      </w:r>
      <w:r>
        <w:t>：</w:t>
      </w:r>
      <w:r>
        <w:t>Microsoft</w:t>
      </w:r>
      <w:r>
        <w:t>、</w:t>
      </w:r>
      <w:r>
        <w:t>Amazon</w:t>
      </w:r>
      <w:r>
        <w:t>、</w:t>
      </w:r>
      <w:r>
        <w:t>Google</w:t>
      </w:r>
      <w:r>
        <w:t>、</w:t>
      </w:r>
      <w:r>
        <w:t>Meta</w:t>
      </w:r>
      <w:r>
        <w:t>为什么要自己建数据中心？</w:t>
      </w:r>
    </w:p>
    <w:p w14:paraId="3E478CA4" w14:textId="77777777" w:rsidR="007B5C49" w:rsidRDefault="00000000">
      <w:pPr>
        <w:pStyle w:val="QALabel"/>
      </w:pPr>
      <w:r>
        <w:t>通俗问题</w:t>
      </w:r>
    </w:p>
    <w:p w14:paraId="59EB3A0E" w14:textId="77777777" w:rsidR="007B5C49" w:rsidRDefault="00000000">
      <w:r>
        <w:t>既然市场上已有大量专业运营商，四大科技公司为什么还要花数千亿美元自己建设AI基础设施？</w:t>
      </w:r>
    </w:p>
    <w:p w14:paraId="301F1A0E" w14:textId="77777777" w:rsidR="007B5C49" w:rsidRDefault="00000000">
      <w:pPr>
        <w:pStyle w:val="QALabel"/>
      </w:pPr>
      <w:r>
        <w:t>主要研究（专业）</w:t>
      </w:r>
    </w:p>
    <w:p w14:paraId="3437654D" w14:textId="77777777" w:rsidR="007B5C49" w:rsidRDefault="00000000">
      <w:r>
        <w:t>Hyperscaler自建战略、资本开支口径、全栈控制能力及代表性园区。</w:t>
      </w:r>
    </w:p>
    <w:p w14:paraId="4C36091F" w14:textId="77777777" w:rsidR="007B5C49" w:rsidRDefault="00000000">
      <w:pPr>
        <w:pStyle w:val="QALabel"/>
      </w:pPr>
      <w:r>
        <w:t>研究方向</w:t>
      </w:r>
    </w:p>
    <w:p w14:paraId="5008D569" w14:textId="77777777" w:rsidR="007B5C49" w:rsidRDefault="00000000">
      <w:pPr>
        <w:pStyle w:val="ListBullet"/>
        <w:spacing w:after="80" w:line="288" w:lineRule="auto"/>
        <w:ind w:left="403" w:hanging="259"/>
      </w:pPr>
      <w:r>
        <w:t>逐家公司核对2026年CapEx指引，并拆分服务器、数据中心、网络及其他资本项目。</w:t>
      </w:r>
    </w:p>
    <w:p w14:paraId="7DEFED3D" w14:textId="77777777" w:rsidR="007B5C49" w:rsidRDefault="00000000">
      <w:pPr>
        <w:pStyle w:val="ListBullet"/>
        <w:spacing w:after="80" w:line="288" w:lineRule="auto"/>
        <w:ind w:left="403" w:hanging="259"/>
      </w:pPr>
      <w:r>
        <w:t>比较Azure、AWS、Google Cloud、Meta自用平台的业务目标、芯片路线和园区模式。</w:t>
      </w:r>
    </w:p>
    <w:p w14:paraId="786D4407" w14:textId="77777777" w:rsidR="007B5C49" w:rsidRDefault="00000000">
      <w:pPr>
        <w:pStyle w:val="ListBullet"/>
        <w:spacing w:after="80" w:line="288" w:lineRule="auto"/>
        <w:ind w:left="403" w:hanging="259"/>
      </w:pPr>
      <w:r>
        <w:t>判断自建的经济性、技术性和战略性原因，而不是只罗列投资新闻。</w:t>
      </w:r>
    </w:p>
    <w:p w14:paraId="12D7BEF3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33851C5B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79C5343C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1D71D856" w14:textId="77777777" w:rsidR="007B5C49" w:rsidRDefault="00000000">
            <w:pPr>
              <w:spacing w:after="0" w:line="288" w:lineRule="auto"/>
            </w:pPr>
            <w:r>
              <w:t>四大厂自建的核心不是“省房租”，而是控制算力供应、芯片与网络架构、能源效率、数据安全和长期单位成本。AI基础设施已成为云收入、模型能力和广告/推荐效率的生产资料；但自建周期太长，因此它们仍会同时租赁专业运营商和Neocloud容量。</w:t>
            </w:r>
          </w:p>
        </w:tc>
      </w:tr>
    </w:tbl>
    <w:p w14:paraId="149DA2FB" w14:textId="77777777" w:rsidR="007B5C49" w:rsidRDefault="007B5C49">
      <w:pPr>
        <w:spacing w:after="40"/>
      </w:pPr>
    </w:p>
    <w:p w14:paraId="7E823B71" w14:textId="77777777" w:rsidR="007B5C49" w:rsidRDefault="00000000">
      <w:pPr>
        <w:pStyle w:val="QALabel"/>
      </w:pPr>
      <w:r>
        <w:t>详细支撑</w:t>
      </w:r>
    </w:p>
    <w:p w14:paraId="652F4A18" w14:textId="77777777" w:rsidR="007B5C49" w:rsidRDefault="00000000">
      <w:pPr>
        <w:pStyle w:val="Heading2"/>
      </w:pPr>
      <w:r>
        <w:t>1. 2026</w:t>
      </w:r>
      <w:r>
        <w:t>年资本开支已接近</w:t>
      </w:r>
      <w:r>
        <w:t>7000</w:t>
      </w:r>
      <w:r>
        <w:t>亿美元量级，但不能全部算成</w:t>
      </w:r>
      <w:r>
        <w:t>AI</w:t>
      </w:r>
      <w:r>
        <w:t>机房</w:t>
      </w:r>
    </w:p>
    <w:p w14:paraId="623A7812" w14:textId="77777777" w:rsidR="007B5C49" w:rsidRDefault="00000000">
      <w:r>
        <w:t>截至2026年7月可核对的公司指引中，Amazon预计全年资本开支约2000亿美元；Microsoft市场与财报口径约1900亿美元；Alphabet在2026年一季度将指引由1750亿—1850亿美元上调至1800亿—1900亿美元；Meta将指引上调至1250亿—1450亿美元。按区间中值粗算，四家公司合计约7000亿—7250亿美元。</w:t>
      </w:r>
    </w:p>
    <w:p w14:paraId="781D4651" w14:textId="77777777" w:rsidR="007B5C49" w:rsidRDefault="00000000">
      <w:r>
        <w:t>这个合计只能表示资本投入强度，不能直接写成“AI数据中心投资7000亿美元”。Alphabet披露2025年技术基础设施投资约60%用于服务器、40%用于数据中心和网络；其他公司同样包含服务器、芯片、网络、物流或非数据中心资产。不同公司的会计年度、租赁确认和资本化政策也不同，因此不宜计算一个貌似精确的同比排名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1900"/>
        <w:gridCol w:w="2700"/>
        <w:gridCol w:w="3200"/>
      </w:tblGrid>
      <w:tr w:rsidR="007B5C49" w14:paraId="723C93A0" w14:textId="77777777">
        <w:trPr>
          <w:tblHeader/>
          <w:jc w:val="center"/>
        </w:trPr>
        <w:tc>
          <w:tcPr>
            <w:tcW w:w="1800" w:type="dxa"/>
            <w:shd w:val="clear" w:color="auto" w:fill="D9EAF7"/>
            <w:vAlign w:val="center"/>
          </w:tcPr>
          <w:p w14:paraId="161F9454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公司</w:t>
            </w:r>
          </w:p>
        </w:tc>
        <w:tc>
          <w:tcPr>
            <w:tcW w:w="1900" w:type="dxa"/>
            <w:shd w:val="clear" w:color="auto" w:fill="D9EAF7"/>
            <w:vAlign w:val="center"/>
          </w:tcPr>
          <w:p w14:paraId="548A1A94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2026年当前CapEx口径</w:t>
            </w:r>
          </w:p>
        </w:tc>
        <w:tc>
          <w:tcPr>
            <w:tcW w:w="2700" w:type="dxa"/>
            <w:shd w:val="clear" w:color="auto" w:fill="D9EAF7"/>
            <w:vAlign w:val="center"/>
          </w:tcPr>
          <w:p w14:paraId="512A8538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主要用途</w:t>
            </w:r>
          </w:p>
        </w:tc>
        <w:tc>
          <w:tcPr>
            <w:tcW w:w="3200" w:type="dxa"/>
            <w:shd w:val="clear" w:color="auto" w:fill="D9EAF7"/>
            <w:vAlign w:val="center"/>
          </w:tcPr>
          <w:p w14:paraId="67458CEF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必须保留的限制</w:t>
            </w:r>
          </w:p>
        </w:tc>
      </w:tr>
      <w:tr w:rsidR="007B5C49" w14:paraId="343CFF68" w14:textId="77777777">
        <w:trPr>
          <w:jc w:val="center"/>
        </w:trPr>
        <w:tc>
          <w:tcPr>
            <w:tcW w:w="1800" w:type="dxa"/>
            <w:vAlign w:val="center"/>
          </w:tcPr>
          <w:p w14:paraId="18F8430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Microsoft</w:t>
            </w:r>
          </w:p>
        </w:tc>
        <w:tc>
          <w:tcPr>
            <w:tcW w:w="1900" w:type="dxa"/>
            <w:vAlign w:val="center"/>
          </w:tcPr>
          <w:p w14:paraId="07315984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约1900亿美元</w:t>
            </w:r>
          </w:p>
        </w:tc>
        <w:tc>
          <w:tcPr>
            <w:tcW w:w="2700" w:type="dxa"/>
            <w:vAlign w:val="center"/>
          </w:tcPr>
          <w:p w14:paraId="0B43BFE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Azure、Fairwater、服务器与网络</w:t>
            </w:r>
          </w:p>
        </w:tc>
        <w:tc>
          <w:tcPr>
            <w:tcW w:w="3200" w:type="dxa"/>
            <w:vAlign w:val="center"/>
          </w:tcPr>
          <w:p w14:paraId="41249A37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市场/财报综合口径；并非全为土建</w:t>
            </w:r>
          </w:p>
        </w:tc>
      </w:tr>
      <w:tr w:rsidR="007B5C49" w14:paraId="3C4CD04B" w14:textId="77777777">
        <w:trPr>
          <w:jc w:val="center"/>
        </w:trPr>
        <w:tc>
          <w:tcPr>
            <w:tcW w:w="1800" w:type="dxa"/>
            <w:vAlign w:val="center"/>
          </w:tcPr>
          <w:p w14:paraId="231F00F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Amazon</w:t>
            </w:r>
          </w:p>
        </w:tc>
        <w:tc>
          <w:tcPr>
            <w:tcW w:w="1900" w:type="dxa"/>
            <w:vAlign w:val="center"/>
          </w:tcPr>
          <w:p w14:paraId="7773CDF4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约2000亿美元</w:t>
            </w:r>
          </w:p>
        </w:tc>
        <w:tc>
          <w:tcPr>
            <w:tcW w:w="2700" w:type="dxa"/>
            <w:vAlign w:val="center"/>
          </w:tcPr>
          <w:p w14:paraId="30B0F08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AWS、Trainium、数据中心与网络</w:t>
            </w:r>
          </w:p>
        </w:tc>
        <w:tc>
          <w:tcPr>
            <w:tcW w:w="3200" w:type="dxa"/>
            <w:vAlign w:val="center"/>
          </w:tcPr>
          <w:p w14:paraId="0F07E0E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公司综合CapEx；AWS为主要驱动</w:t>
            </w:r>
          </w:p>
        </w:tc>
      </w:tr>
      <w:tr w:rsidR="007B5C49" w14:paraId="5EE21445" w14:textId="77777777">
        <w:trPr>
          <w:jc w:val="center"/>
        </w:trPr>
        <w:tc>
          <w:tcPr>
            <w:tcW w:w="1800" w:type="dxa"/>
            <w:vAlign w:val="center"/>
          </w:tcPr>
          <w:p w14:paraId="69DFB22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Alphabet</w:t>
            </w:r>
          </w:p>
        </w:tc>
        <w:tc>
          <w:tcPr>
            <w:tcW w:w="1900" w:type="dxa"/>
            <w:vAlign w:val="center"/>
          </w:tcPr>
          <w:p w14:paraId="45C33586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1800亿—1900亿美元</w:t>
            </w:r>
          </w:p>
        </w:tc>
        <w:tc>
          <w:tcPr>
            <w:tcW w:w="2700" w:type="dxa"/>
            <w:vAlign w:val="center"/>
          </w:tcPr>
          <w:p w14:paraId="6CE932F7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TPU、服务器、数据中心、网络</w:t>
            </w:r>
          </w:p>
        </w:tc>
        <w:tc>
          <w:tcPr>
            <w:tcW w:w="3200" w:type="dxa"/>
            <w:vAlign w:val="center"/>
          </w:tcPr>
          <w:p w14:paraId="49550D0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Q1更新；含Intersect收购相关投资</w:t>
            </w:r>
          </w:p>
        </w:tc>
      </w:tr>
      <w:tr w:rsidR="007B5C49" w14:paraId="4B0C30C7" w14:textId="77777777">
        <w:trPr>
          <w:jc w:val="center"/>
        </w:trPr>
        <w:tc>
          <w:tcPr>
            <w:tcW w:w="1800" w:type="dxa"/>
            <w:vAlign w:val="center"/>
          </w:tcPr>
          <w:p w14:paraId="22307A8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Meta</w:t>
            </w:r>
          </w:p>
        </w:tc>
        <w:tc>
          <w:tcPr>
            <w:tcW w:w="1900" w:type="dxa"/>
            <w:vAlign w:val="center"/>
          </w:tcPr>
          <w:p w14:paraId="38D95041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1250亿—1450亿美元</w:t>
            </w:r>
          </w:p>
        </w:tc>
        <w:tc>
          <w:tcPr>
            <w:tcW w:w="2700" w:type="dxa"/>
            <w:vAlign w:val="center"/>
          </w:tcPr>
          <w:p w14:paraId="03E8A4D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AI计算、Hyperion、Prometheus、MTIA</w:t>
            </w:r>
          </w:p>
        </w:tc>
        <w:tc>
          <w:tcPr>
            <w:tcW w:w="3200" w:type="dxa"/>
            <w:vAlign w:val="center"/>
          </w:tcPr>
          <w:p w14:paraId="0F084358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Q1更新；含服务器、内存与设施成本</w:t>
            </w:r>
          </w:p>
        </w:tc>
      </w:tr>
    </w:tbl>
    <w:p w14:paraId="2DB829C5" w14:textId="77777777" w:rsidR="007B5C49" w:rsidRDefault="007B5C49">
      <w:pPr>
        <w:spacing w:after="40"/>
      </w:pPr>
    </w:p>
    <w:p w14:paraId="0D273E7D" w14:textId="77777777" w:rsidR="007B5C49" w:rsidRDefault="00000000">
      <w:pPr>
        <w:pStyle w:val="Heading2"/>
      </w:pPr>
      <w:r>
        <w:lastRenderedPageBreak/>
        <w:t>2. Microsoft</w:t>
      </w:r>
      <w:r>
        <w:t>：把分散数据中心连成</w:t>
      </w:r>
      <w:r>
        <w:t>AI superfactory</w:t>
      </w:r>
    </w:p>
    <w:p w14:paraId="359505AC" w14:textId="77777777" w:rsidR="007B5C49" w:rsidRDefault="00000000">
      <w:r>
        <w:t>Microsoft自建首先服务Azure和模型训练。Fairwater架构把威斯康星与亚特兰大等设施通过专用网络连接，目标是把多个物理园区作为一台超大AI计算机调度。威斯康星首座设施初始投资约33亿美元，占地315英亩、三栋建筑合计约120万平方英尺；公司又承诺未来三年追加40亿美元建设第二座相似设施，使当地总投资超过70亿美元。2026年6月，公司宣布首座设施已经完成建设并全面运营。</w:t>
      </w:r>
    </w:p>
    <w:p w14:paraId="31075D2B" w14:textId="77777777" w:rsidR="007B5C49" w:rsidRDefault="00000000">
      <w:r>
        <w:t>自建使Microsoft可以围绕特定GPU、液冷、后端网络和Azure软件栈共同设计，而不是把通用托管机房改造成AI集群。它还能把容量在OpenAI、Azure客户和Microsoft内部产品之间调配。但其成本是前期资本巨大、建设周期长，并承担电力、供应链和资产利用率风险。</w:t>
      </w:r>
    </w:p>
    <w:p w14:paraId="028E119E" w14:textId="77777777" w:rsidR="007B5C49" w:rsidRDefault="00000000">
      <w:pPr>
        <w:pStyle w:val="Heading2"/>
      </w:pPr>
      <w:r>
        <w:t>3. Amazon</w:t>
      </w:r>
      <w:r>
        <w:t>：</w:t>
      </w:r>
      <w:r>
        <w:t>AWS</w:t>
      </w:r>
      <w:r>
        <w:t>规模经济与</w:t>
      </w:r>
      <w:r>
        <w:t>Trainium</w:t>
      </w:r>
      <w:r>
        <w:t>共同决定自建</w:t>
      </w:r>
    </w:p>
    <w:p w14:paraId="1F468975" w14:textId="77777777" w:rsidR="007B5C49" w:rsidRDefault="00000000">
      <w:r>
        <w:t>Amazon的自建逻辑建立在AWS全球区域和可用区网络之上。AWS既要部署NVIDIA GPU，也要扩大自研Trainium和Inferentia芯片；芯片、服务器、网络和数据中心共同优化，才能降低单位训练和推理成本。约2000亿美元年度CapEx主要由AI基础设施推动，但仍是Amazon综合口径，不能全部归入AWS土建。</w:t>
      </w:r>
    </w:p>
    <w:p w14:paraId="701403AD" w14:textId="77777777" w:rsidR="007B5C49" w:rsidRDefault="00000000">
      <w:r>
        <w:t>Amazon的优势是可以用庞大AWS客户池分散单一模型客户风险，并通过云服务把资本资产转化为长期使用量收入。其难点同样是供给不足：即使资金充足，电力、变压器、内存和施工也限制同年新增容量，因此Amazon仍会使用第三方开发和租赁。</w:t>
      </w:r>
    </w:p>
    <w:p w14:paraId="4ADE0134" w14:textId="77777777" w:rsidR="007B5C49" w:rsidRDefault="00000000">
      <w:pPr>
        <w:pStyle w:val="Heading2"/>
      </w:pPr>
      <w:r>
        <w:t>4. Alphabet</w:t>
      </w:r>
      <w:r>
        <w:t>：</w:t>
      </w:r>
      <w:r>
        <w:t>TPU</w:t>
      </w:r>
      <w:r>
        <w:t>、</w:t>
      </w:r>
      <w:r>
        <w:t>DeepMind</w:t>
      </w:r>
      <w:r>
        <w:t>、</w:t>
      </w:r>
      <w:r>
        <w:t>Cloud</w:t>
      </w:r>
      <w:r>
        <w:t>与广告共享一套基础设施</w:t>
      </w:r>
    </w:p>
    <w:p w14:paraId="41E0FD62" w14:textId="77777777" w:rsidR="007B5C49" w:rsidRDefault="00000000">
      <w:r>
        <w:t>Alphabet 2026年一季度把CapEx上调至1800亿—1900亿美元，并表示内部与外部AI计算需求均达到前所未有水平。其自建优势尤为明显：TPU、数据中心、网络、Gemini/DeepMind、搜索和Google Cloud可以全栈联动。公司披露约一半或略高于一半的机器学习计算资源将面向Cloud，说明自建容量既服务内部模型，也转化为外部云收入。</w:t>
      </w:r>
    </w:p>
    <w:p w14:paraId="6F657C1B" w14:textId="77777777" w:rsidR="007B5C49" w:rsidRDefault="00000000">
      <w:r>
        <w:t>Alphabet还强调利用率管理：芯片不能在仓库等机房，机房也不能等芯片。自建的真正经济性来自供应链同步、工作负载调度和自研芯片效率，而不是单一建筑成本。</w:t>
      </w:r>
    </w:p>
    <w:p w14:paraId="2356FA0B" w14:textId="77777777" w:rsidR="007B5C49" w:rsidRDefault="00000000">
      <w:pPr>
        <w:pStyle w:val="Heading2"/>
      </w:pPr>
      <w:r>
        <w:t>5. Meta</w:t>
      </w:r>
      <w:r>
        <w:t>：广告现金流支撑自用</w:t>
      </w:r>
      <w:r>
        <w:t>AI</w:t>
      </w:r>
      <w:r>
        <w:t>工厂</w:t>
      </w:r>
    </w:p>
    <w:p w14:paraId="5AC33091" w14:textId="77777777" w:rsidR="007B5C49" w:rsidRDefault="00000000">
      <w:r>
        <w:t>Meta与三家云厂商不同，它并不以出售通用云服务为主，数据中心主要服务推荐、广告、生成式AI、模型训练及内部生产力。2026年CapEx指引升至1250亿—1450亿美元，显示其把算力视为核心产品能力。Hyperion远期5GW、Prometheus 1GW+等数字应写成规划或建成后容量，不能当作当前运营规模。</w:t>
      </w:r>
    </w:p>
    <w:p w14:paraId="0D2B09D7" w14:textId="77777777" w:rsidR="007B5C49" w:rsidRDefault="00000000">
      <w:r>
        <w:t>Meta自建能围绕自研MTIA、GPU、推荐系统和大规模模型进行定制，并避免长期向竞争对手云平台支付溢价。但它也扩大了利用率和技术代际风险：若模型效率、芯片路线或需求变化，专用资产可能折旧更快。因此Meta同时通过第三方和Neocloud补充快速容量。</w:t>
      </w:r>
    </w:p>
    <w:p w14:paraId="47252471" w14:textId="77777777" w:rsidR="007B5C49" w:rsidRDefault="00000000">
      <w:pPr>
        <w:pStyle w:val="QALabel"/>
      </w:pPr>
      <w:r>
        <w:lastRenderedPageBreak/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385FD5BD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76F3EAC0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为什么自建</w:t>
            </w:r>
          </w:p>
          <w:p w14:paraId="0681B094" w14:textId="77777777" w:rsidR="007B5C49" w:rsidRDefault="00000000">
            <w:pPr>
              <w:spacing w:after="0" w:line="288" w:lineRule="auto"/>
            </w:pPr>
            <w:r>
              <w:t>AI模型与云需求成为核心收入驱动 → 算力供给决定产品上线速度 → 通用机房无法完全满足高密度GPU/ASIC → 大厂通过自建控制芯片、网络、液冷和能源 → 形成更低长期单位成本与更强供应保障；但自建交付慢 → 同时保留租赁和外部算力采购。</w:t>
            </w:r>
          </w:p>
        </w:tc>
      </w:tr>
    </w:tbl>
    <w:p w14:paraId="4F97816F" w14:textId="77777777" w:rsidR="007B5C49" w:rsidRDefault="007B5C49">
      <w:pPr>
        <w:spacing w:after="40"/>
      </w:pPr>
    </w:p>
    <w:p w14:paraId="024D6DFF" w14:textId="77777777" w:rsidR="007B5C49" w:rsidRDefault="00000000">
      <w:pPr>
        <w:pStyle w:val="QALabel"/>
      </w:pPr>
      <w:r>
        <w:t>来源</w:t>
      </w:r>
    </w:p>
    <w:p w14:paraId="6F818DF9" w14:textId="77777777" w:rsidR="007B5C49" w:rsidRDefault="00000000">
      <w:pPr>
        <w:spacing w:after="80"/>
        <w:ind w:left="360" w:hanging="288"/>
      </w:pPr>
      <w:r>
        <w:rPr>
          <w:b/>
        </w:rPr>
        <w:t>• Alphabet｜2026 Q1 Earnings Call</w:t>
      </w:r>
      <w:r>
        <w:t>：CapEx更新至1800亿—1900亿美元</w:t>
      </w:r>
      <w:r>
        <w:rPr>
          <w:color w:val="1F4E79"/>
        </w:rPr>
        <w:br/>
        <w:t>https://abc.xyz/investor/events/event-details/2026/2026-Q1-Earnings-Call-2026-nW8kCrBAKS/default.aspx</w:t>
      </w:r>
    </w:p>
    <w:p w14:paraId="58308E75" w14:textId="77777777" w:rsidR="007B5C49" w:rsidRDefault="00000000">
      <w:pPr>
        <w:spacing w:after="80"/>
        <w:ind w:left="360" w:hanging="288"/>
      </w:pPr>
      <w:r>
        <w:rPr>
          <w:b/>
        </w:rPr>
        <w:t>• Alphabet｜CFO at Morgan Stanley TMT Conference</w:t>
      </w:r>
      <w:r>
        <w:t>：服务器/数据中心网络拆分与全栈利用率逻辑</w:t>
      </w:r>
      <w:r>
        <w:rPr>
          <w:color w:val="1F4E79"/>
        </w:rPr>
        <w:br/>
        <w:t>https://abc.xyz/investor/events/event-details/2026/Anat-Ashkenazi-SVP-and-CFO-of-Alphabet-and-Google-at-the-Morgan-Stanley-Technology-Media-and-Telecom-Conference-on-March-3-2026-2026-r9dUUoVl6o/default.aspx</w:t>
      </w:r>
    </w:p>
    <w:p w14:paraId="59D5F8CB" w14:textId="77777777" w:rsidR="007B5C49" w:rsidRDefault="00000000">
      <w:pPr>
        <w:spacing w:after="80"/>
        <w:ind w:left="360" w:hanging="288"/>
      </w:pPr>
      <w:r>
        <w:rPr>
          <w:b/>
        </w:rPr>
        <w:t>• Microsoft｜Fairwater Wisconsin completed</w:t>
      </w:r>
      <w:r>
        <w:t>：首座设施全面运营</w:t>
      </w:r>
      <w:r>
        <w:rPr>
          <w:color w:val="1F4E79"/>
        </w:rPr>
        <w:br/>
        <w:t>https://news.microsoft.com/source/2026/06/23/microsoft-completes-construction-on-first-datacenter-facility-in-mount-pleasant-wisconsin/</w:t>
      </w:r>
    </w:p>
    <w:p w14:paraId="00B658DE" w14:textId="77777777" w:rsidR="007B5C49" w:rsidRDefault="00000000">
      <w:pPr>
        <w:spacing w:after="80"/>
        <w:ind w:left="360" w:hanging="288"/>
      </w:pPr>
      <w:r>
        <w:rPr>
          <w:b/>
        </w:rPr>
        <w:t>• Microsoft｜Inside the world's most powerful AI datacenter</w:t>
      </w:r>
      <w:r>
        <w:t>：315英亩、120万平方英尺等工程数据</w:t>
      </w:r>
      <w:r>
        <w:rPr>
          <w:color w:val="1F4E79"/>
        </w:rPr>
        <w:br/>
        <w:t>https://blogs.microsoft.com/blog/2025/09/18/inside-the-worlds-most-powerful-ai-datacenter/</w:t>
      </w:r>
    </w:p>
    <w:p w14:paraId="6E7BFD4F" w14:textId="77777777" w:rsidR="007B5C49" w:rsidRDefault="00000000">
      <w:pPr>
        <w:spacing w:after="80"/>
        <w:ind w:left="360" w:hanging="288"/>
      </w:pPr>
      <w:r>
        <w:rPr>
          <w:b/>
        </w:rPr>
        <w:t>• Microsoft｜Made in Wisconsin</w:t>
      </w:r>
      <w:r>
        <w:t>：33亿美元初始投资及40亿美元追加承诺</w:t>
      </w:r>
      <w:r>
        <w:rPr>
          <w:color w:val="1F4E79"/>
        </w:rPr>
        <w:br/>
        <w:t>https://blogs.microsoft.com/on-the-issues/2025/09/18/made-in-wisconsin-the-worlds-most-powerful-ai-datacenter/</w:t>
      </w:r>
    </w:p>
    <w:p w14:paraId="25B1B68A" w14:textId="77777777" w:rsidR="007B5C49" w:rsidRDefault="00000000">
      <w:pPr>
        <w:spacing w:after="80"/>
        <w:ind w:left="360" w:hanging="288"/>
      </w:pPr>
      <w:r>
        <w:rPr>
          <w:b/>
        </w:rPr>
        <w:t>• Meta｜Investor Relations</w:t>
      </w:r>
      <w:r>
        <w:t>：季度财报与CapEx指引入口</w:t>
      </w:r>
      <w:r>
        <w:rPr>
          <w:color w:val="1F4E79"/>
        </w:rPr>
        <w:br/>
        <w:t>https://investor.atmeta.com/</w:t>
      </w:r>
    </w:p>
    <w:p w14:paraId="2DB48E4C" w14:textId="77777777" w:rsidR="007B5C49" w:rsidRDefault="00000000">
      <w:pPr>
        <w:spacing w:after="80"/>
        <w:ind w:left="360" w:hanging="288"/>
      </w:pPr>
      <w:r>
        <w:rPr>
          <w:b/>
        </w:rPr>
        <w:t>• Amazon｜Investor Relations</w:t>
      </w:r>
      <w:r>
        <w:t>：财报、电话会和资本开支入口</w:t>
      </w:r>
      <w:r>
        <w:rPr>
          <w:color w:val="1F4E79"/>
        </w:rPr>
        <w:br/>
        <w:t>https://ir.aboutamazon.com/</w:t>
      </w:r>
    </w:p>
    <w:p w14:paraId="02C3BC00" w14:textId="77777777" w:rsidR="007B5C49" w:rsidRDefault="00000000">
      <w:pPr>
        <w:pStyle w:val="Heading1"/>
        <w:pageBreakBefore/>
      </w:pPr>
      <w:r>
        <w:lastRenderedPageBreak/>
        <w:t>Q5</w:t>
      </w:r>
      <w:r>
        <w:t>：大厂为什么自己能建，仍然还要大量租赁？</w:t>
      </w:r>
    </w:p>
    <w:p w14:paraId="2A0FFCEE" w14:textId="77777777" w:rsidR="007B5C49" w:rsidRDefault="00000000">
      <w:pPr>
        <w:pStyle w:val="QALabel"/>
      </w:pPr>
      <w:r>
        <w:t>通俗问题</w:t>
      </w:r>
    </w:p>
    <w:p w14:paraId="42670164" w14:textId="77777777" w:rsidR="007B5C49" w:rsidRDefault="00000000">
      <w:r>
        <w:t>既然四大厂有资金、技术和建设团队，为什么还要向Equinix、Digital Realty、Vantage、QTS、CoreWeave等外部供应商买容量？</w:t>
      </w:r>
    </w:p>
    <w:p w14:paraId="04AD3C63" w14:textId="77777777" w:rsidR="007B5C49" w:rsidRDefault="00000000">
      <w:pPr>
        <w:pStyle w:val="QALabel"/>
      </w:pPr>
      <w:r>
        <w:t>主要研究（专业）</w:t>
      </w:r>
    </w:p>
    <w:p w14:paraId="04F25A64" w14:textId="77777777" w:rsidR="007B5C49" w:rsidRDefault="00000000">
      <w:r>
        <w:t>Hyperscaler自建与租赁的混合模式、time-to-market、资产负债表与区域覆盖。</w:t>
      </w:r>
    </w:p>
    <w:p w14:paraId="6082592F" w14:textId="77777777" w:rsidR="007B5C49" w:rsidRDefault="00000000">
      <w:pPr>
        <w:pStyle w:val="QALabel"/>
      </w:pPr>
      <w:r>
        <w:t>研究方向</w:t>
      </w:r>
    </w:p>
    <w:p w14:paraId="03A45C62" w14:textId="77777777" w:rsidR="007B5C49" w:rsidRDefault="00000000">
      <w:pPr>
        <w:pStyle w:val="ListBullet"/>
        <w:spacing w:after="80" w:line="288" w:lineRule="auto"/>
        <w:ind w:left="403" w:hanging="259"/>
      </w:pPr>
      <w:r>
        <w:t>比较自建、批发租赁、build-to-suit、合资和算力云采购的速度与风险。</w:t>
      </w:r>
    </w:p>
    <w:p w14:paraId="5378DC30" w14:textId="77777777" w:rsidR="007B5C49" w:rsidRDefault="00000000">
      <w:pPr>
        <w:pStyle w:val="ListBullet"/>
        <w:spacing w:after="80" w:line="288" w:lineRule="auto"/>
        <w:ind w:left="403" w:hanging="259"/>
      </w:pPr>
      <w:r>
        <w:t>解释训练、推理、传统云和企业互联为什么对应不同外部供应商。</w:t>
      </w:r>
    </w:p>
    <w:p w14:paraId="5EA40D4E" w14:textId="77777777" w:rsidR="007B5C49" w:rsidRDefault="00000000">
      <w:pPr>
        <w:pStyle w:val="ListBullet"/>
        <w:spacing w:after="80" w:line="288" w:lineRule="auto"/>
        <w:ind w:left="403" w:hanging="259"/>
      </w:pPr>
      <w:r>
        <w:t>识别租赁合同金额、开发商园区容量和实际客户使用容量的重复统计。</w:t>
      </w:r>
    </w:p>
    <w:p w14:paraId="569F4A71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2DC61726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37F7BA7A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35B9A39A" w14:textId="77777777" w:rsidR="007B5C49" w:rsidRDefault="00000000">
            <w:pPr>
              <w:spacing w:after="0" w:line="288" w:lineRule="auto"/>
            </w:pPr>
            <w:r>
              <w:t>租赁不是能力不足，而是用更高的单位价格换取更快上线、更多区域覆盖和更低项目风险。自建适合长期、可预测、规模巨大的核心负载；租赁适合紧急容量、陌生市场、边缘/互联节点、需求不确定或需要第三方融资的项目。</w:t>
            </w:r>
          </w:p>
        </w:tc>
      </w:tr>
    </w:tbl>
    <w:p w14:paraId="2372DC3B" w14:textId="77777777" w:rsidR="007B5C49" w:rsidRDefault="007B5C49">
      <w:pPr>
        <w:spacing w:after="40"/>
      </w:pPr>
    </w:p>
    <w:p w14:paraId="08778B98" w14:textId="77777777" w:rsidR="007B5C49" w:rsidRDefault="00000000">
      <w:pPr>
        <w:pStyle w:val="QALabel"/>
      </w:pPr>
      <w:r>
        <w:t>详细支撑</w:t>
      </w:r>
    </w:p>
    <w:p w14:paraId="6D32F69F" w14:textId="77777777" w:rsidR="007B5C49" w:rsidRDefault="00000000">
      <w:pPr>
        <w:pStyle w:val="Heading2"/>
      </w:pPr>
      <w:r>
        <w:t xml:space="preserve">1. </w:t>
      </w:r>
      <w:r>
        <w:t>时间价值常常大于房租差异</w:t>
      </w:r>
    </w:p>
    <w:p w14:paraId="572C18A3" w14:textId="77777777" w:rsidR="007B5C49" w:rsidRDefault="00000000">
      <w:r>
        <w:t>AI产品和云订单的收入窗口以季度计算，而大型数据中心从选址、并网到上线往往需要数年。如果专业开发商已经锁定电力、土地和许可，大厂租下几十至数百MW，可能比自建提前一至三年获得容量。提前上线带来的云收入、模型训练进度和客户留存，可能远高于长期租金溢价。</w:t>
      </w:r>
    </w:p>
    <w:p w14:paraId="51BA0E30" w14:textId="77777777" w:rsidR="007B5C49" w:rsidRDefault="00000000">
      <w:r>
        <w:t>因此，行业真正交易的不是空房间，而是“可在某个日期交付的电力”。当北弗吉尼亚等市场空置率接近零、在建容量大量预租时，已锁电项目本身就具有稀缺价值。</w:t>
      </w:r>
    </w:p>
    <w:p w14:paraId="69BF33A2" w14:textId="77777777" w:rsidR="007B5C49" w:rsidRDefault="00000000">
      <w:pPr>
        <w:pStyle w:val="Heading2"/>
      </w:pPr>
      <w:r>
        <w:t xml:space="preserve">2. </w:t>
      </w:r>
      <w:r>
        <w:t>五种模式对应五种风险分配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2300"/>
        <w:gridCol w:w="1300"/>
        <w:gridCol w:w="2500"/>
        <w:gridCol w:w="1800"/>
      </w:tblGrid>
      <w:tr w:rsidR="007B5C49" w14:paraId="7345DE05" w14:textId="77777777">
        <w:trPr>
          <w:tblHeader/>
          <w:jc w:val="center"/>
        </w:trPr>
        <w:tc>
          <w:tcPr>
            <w:tcW w:w="1700" w:type="dxa"/>
            <w:shd w:val="clear" w:color="auto" w:fill="D9EAF7"/>
            <w:vAlign w:val="center"/>
          </w:tcPr>
          <w:p w14:paraId="672CB2C7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模式</w:t>
            </w:r>
          </w:p>
        </w:tc>
        <w:tc>
          <w:tcPr>
            <w:tcW w:w="2300" w:type="dxa"/>
            <w:shd w:val="clear" w:color="auto" w:fill="D9EAF7"/>
            <w:vAlign w:val="center"/>
          </w:tcPr>
          <w:p w14:paraId="38D36FD5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谁出资本/持有资产</w:t>
            </w:r>
          </w:p>
        </w:tc>
        <w:tc>
          <w:tcPr>
            <w:tcW w:w="1300" w:type="dxa"/>
            <w:shd w:val="clear" w:color="auto" w:fill="D9EAF7"/>
            <w:vAlign w:val="center"/>
          </w:tcPr>
          <w:p w14:paraId="22761BAB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上线速度</w:t>
            </w:r>
          </w:p>
        </w:tc>
        <w:tc>
          <w:tcPr>
            <w:tcW w:w="2500" w:type="dxa"/>
            <w:shd w:val="clear" w:color="auto" w:fill="D9EAF7"/>
            <w:vAlign w:val="center"/>
          </w:tcPr>
          <w:p w14:paraId="28102812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适用负载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0EDDEFD1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主要代价</w:t>
            </w:r>
          </w:p>
        </w:tc>
      </w:tr>
      <w:tr w:rsidR="007B5C49" w14:paraId="44B0FD42" w14:textId="77777777">
        <w:trPr>
          <w:jc w:val="center"/>
        </w:trPr>
        <w:tc>
          <w:tcPr>
            <w:tcW w:w="1700" w:type="dxa"/>
            <w:vAlign w:val="center"/>
          </w:tcPr>
          <w:p w14:paraId="5A634F6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完全自建</w:t>
            </w:r>
          </w:p>
        </w:tc>
        <w:tc>
          <w:tcPr>
            <w:tcW w:w="2300" w:type="dxa"/>
            <w:vAlign w:val="center"/>
          </w:tcPr>
          <w:p w14:paraId="2EE9869F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科技公司</w:t>
            </w:r>
          </w:p>
        </w:tc>
        <w:tc>
          <w:tcPr>
            <w:tcW w:w="1300" w:type="dxa"/>
            <w:vAlign w:val="center"/>
          </w:tcPr>
          <w:p w14:paraId="4FDE4CB0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最慢</w:t>
            </w:r>
          </w:p>
        </w:tc>
        <w:tc>
          <w:tcPr>
            <w:tcW w:w="2500" w:type="dxa"/>
            <w:vAlign w:val="center"/>
          </w:tcPr>
          <w:p w14:paraId="1E30EE5B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核心长期负载、超大训练</w:t>
            </w:r>
          </w:p>
        </w:tc>
        <w:tc>
          <w:tcPr>
            <w:tcW w:w="1800" w:type="dxa"/>
            <w:vAlign w:val="center"/>
          </w:tcPr>
          <w:p w14:paraId="5634DA8B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资本占用与交付风险</w:t>
            </w:r>
          </w:p>
        </w:tc>
      </w:tr>
      <w:tr w:rsidR="007B5C49" w14:paraId="41568C44" w14:textId="77777777">
        <w:trPr>
          <w:jc w:val="center"/>
        </w:trPr>
        <w:tc>
          <w:tcPr>
            <w:tcW w:w="1700" w:type="dxa"/>
            <w:vAlign w:val="center"/>
          </w:tcPr>
          <w:p w14:paraId="54F0A2F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批发租赁</w:t>
            </w:r>
          </w:p>
        </w:tc>
        <w:tc>
          <w:tcPr>
            <w:tcW w:w="2300" w:type="dxa"/>
            <w:vAlign w:val="center"/>
          </w:tcPr>
          <w:p w14:paraId="2EA9D832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运营商/基金</w:t>
            </w:r>
          </w:p>
        </w:tc>
        <w:tc>
          <w:tcPr>
            <w:tcW w:w="1300" w:type="dxa"/>
            <w:vAlign w:val="center"/>
          </w:tcPr>
          <w:p w14:paraId="44D7BB8C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较快</w:t>
            </w:r>
          </w:p>
        </w:tc>
        <w:tc>
          <w:tcPr>
            <w:tcW w:w="2500" w:type="dxa"/>
            <w:vAlign w:val="center"/>
          </w:tcPr>
          <w:p w14:paraId="2342CB58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云区域、AI容量扩张</w:t>
            </w:r>
          </w:p>
        </w:tc>
        <w:tc>
          <w:tcPr>
            <w:tcW w:w="1800" w:type="dxa"/>
            <w:vAlign w:val="center"/>
          </w:tcPr>
          <w:p w14:paraId="547FAE82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租金及长期承诺</w:t>
            </w:r>
          </w:p>
        </w:tc>
      </w:tr>
      <w:tr w:rsidR="007B5C49" w14:paraId="5ED7E7AC" w14:textId="77777777">
        <w:trPr>
          <w:jc w:val="center"/>
        </w:trPr>
        <w:tc>
          <w:tcPr>
            <w:tcW w:w="1700" w:type="dxa"/>
            <w:vAlign w:val="center"/>
          </w:tcPr>
          <w:p w14:paraId="304FDAC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Build-to-suit</w:t>
            </w:r>
          </w:p>
        </w:tc>
        <w:tc>
          <w:tcPr>
            <w:tcW w:w="2300" w:type="dxa"/>
            <w:vAlign w:val="center"/>
          </w:tcPr>
          <w:p w14:paraId="0288E87A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开发商+资本方</w:t>
            </w:r>
          </w:p>
        </w:tc>
        <w:tc>
          <w:tcPr>
            <w:tcW w:w="1300" w:type="dxa"/>
            <w:vAlign w:val="center"/>
          </w:tcPr>
          <w:p w14:paraId="594B3E2D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中等</w:t>
            </w:r>
          </w:p>
        </w:tc>
        <w:tc>
          <w:tcPr>
            <w:tcW w:w="2500" w:type="dxa"/>
            <w:vAlign w:val="center"/>
          </w:tcPr>
          <w:p w14:paraId="369D247C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专用大客户园区</w:t>
            </w:r>
          </w:p>
        </w:tc>
        <w:tc>
          <w:tcPr>
            <w:tcW w:w="1800" w:type="dxa"/>
            <w:vAlign w:val="center"/>
          </w:tcPr>
          <w:p w14:paraId="458D7540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客户仍承担长期合同</w:t>
            </w:r>
          </w:p>
        </w:tc>
      </w:tr>
      <w:tr w:rsidR="007B5C49" w14:paraId="179170EA" w14:textId="77777777">
        <w:trPr>
          <w:jc w:val="center"/>
        </w:trPr>
        <w:tc>
          <w:tcPr>
            <w:tcW w:w="1700" w:type="dxa"/>
            <w:vAlign w:val="center"/>
          </w:tcPr>
          <w:p w14:paraId="1BDFA00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合资/xScale</w:t>
            </w:r>
          </w:p>
        </w:tc>
        <w:tc>
          <w:tcPr>
            <w:tcW w:w="2300" w:type="dxa"/>
            <w:vAlign w:val="center"/>
          </w:tcPr>
          <w:p w14:paraId="6D0A1D21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运营商+机构资本</w:t>
            </w:r>
          </w:p>
        </w:tc>
        <w:tc>
          <w:tcPr>
            <w:tcW w:w="1300" w:type="dxa"/>
            <w:vAlign w:val="center"/>
          </w:tcPr>
          <w:p w14:paraId="380C61DE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中等</w:t>
            </w:r>
          </w:p>
        </w:tc>
        <w:tc>
          <w:tcPr>
            <w:tcW w:w="2500" w:type="dxa"/>
            <w:vAlign w:val="center"/>
          </w:tcPr>
          <w:p w14:paraId="4E134442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Hyperscale批发容量</w:t>
            </w:r>
          </w:p>
        </w:tc>
        <w:tc>
          <w:tcPr>
            <w:tcW w:w="1800" w:type="dxa"/>
            <w:vAlign w:val="center"/>
          </w:tcPr>
          <w:p w14:paraId="542E842C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结构复杂、仍受并网制约</w:t>
            </w:r>
          </w:p>
        </w:tc>
      </w:tr>
      <w:tr w:rsidR="007B5C49" w14:paraId="4E5F80B6" w14:textId="77777777">
        <w:trPr>
          <w:jc w:val="center"/>
        </w:trPr>
        <w:tc>
          <w:tcPr>
            <w:tcW w:w="1700" w:type="dxa"/>
            <w:vAlign w:val="center"/>
          </w:tcPr>
          <w:p w14:paraId="41A58E2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Neocloud/GPU云</w:t>
            </w:r>
          </w:p>
        </w:tc>
        <w:tc>
          <w:tcPr>
            <w:tcW w:w="2300" w:type="dxa"/>
            <w:vAlign w:val="center"/>
          </w:tcPr>
          <w:p w14:paraId="074C7E5D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算力供应商及债权资本</w:t>
            </w:r>
          </w:p>
        </w:tc>
        <w:tc>
          <w:tcPr>
            <w:tcW w:w="1300" w:type="dxa"/>
            <w:vAlign w:val="center"/>
          </w:tcPr>
          <w:p w14:paraId="1C986EBC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最快</w:t>
            </w:r>
          </w:p>
        </w:tc>
        <w:tc>
          <w:tcPr>
            <w:tcW w:w="2500" w:type="dxa"/>
            <w:vAlign w:val="center"/>
          </w:tcPr>
          <w:p w14:paraId="1EDCD793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紧急GPU、模型训练推理</w:t>
            </w:r>
          </w:p>
        </w:tc>
        <w:tc>
          <w:tcPr>
            <w:tcW w:w="1800" w:type="dxa"/>
            <w:vAlign w:val="center"/>
          </w:tcPr>
          <w:p w14:paraId="1946DB80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单价高、客户和融资集中</w:t>
            </w:r>
          </w:p>
        </w:tc>
      </w:tr>
    </w:tbl>
    <w:p w14:paraId="40D99D56" w14:textId="77777777" w:rsidR="007B5C49" w:rsidRDefault="007B5C49">
      <w:pPr>
        <w:spacing w:after="40"/>
      </w:pPr>
    </w:p>
    <w:p w14:paraId="7775B033" w14:textId="77777777" w:rsidR="007B5C49" w:rsidRDefault="00000000">
      <w:r>
        <w:lastRenderedPageBreak/>
        <w:t>Build-to-suit典型结构是开发商负责设计、建设和运营，基金持有资产，科技公司签长期租约。Crusoe、Blue Owl与Primary Digital在Abilene的首期结构就是例子：206MW设施由项目资本支持，并长期租给Hyperscale客户。科技公司获得定制设施和速度，却不必把全部房地产资本放在自身资产负债表。</w:t>
      </w:r>
    </w:p>
    <w:p w14:paraId="78F58B10" w14:textId="77777777" w:rsidR="007B5C49" w:rsidRDefault="00000000">
      <w:pPr>
        <w:pStyle w:val="Heading2"/>
      </w:pPr>
      <w:r>
        <w:t xml:space="preserve">3. </w:t>
      </w:r>
      <w:r>
        <w:t>区域与互联需求天然需要第三方平台</w:t>
      </w:r>
    </w:p>
    <w:p w14:paraId="7EE4CC49" w14:textId="77777777" w:rsidR="007B5C49" w:rsidRDefault="00000000">
      <w:r>
        <w:t>Hyperscaler无法在每个城市都建设超大园区。企业客户需要同时连接Azure、AWS、Google Cloud、运营商和SaaS平台，Equinix这类中立互联平台因此具有不可替代性。Equinix 2026年一季度披露281座数据中心、77个市场；其AI价值更多体现在模型、云、数据和企业之间的低时延连接，而不只是提供最大训练园区。</w:t>
      </w:r>
    </w:p>
    <w:p w14:paraId="2A7E06E1" w14:textId="77777777" w:rsidR="007B5C49" w:rsidRDefault="00000000">
      <w:r>
        <w:t>推理也强化这种分工。训练可以迁往能源型大园区，推理、数据接入和企业系统集成需要靠近用户及现有网络。大厂可以把核心训练自建在偏远地区，同时在都市互联节点租用较小但价值更高的容量。</w:t>
      </w:r>
    </w:p>
    <w:p w14:paraId="3FDAB10B" w14:textId="77777777" w:rsidR="007B5C49" w:rsidRDefault="00000000">
      <w:pPr>
        <w:pStyle w:val="Heading2"/>
      </w:pPr>
      <w:r>
        <w:t xml:space="preserve">4. </w:t>
      </w:r>
      <w:r>
        <w:t>租赁还能把建设和融资风险转移给专业机构</w:t>
      </w:r>
    </w:p>
    <w:p w14:paraId="43C6BB87" w14:textId="77777777" w:rsidR="007B5C49" w:rsidRDefault="00000000">
      <w:r>
        <w:t>大型园区涉及土地、审批、社区关系、变电站、施工管理和设施运营，这些并非云厂商必须全部内化的核心能力。Vantage、QTS、CyrusOne、STACK等开发商把这些风险专业化，再由Blackstone、KKR、Brookfield、养老金和主权基金提供长期资本。科技公司通过租约锁定使用权，资本方获得长期现金流。</w:t>
      </w:r>
    </w:p>
    <w:p w14:paraId="3A14FD4A" w14:textId="77777777" w:rsidR="007B5C49" w:rsidRDefault="00000000">
      <w:r>
        <w:t>但风险并没有消失，只是重新分配。长期take-or-pay合同可能形成刚性成本；Neocloud若高度依赖少数客户，也会把客户信用风险传导给债权人。研究时应同时看租户集中度、合同期限、交付条件和最低付款承诺。</w:t>
      </w:r>
    </w:p>
    <w:p w14:paraId="5245D227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56025FBC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5B9C0CF0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自建与租赁决策</w:t>
            </w:r>
          </w:p>
          <w:p w14:paraId="0CA94D2D" w14:textId="77777777" w:rsidR="007B5C49" w:rsidRDefault="00000000">
            <w:pPr>
              <w:spacing w:after="0" w:line="288" w:lineRule="auto"/>
            </w:pPr>
            <w:r>
              <w:t>负载长期稳定且规模巨大 → 自建获得最低长期成本与全栈控制；需求突然增加/区域不熟/通电窗口紧迫 → 租赁已锁电项目；需要GPU立即可用 → 采购Neocloud；最终形成核心园区自建、区域容量批发租赁、都市节点互联托管、紧急算力外采的组合。</w:t>
            </w:r>
          </w:p>
        </w:tc>
      </w:tr>
    </w:tbl>
    <w:p w14:paraId="341F8577" w14:textId="77777777" w:rsidR="007B5C49" w:rsidRDefault="007B5C49">
      <w:pPr>
        <w:spacing w:after="40"/>
      </w:pPr>
    </w:p>
    <w:p w14:paraId="384FFBB9" w14:textId="77777777" w:rsidR="007B5C49" w:rsidRDefault="00000000">
      <w:pPr>
        <w:pStyle w:val="QALabel"/>
      </w:pPr>
      <w:r>
        <w:t>来源</w:t>
      </w:r>
    </w:p>
    <w:p w14:paraId="6F78CBB6" w14:textId="77777777" w:rsidR="007B5C49" w:rsidRDefault="00000000">
      <w:pPr>
        <w:spacing w:after="80"/>
        <w:ind w:left="360" w:hanging="288"/>
      </w:pPr>
      <w:r>
        <w:rPr>
          <w:b/>
        </w:rPr>
        <w:t>• Equinix｜Q1 2026 SEC filing</w:t>
      </w:r>
      <w:r>
        <w:t>：281座、77个市场及业务结构</w:t>
      </w:r>
      <w:r>
        <w:rPr>
          <w:color w:val="1F4E79"/>
        </w:rPr>
        <w:br/>
        <w:t>https://investor.equinix.com/sec-filings/all-sec-filings/content/0001101239-26-000091/0001101239-26-000091.pdf</w:t>
      </w:r>
    </w:p>
    <w:p w14:paraId="082BE75A" w14:textId="77777777" w:rsidR="007B5C49" w:rsidRDefault="00000000">
      <w:pPr>
        <w:spacing w:after="80"/>
        <w:ind w:left="360" w:hanging="288"/>
      </w:pPr>
      <w:r>
        <w:rPr>
          <w:b/>
        </w:rPr>
        <w:t>• Equinix｜Q1 2026 results</w:t>
      </w:r>
      <w:r>
        <w:t>：AI、云和网络需求</w:t>
      </w:r>
      <w:r>
        <w:rPr>
          <w:color w:val="1F4E79"/>
        </w:rPr>
        <w:br/>
        <w:t>https://investor.equinix.com/news-events/press-releases/detail/1107/equinix-reports-first-quarter-results-and-raises-full-year</w:t>
      </w:r>
    </w:p>
    <w:p w14:paraId="17572045" w14:textId="77777777" w:rsidR="007B5C49" w:rsidRDefault="00000000">
      <w:pPr>
        <w:spacing w:after="80"/>
        <w:ind w:left="360" w:hanging="288"/>
      </w:pPr>
      <w:r>
        <w:rPr>
          <w:b/>
        </w:rPr>
        <w:t>• Crusoe｜$3.4B Abilene joint venture</w:t>
      </w:r>
      <w:r>
        <w:t>：206MW、长期租赁和项目资本结构</w:t>
      </w:r>
      <w:r>
        <w:rPr>
          <w:color w:val="1F4E79"/>
        </w:rPr>
        <w:br/>
        <w:t>https://www.crusoe.ai/resources/newsroom/crusoe-blue-owl-capital-primary-digital-joint-venture</w:t>
      </w:r>
    </w:p>
    <w:p w14:paraId="047DAFDE" w14:textId="77777777" w:rsidR="007B5C49" w:rsidRDefault="00000000">
      <w:pPr>
        <w:spacing w:after="80"/>
        <w:ind w:left="360" w:hanging="288"/>
      </w:pPr>
      <w:r>
        <w:rPr>
          <w:b/>
        </w:rPr>
        <w:t>• Vantage｜North America locations</w:t>
      </w:r>
      <w:r>
        <w:t>：园区容量和build-to-suit能力</w:t>
      </w:r>
      <w:r>
        <w:rPr>
          <w:color w:val="1F4E79"/>
        </w:rPr>
        <w:br/>
        <w:t>https://vantage-dc.com/data-center-locations/north-america/</w:t>
      </w:r>
    </w:p>
    <w:p w14:paraId="64D07EFC" w14:textId="77777777" w:rsidR="007B5C49" w:rsidRDefault="00000000">
      <w:pPr>
        <w:pStyle w:val="Heading1"/>
        <w:pageBreakBefore/>
      </w:pPr>
      <w:r>
        <w:lastRenderedPageBreak/>
        <w:t>Q6</w:t>
      </w:r>
      <w:r>
        <w:t>：专业数据中心开发商和运营商到底分别做什么？</w:t>
      </w:r>
    </w:p>
    <w:p w14:paraId="2DA47140" w14:textId="77777777" w:rsidR="007B5C49" w:rsidRDefault="00000000">
      <w:pPr>
        <w:pStyle w:val="QALabel"/>
      </w:pPr>
      <w:r>
        <w:t>通俗问题</w:t>
      </w:r>
    </w:p>
    <w:p w14:paraId="189966B7" w14:textId="77777777" w:rsidR="007B5C49" w:rsidRDefault="00000000">
      <w:r>
        <w:t>Equinix、Digital Realty、NTT、Vantage、QTS、CyrusOne、Switch和STACK看起来都在建机房，它们之间到底有什么区别？</w:t>
      </w:r>
    </w:p>
    <w:p w14:paraId="50063260" w14:textId="77777777" w:rsidR="007B5C49" w:rsidRDefault="00000000">
      <w:pPr>
        <w:pStyle w:val="QALabel"/>
      </w:pPr>
      <w:r>
        <w:t>主要研究（专业）</w:t>
      </w:r>
    </w:p>
    <w:p w14:paraId="18C77A0C" w14:textId="77777777" w:rsidR="007B5C49" w:rsidRDefault="00000000">
      <w:r>
        <w:t>专业开发商/运营商的商业模式、资产持有结构、客户类型、容量口径和代表性项目。</w:t>
      </w:r>
    </w:p>
    <w:p w14:paraId="37A1EAC9" w14:textId="77777777" w:rsidR="007B5C49" w:rsidRDefault="00000000">
      <w:pPr>
        <w:pStyle w:val="QALabel"/>
      </w:pPr>
      <w:r>
        <w:t>研究方向</w:t>
      </w:r>
    </w:p>
    <w:p w14:paraId="59B90559" w14:textId="77777777" w:rsidR="007B5C49" w:rsidRDefault="00000000">
      <w:pPr>
        <w:pStyle w:val="ListBullet"/>
        <w:spacing w:after="80" w:line="288" w:lineRule="auto"/>
        <w:ind w:left="403" w:hanging="259"/>
      </w:pPr>
      <w:r>
        <w:t>区分零售托管、互联平台、Hyperscale批发、Build-to-suit和园区开发。</w:t>
      </w:r>
    </w:p>
    <w:p w14:paraId="2A0F097D" w14:textId="77777777" w:rsidR="007B5C49" w:rsidRDefault="00000000">
      <w:pPr>
        <w:pStyle w:val="ListBullet"/>
        <w:spacing w:after="80" w:line="288" w:lineRule="auto"/>
        <w:ind w:left="403" w:hanging="259"/>
      </w:pPr>
      <w:r>
        <w:t>逐家列出可核规模与主要市场，同时标注运营、在建和远期end-state。</w:t>
      </w:r>
    </w:p>
    <w:p w14:paraId="1DEBD84E" w14:textId="77777777" w:rsidR="007B5C49" w:rsidRDefault="00000000">
      <w:pPr>
        <w:pStyle w:val="ListBullet"/>
        <w:spacing w:after="80" w:line="288" w:lineRule="auto"/>
        <w:ind w:left="403" w:hanging="259"/>
      </w:pPr>
      <w:r>
        <w:t>解释开发商建设、基金持有、运营商运营、科技公司租赁的产业链。</w:t>
      </w:r>
    </w:p>
    <w:p w14:paraId="7BD5DE48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2E5E3D3A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56BD67F7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3B4A59A7" w14:textId="77777777" w:rsidR="007B5C49" w:rsidRDefault="00000000">
            <w:pPr>
              <w:spacing w:after="0" w:line="288" w:lineRule="auto"/>
            </w:pPr>
            <w:r>
              <w:t>专业玩家并非同一种公司：Equinix更像全球中立互联与零售托管平台；Digital Realty兼具全球平台和批发规模；Vantage、QTS、CyrusOne、STACK更偏超大规模园区开发与定制交付；NTT兼具电信、系统集成和数据中心；Switch强调大园区与专有设计。</w:t>
            </w:r>
          </w:p>
        </w:tc>
      </w:tr>
    </w:tbl>
    <w:p w14:paraId="705FA093" w14:textId="77777777" w:rsidR="007B5C49" w:rsidRDefault="007B5C49">
      <w:pPr>
        <w:spacing w:after="40"/>
      </w:pPr>
    </w:p>
    <w:p w14:paraId="1FA024AF" w14:textId="77777777" w:rsidR="007B5C49" w:rsidRDefault="00000000">
      <w:pPr>
        <w:pStyle w:val="QALabel"/>
      </w:pPr>
      <w:r>
        <w:t>详细支撑</w:t>
      </w:r>
    </w:p>
    <w:p w14:paraId="5DAC1C06" w14:textId="77777777" w:rsidR="007B5C49" w:rsidRDefault="00000000">
      <w:pPr>
        <w:pStyle w:val="Heading2"/>
      </w:pPr>
      <w:r>
        <w:t xml:space="preserve">1. </w:t>
      </w:r>
      <w:r>
        <w:t>先按商业模式分组，而不是按</w:t>
      </w:r>
      <w:r>
        <w:t>“</w:t>
      </w:r>
      <w:r>
        <w:t>有多少座</w:t>
      </w:r>
      <w:r>
        <w:t>”</w:t>
      </w:r>
      <w:r>
        <w:t>排名</w:t>
      </w:r>
    </w:p>
    <w:p w14:paraId="2EBBF2D7" w14:textId="77777777" w:rsidR="007B5C49" w:rsidRDefault="00000000">
      <w:r>
        <w:t>零售托管按机柜或较小功率单元出租，客户数量多、互联密度高、单MW收入通常较高；批发托管按数MW到数百MW出租，客户少但规模大；build-to-suit为单一或少数大客户定制；园区开发商可能在完全租出后把资产出售或引入基金持有。一个企业可以同时覆盖多种模式，因此“数据中心座数”无法反映商业规模。</w:t>
      </w:r>
    </w:p>
    <w:p w14:paraId="7B5FE1B7" w14:textId="77777777" w:rsidR="007B5C49" w:rsidRDefault="00000000">
      <w:r>
        <w:t>Equinix的281座/77个市场体现的是全球覆盖和生态，不等于它拥有最大AI训练GW。Digital Realty披露约3.024GW现有IT容量、1.169GW在建以及约6.3GW综合可开发潜力；其中6.3GW不能写成当前运营。Vantage网页所列Ashburn合计590MW、Fredericksburg 192MW、New Albany 192MW、Phoenix 176MW，多为园区总规划或end-state，应与已交付分期分开。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2200"/>
        <w:gridCol w:w="3000"/>
        <w:gridCol w:w="2900"/>
      </w:tblGrid>
      <w:tr w:rsidR="007B5C49" w14:paraId="46EA7E41" w14:textId="77777777">
        <w:trPr>
          <w:tblHeader/>
          <w:jc w:val="center"/>
        </w:trPr>
        <w:tc>
          <w:tcPr>
            <w:tcW w:w="1500" w:type="dxa"/>
            <w:shd w:val="clear" w:color="auto" w:fill="D9EAF7"/>
            <w:vAlign w:val="center"/>
          </w:tcPr>
          <w:p w14:paraId="286331DA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企业</w:t>
            </w:r>
          </w:p>
        </w:tc>
        <w:tc>
          <w:tcPr>
            <w:tcW w:w="2200" w:type="dxa"/>
            <w:shd w:val="clear" w:color="auto" w:fill="D9EAF7"/>
            <w:vAlign w:val="center"/>
          </w:tcPr>
          <w:p w14:paraId="007C4227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主要模式</w:t>
            </w:r>
          </w:p>
        </w:tc>
        <w:tc>
          <w:tcPr>
            <w:tcW w:w="3000" w:type="dxa"/>
            <w:shd w:val="clear" w:color="auto" w:fill="D9EAF7"/>
            <w:vAlign w:val="center"/>
          </w:tcPr>
          <w:p w14:paraId="3A02905C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可核公开规模/例子</w:t>
            </w:r>
          </w:p>
        </w:tc>
        <w:tc>
          <w:tcPr>
            <w:tcW w:w="2900" w:type="dxa"/>
            <w:shd w:val="clear" w:color="auto" w:fill="D9EAF7"/>
            <w:vAlign w:val="center"/>
          </w:tcPr>
          <w:p w14:paraId="0F68EA20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研究时最易误读之处</w:t>
            </w:r>
          </w:p>
        </w:tc>
      </w:tr>
      <w:tr w:rsidR="007B5C49" w14:paraId="55C2A3A1" w14:textId="77777777">
        <w:trPr>
          <w:jc w:val="center"/>
        </w:trPr>
        <w:tc>
          <w:tcPr>
            <w:tcW w:w="1500" w:type="dxa"/>
            <w:vAlign w:val="center"/>
          </w:tcPr>
          <w:p w14:paraId="2CFA590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Equinix</w:t>
            </w:r>
          </w:p>
        </w:tc>
        <w:tc>
          <w:tcPr>
            <w:tcW w:w="2200" w:type="dxa"/>
            <w:vAlign w:val="center"/>
          </w:tcPr>
          <w:p w14:paraId="1B366472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互联+零售托管+xScale</w:t>
            </w:r>
          </w:p>
        </w:tc>
        <w:tc>
          <w:tcPr>
            <w:tcW w:w="3000" w:type="dxa"/>
            <w:vAlign w:val="center"/>
          </w:tcPr>
          <w:p w14:paraId="10B8296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281座、77市场；23座xScale</w:t>
            </w:r>
          </w:p>
        </w:tc>
        <w:tc>
          <w:tcPr>
            <w:tcW w:w="2900" w:type="dxa"/>
            <w:vAlign w:val="center"/>
          </w:tcPr>
          <w:p w14:paraId="041932E8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座数与AI训练GW不可直接比较</w:t>
            </w:r>
          </w:p>
        </w:tc>
      </w:tr>
      <w:tr w:rsidR="007B5C49" w14:paraId="772EB644" w14:textId="77777777">
        <w:trPr>
          <w:jc w:val="center"/>
        </w:trPr>
        <w:tc>
          <w:tcPr>
            <w:tcW w:w="1500" w:type="dxa"/>
            <w:vAlign w:val="center"/>
          </w:tcPr>
          <w:p w14:paraId="270C3DE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Digital Realty</w:t>
            </w:r>
          </w:p>
        </w:tc>
        <w:tc>
          <w:tcPr>
            <w:tcW w:w="2200" w:type="dxa"/>
            <w:vAlign w:val="center"/>
          </w:tcPr>
          <w:p w14:paraId="1BB01F77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全球托管+批发</w:t>
            </w:r>
          </w:p>
        </w:tc>
        <w:tc>
          <w:tcPr>
            <w:tcW w:w="3000" w:type="dxa"/>
            <w:vAlign w:val="center"/>
          </w:tcPr>
          <w:p w14:paraId="4EB3C97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约3.024GW现有、1.169GW在建、6.3GW潜力</w:t>
            </w:r>
          </w:p>
        </w:tc>
        <w:tc>
          <w:tcPr>
            <w:tcW w:w="2900" w:type="dxa"/>
            <w:vAlign w:val="center"/>
          </w:tcPr>
          <w:p w14:paraId="6244744E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开发潜力不是运营容量</w:t>
            </w:r>
          </w:p>
        </w:tc>
      </w:tr>
      <w:tr w:rsidR="007B5C49" w14:paraId="56367A8F" w14:textId="77777777">
        <w:trPr>
          <w:jc w:val="center"/>
        </w:trPr>
        <w:tc>
          <w:tcPr>
            <w:tcW w:w="1500" w:type="dxa"/>
            <w:vAlign w:val="center"/>
          </w:tcPr>
          <w:p w14:paraId="5613380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Vantage</w:t>
            </w:r>
          </w:p>
        </w:tc>
        <w:tc>
          <w:tcPr>
            <w:tcW w:w="2200" w:type="dxa"/>
            <w:vAlign w:val="center"/>
          </w:tcPr>
          <w:p w14:paraId="3A5A3366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Hyperscale园区/定制</w:t>
            </w:r>
          </w:p>
        </w:tc>
        <w:tc>
          <w:tcPr>
            <w:tcW w:w="3000" w:type="dxa"/>
            <w:vAlign w:val="center"/>
          </w:tcPr>
          <w:p w14:paraId="3172A06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Ashburn合计590MW；VA3为288MW</w:t>
            </w:r>
          </w:p>
        </w:tc>
        <w:tc>
          <w:tcPr>
            <w:tcW w:w="2900" w:type="dxa"/>
            <w:vAlign w:val="center"/>
          </w:tcPr>
          <w:p w14:paraId="157F784A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网页多为end-state</w:t>
            </w:r>
          </w:p>
        </w:tc>
      </w:tr>
      <w:tr w:rsidR="007B5C49" w14:paraId="30F17741" w14:textId="77777777">
        <w:trPr>
          <w:jc w:val="center"/>
        </w:trPr>
        <w:tc>
          <w:tcPr>
            <w:tcW w:w="1500" w:type="dxa"/>
            <w:vAlign w:val="center"/>
          </w:tcPr>
          <w:p w14:paraId="0308AB5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QTS</w:t>
            </w:r>
          </w:p>
        </w:tc>
        <w:tc>
          <w:tcPr>
            <w:tcW w:w="2200" w:type="dxa"/>
            <w:vAlign w:val="center"/>
          </w:tcPr>
          <w:p w14:paraId="7EA14DCA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大型园区/批发</w:t>
            </w:r>
          </w:p>
        </w:tc>
        <w:tc>
          <w:tcPr>
            <w:tcW w:w="3000" w:type="dxa"/>
            <w:vAlign w:val="center"/>
          </w:tcPr>
          <w:p w14:paraId="0D3238E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Manassas 190MW+；多地园区目录</w:t>
            </w:r>
          </w:p>
        </w:tc>
        <w:tc>
          <w:tcPr>
            <w:tcW w:w="2900" w:type="dxa"/>
            <w:vAlign w:val="center"/>
          </w:tcPr>
          <w:p w14:paraId="5ABD72FF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目录值可能含扩建潜力</w:t>
            </w:r>
          </w:p>
        </w:tc>
      </w:tr>
      <w:tr w:rsidR="007B5C49" w14:paraId="129AB2FA" w14:textId="77777777">
        <w:trPr>
          <w:jc w:val="center"/>
        </w:trPr>
        <w:tc>
          <w:tcPr>
            <w:tcW w:w="1500" w:type="dxa"/>
            <w:vAlign w:val="center"/>
          </w:tcPr>
          <w:p w14:paraId="3A78D18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NTT GDC</w:t>
            </w:r>
          </w:p>
        </w:tc>
        <w:tc>
          <w:tcPr>
            <w:tcW w:w="2200" w:type="dxa"/>
            <w:vAlign w:val="center"/>
          </w:tcPr>
          <w:p w14:paraId="480BFF5D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全球运营+电信/IT服务</w:t>
            </w:r>
          </w:p>
        </w:tc>
        <w:tc>
          <w:tcPr>
            <w:tcW w:w="3000" w:type="dxa"/>
            <w:vAlign w:val="center"/>
          </w:tcPr>
          <w:p w14:paraId="0F507744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跨美洲、EMEA、亚太多市场</w:t>
            </w:r>
          </w:p>
        </w:tc>
        <w:tc>
          <w:tcPr>
            <w:tcW w:w="2900" w:type="dxa"/>
            <w:vAlign w:val="center"/>
          </w:tcPr>
          <w:p w14:paraId="1CFC356F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设施、电信和IT服务口径混合</w:t>
            </w:r>
          </w:p>
        </w:tc>
      </w:tr>
      <w:tr w:rsidR="007B5C49" w14:paraId="7FC0619C" w14:textId="77777777">
        <w:trPr>
          <w:jc w:val="center"/>
        </w:trPr>
        <w:tc>
          <w:tcPr>
            <w:tcW w:w="1500" w:type="dxa"/>
            <w:vAlign w:val="center"/>
          </w:tcPr>
          <w:p w14:paraId="53D0D78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CyrusOne</w:t>
            </w:r>
          </w:p>
        </w:tc>
        <w:tc>
          <w:tcPr>
            <w:tcW w:w="2200" w:type="dxa"/>
            <w:vAlign w:val="center"/>
          </w:tcPr>
          <w:p w14:paraId="0DE8D3B9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Hyperscale与企业托管</w:t>
            </w:r>
          </w:p>
        </w:tc>
        <w:tc>
          <w:tcPr>
            <w:tcW w:w="3000" w:type="dxa"/>
            <w:vAlign w:val="center"/>
          </w:tcPr>
          <w:p w14:paraId="380F21D8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美国和欧洲大型园区</w:t>
            </w:r>
          </w:p>
        </w:tc>
        <w:tc>
          <w:tcPr>
            <w:tcW w:w="2900" w:type="dxa"/>
            <w:vAlign w:val="center"/>
          </w:tcPr>
          <w:p w14:paraId="379239CE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私有化后披露有限</w:t>
            </w:r>
          </w:p>
        </w:tc>
      </w:tr>
      <w:tr w:rsidR="007B5C49" w14:paraId="669EC66E" w14:textId="77777777">
        <w:trPr>
          <w:jc w:val="center"/>
        </w:trPr>
        <w:tc>
          <w:tcPr>
            <w:tcW w:w="1500" w:type="dxa"/>
            <w:vAlign w:val="center"/>
          </w:tcPr>
          <w:p w14:paraId="126D8C5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STACK</w:t>
            </w:r>
          </w:p>
        </w:tc>
        <w:tc>
          <w:tcPr>
            <w:tcW w:w="2200" w:type="dxa"/>
            <w:vAlign w:val="center"/>
          </w:tcPr>
          <w:p w14:paraId="0FADCA63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Hyperscale开发</w:t>
            </w:r>
          </w:p>
        </w:tc>
        <w:tc>
          <w:tcPr>
            <w:tcW w:w="3000" w:type="dxa"/>
            <w:vAlign w:val="center"/>
          </w:tcPr>
          <w:p w14:paraId="1939F735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美国、亚太和EMEA园区</w:t>
            </w:r>
          </w:p>
        </w:tc>
        <w:tc>
          <w:tcPr>
            <w:tcW w:w="2900" w:type="dxa"/>
            <w:vAlign w:val="center"/>
          </w:tcPr>
          <w:p w14:paraId="5FCD6B6B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规划GW与已交付分期需拆分</w:t>
            </w:r>
          </w:p>
        </w:tc>
      </w:tr>
      <w:tr w:rsidR="007B5C49" w14:paraId="2575699B" w14:textId="77777777">
        <w:trPr>
          <w:jc w:val="center"/>
        </w:trPr>
        <w:tc>
          <w:tcPr>
            <w:tcW w:w="1500" w:type="dxa"/>
            <w:vAlign w:val="center"/>
          </w:tcPr>
          <w:p w14:paraId="742F4CA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lastRenderedPageBreak/>
              <w:t>Switch</w:t>
            </w:r>
          </w:p>
        </w:tc>
        <w:tc>
          <w:tcPr>
            <w:tcW w:w="2200" w:type="dxa"/>
            <w:vAlign w:val="center"/>
          </w:tcPr>
          <w:p w14:paraId="559C11E2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大型园区/专有设计</w:t>
            </w:r>
          </w:p>
        </w:tc>
        <w:tc>
          <w:tcPr>
            <w:tcW w:w="3000" w:type="dxa"/>
            <w:vAlign w:val="center"/>
          </w:tcPr>
          <w:p w14:paraId="5F66F0ED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美国多个Prime campus</w:t>
            </w:r>
          </w:p>
        </w:tc>
        <w:tc>
          <w:tcPr>
            <w:tcW w:w="2900" w:type="dxa"/>
            <w:vAlign w:val="center"/>
          </w:tcPr>
          <w:p w14:paraId="0B35AE89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额定园区容量与实际租用不同</w:t>
            </w:r>
          </w:p>
        </w:tc>
      </w:tr>
    </w:tbl>
    <w:p w14:paraId="24611CC0" w14:textId="77777777" w:rsidR="007B5C49" w:rsidRDefault="007B5C49">
      <w:pPr>
        <w:spacing w:after="40"/>
      </w:pPr>
    </w:p>
    <w:p w14:paraId="3C98C97E" w14:textId="77777777" w:rsidR="007B5C49" w:rsidRDefault="00000000">
      <w:pPr>
        <w:pStyle w:val="Heading2"/>
      </w:pPr>
      <w:r>
        <w:t>2. Equinix</w:t>
      </w:r>
      <w:r>
        <w:t>与</w:t>
      </w:r>
      <w:r>
        <w:t>Digital Realty</w:t>
      </w:r>
      <w:r>
        <w:t>卖的不只是电和空间</w:t>
      </w:r>
    </w:p>
    <w:p w14:paraId="4C76B526" w14:textId="77777777" w:rsidR="007B5C49" w:rsidRDefault="00000000">
      <w:r>
        <w:t>Equinix的核心护城河是中立互联：企业、运营商、云平台、数据平台和模型供应商可以在同一生态连接。2026年一季度约60%的最大交易与AI相关，且八家前十大模型供应商、四家前五大Neocloud正在其平台扩张。这说明AI推理和数据接入会增加互联价值，但“60%最大交易与AI相关”不等于60%总收入来自AI。</w:t>
      </w:r>
    </w:p>
    <w:p w14:paraId="01104C7F" w14:textId="77777777" w:rsidR="007B5C49" w:rsidRDefault="00000000">
      <w:r>
        <w:t>Digital Realty兼具互联平台和更大批发容量，适合跨区域部署。其现有、在建和可开发容量数据较完整，却也最容易被媒体把6.3GW潜力写成当前规模。正确做法是分三列记录，并跟踪已签租约、预计交付和电力条件。</w:t>
      </w:r>
    </w:p>
    <w:p w14:paraId="695367DF" w14:textId="77777777" w:rsidR="007B5C49" w:rsidRDefault="00000000">
      <w:pPr>
        <w:pStyle w:val="Heading2"/>
      </w:pPr>
      <w:r>
        <w:t>3. Vantage</w:t>
      </w:r>
      <w:r>
        <w:t>、</w:t>
      </w:r>
      <w:r>
        <w:t>QTS</w:t>
      </w:r>
      <w:r>
        <w:t>、</w:t>
      </w:r>
      <w:r>
        <w:t>CyrusOne</w:t>
      </w:r>
      <w:r>
        <w:t>和</w:t>
      </w:r>
      <w:r>
        <w:t>STACK</w:t>
      </w:r>
      <w:r>
        <w:t>的价值在交付大块容量</w:t>
      </w:r>
    </w:p>
    <w:p w14:paraId="3FC4B7A5" w14:textId="77777777" w:rsidR="007B5C49" w:rsidRDefault="00000000">
      <w:r>
        <w:t>这类公司擅长控制土地、电力、许可、标准化设计和施工供应链，为Hyperscaler交付几十至数百MW分期。Vantage Ashburn III单个校园规划288MW、七栋多层设施；QTS Manassas网页披露190MW+关键容量、105英亩和六栋规划建筑。它们与云厂商的关系更像长期基础设施伙伴，而不是传统小机柜房东。</w:t>
      </w:r>
    </w:p>
    <w:p w14:paraId="78C60DE1" w14:textId="77777777" w:rsidR="007B5C49" w:rsidRDefault="00000000">
      <w:r>
        <w:t>这些企业背后往往是私募基础设施资本。QTS由Blackstone支持，CyrusOne由KKR与Global Infrastructure Partners相关资本持有；资金方偏好长期租约和稳定现金流，开发商负责把资本转化为已通电资产。</w:t>
      </w:r>
    </w:p>
    <w:p w14:paraId="610F61E1" w14:textId="77777777" w:rsidR="007B5C49" w:rsidRDefault="00000000">
      <w:pPr>
        <w:pStyle w:val="Heading2"/>
      </w:pPr>
      <w:r>
        <w:t>4. NTT</w:t>
      </w:r>
      <w:r>
        <w:t>、</w:t>
      </w:r>
      <w:r>
        <w:t>Switch</w:t>
      </w:r>
      <w:r>
        <w:t>和区域运营商补足不同能力</w:t>
      </w:r>
    </w:p>
    <w:p w14:paraId="262AD938" w14:textId="77777777" w:rsidR="007B5C49" w:rsidRDefault="00000000">
      <w:r>
        <w:t>NTT同时拥有电信网络、企业IT服务和数据中心，适合需要跨国网络、托管和集成服务的客户。Switch以大型园区、建筑与冷却设计形成差异化。区域运营商则可能在单一电力市场、政策关系或都市互联上更有优势。行业格局不是一家通吃，而是按客户规模、地区和服务层级分工。</w:t>
      </w:r>
    </w:p>
    <w:p w14:paraId="54DC0312" w14:textId="77777777" w:rsidR="007B5C49" w:rsidRDefault="00000000">
      <w:r>
        <w:t>最终判断专业运营商时，应使用五项指标：可交付MW及日期、已预租比例、客户集中度、互联与服务能力、资金与土地电力储备。单看“园区总容量”会把未来十年的潜力误当成现在的收入资产。</w:t>
      </w:r>
    </w:p>
    <w:p w14:paraId="176EBF8E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480300BC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0EB76149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产业链分工</w:t>
            </w:r>
          </w:p>
          <w:p w14:paraId="2C1BF7ED" w14:textId="77777777" w:rsidR="007B5C49" w:rsidRDefault="00000000">
            <w:pPr>
              <w:spacing w:after="0" w:line="288" w:lineRule="auto"/>
            </w:pPr>
            <w:r>
              <w:t>机构资本提供长期资金 → 开发商锁定土地、电力并建设 → 运营商负责可靠性、网络和客户服务 → Hyperscaler/企业签长期租约 → 资产产生稳定现金流；AI提高单项目规模和功率密度 → 专业运营商从卖空间转向卖可交付电力、液冷能力和互联。</w:t>
            </w:r>
          </w:p>
        </w:tc>
      </w:tr>
    </w:tbl>
    <w:p w14:paraId="36400AA2" w14:textId="77777777" w:rsidR="007B5C49" w:rsidRDefault="007B5C49">
      <w:pPr>
        <w:spacing w:after="40"/>
      </w:pPr>
    </w:p>
    <w:p w14:paraId="51E4B6A0" w14:textId="77777777" w:rsidR="007B5C49" w:rsidRDefault="00000000">
      <w:pPr>
        <w:pStyle w:val="QALabel"/>
      </w:pPr>
      <w:r>
        <w:lastRenderedPageBreak/>
        <w:t>来源</w:t>
      </w:r>
    </w:p>
    <w:p w14:paraId="4E3F06CB" w14:textId="77777777" w:rsidR="007B5C49" w:rsidRDefault="00000000">
      <w:pPr>
        <w:spacing w:after="80"/>
        <w:ind w:left="360" w:hanging="288"/>
      </w:pPr>
      <w:r>
        <w:rPr>
          <w:b/>
        </w:rPr>
        <w:t>• Equinix｜Q1 2026 SEC filing</w:t>
      </w:r>
      <w:r>
        <w:t>：全球足迹与服务结构</w:t>
      </w:r>
      <w:r>
        <w:rPr>
          <w:color w:val="1F4E79"/>
        </w:rPr>
        <w:br/>
        <w:t>https://investor.equinix.com/sec-filings/all-sec-filings/content/0001101239-26-000091/0001101239-26-000091.pdf</w:t>
      </w:r>
    </w:p>
    <w:p w14:paraId="62F47E73" w14:textId="77777777" w:rsidR="007B5C49" w:rsidRDefault="00000000">
      <w:pPr>
        <w:spacing w:after="80"/>
        <w:ind w:left="360" w:hanging="288"/>
      </w:pPr>
      <w:r>
        <w:rPr>
          <w:b/>
        </w:rPr>
        <w:t>• Equinix｜2026 Outlook</w:t>
      </w:r>
      <w:r>
        <w:t>：AI交易与xScale交付</w:t>
      </w:r>
      <w:r>
        <w:rPr>
          <w:color w:val="1F4E79"/>
        </w:rPr>
        <w:br/>
        <w:t>https://investor.equinix.com/news-events/press-releases/detail/1096/equinix-provides-robust-2026-outlook-driven-by-strong</w:t>
      </w:r>
    </w:p>
    <w:p w14:paraId="58A3E069" w14:textId="77777777" w:rsidR="007B5C49" w:rsidRDefault="00000000">
      <w:pPr>
        <w:spacing w:after="80"/>
        <w:ind w:left="360" w:hanging="288"/>
      </w:pPr>
      <w:r>
        <w:rPr>
          <w:b/>
        </w:rPr>
        <w:t>• Vantage｜Ashburn III</w:t>
      </w:r>
      <w:r>
        <w:t>：288MW、134英亩和七栋设施</w:t>
      </w:r>
      <w:r>
        <w:rPr>
          <w:color w:val="1F4E79"/>
        </w:rPr>
        <w:br/>
        <w:t>https://vantage-dc.com/data-center-locations/north-america/ashburn-iii-virginia/</w:t>
      </w:r>
    </w:p>
    <w:p w14:paraId="21E505CC" w14:textId="77777777" w:rsidR="007B5C49" w:rsidRDefault="00000000">
      <w:pPr>
        <w:spacing w:after="80"/>
        <w:ind w:left="360" w:hanging="288"/>
      </w:pPr>
      <w:r>
        <w:rPr>
          <w:b/>
        </w:rPr>
        <w:t>• QTS｜Manassas</w:t>
      </w:r>
      <w:r>
        <w:t>：190MW+、105英亩和六栋规划</w:t>
      </w:r>
      <w:r>
        <w:rPr>
          <w:color w:val="1F4E79"/>
        </w:rPr>
        <w:br/>
        <w:t>https://www.qtsdatacenters.com/data-centers/manassas</w:t>
      </w:r>
    </w:p>
    <w:p w14:paraId="6A1C1AEE" w14:textId="77777777" w:rsidR="007B5C49" w:rsidRDefault="00000000">
      <w:pPr>
        <w:spacing w:after="80"/>
        <w:ind w:left="360" w:hanging="288"/>
      </w:pPr>
      <w:r>
        <w:rPr>
          <w:b/>
        </w:rPr>
        <w:t>• QTS｜Data center locations</w:t>
      </w:r>
      <w:r>
        <w:t>：全球园区目录</w:t>
      </w:r>
      <w:r>
        <w:rPr>
          <w:color w:val="1F4E79"/>
        </w:rPr>
        <w:br/>
        <w:t>https://qtsdatacenters.com/data-centers/</w:t>
      </w:r>
    </w:p>
    <w:p w14:paraId="534202AA" w14:textId="77777777" w:rsidR="007B5C49" w:rsidRDefault="00000000">
      <w:pPr>
        <w:spacing w:after="80"/>
        <w:ind w:left="360" w:hanging="288"/>
      </w:pPr>
      <w:r>
        <w:rPr>
          <w:b/>
        </w:rPr>
        <w:t>• 本项目｜v1.9信源追溯版</w:t>
      </w:r>
      <w:r>
        <w:t>：Digital Realty及主要运营商容量口径的逐项核验</w:t>
      </w:r>
      <w:r>
        <w:rPr>
          <w:color w:val="1F4E79"/>
        </w:rPr>
        <w:br/>
        <w:t>内部资料，2026-07-23</w:t>
      </w:r>
    </w:p>
    <w:p w14:paraId="266D044F" w14:textId="77777777" w:rsidR="007B5C49" w:rsidRDefault="00000000">
      <w:pPr>
        <w:pStyle w:val="Heading1"/>
        <w:pageBreakBefore/>
      </w:pPr>
      <w:r>
        <w:lastRenderedPageBreak/>
        <w:t>Q7</w:t>
      </w:r>
      <w:r>
        <w:t>：</w:t>
      </w:r>
      <w:r>
        <w:t>Neocloud</w:t>
      </w:r>
      <w:r>
        <w:t>是什么？它如何连接</w:t>
      </w:r>
      <w:r>
        <w:t>GPU</w:t>
      </w:r>
      <w:r>
        <w:t>、资本和</w:t>
      </w:r>
      <w:r>
        <w:t>AI</w:t>
      </w:r>
      <w:r>
        <w:t>客户？</w:t>
      </w:r>
    </w:p>
    <w:p w14:paraId="3F4B084A" w14:textId="77777777" w:rsidR="007B5C49" w:rsidRDefault="00000000">
      <w:pPr>
        <w:pStyle w:val="QALabel"/>
      </w:pPr>
      <w:r>
        <w:t>通俗问题</w:t>
      </w:r>
    </w:p>
    <w:p w14:paraId="3C89E490" w14:textId="77777777" w:rsidR="007B5C49" w:rsidRDefault="00000000">
      <w:r>
        <w:t>CoreWeave、Crusoe、Nebius、Lambda为什么能在AWS、Azure和Google Cloud之外快速崛起？</w:t>
      </w:r>
    </w:p>
    <w:p w14:paraId="11122E73" w14:textId="77777777" w:rsidR="007B5C49" w:rsidRDefault="00000000">
      <w:pPr>
        <w:pStyle w:val="QALabel"/>
      </w:pPr>
      <w:r>
        <w:t>主要研究（专业）</w:t>
      </w:r>
    </w:p>
    <w:p w14:paraId="018CA5DB" w14:textId="77777777" w:rsidR="007B5C49" w:rsidRDefault="00000000">
      <w:r>
        <w:t>AI原生云的商业模式、GPU融资、客户合同、电力容量和集中度风险。</w:t>
      </w:r>
    </w:p>
    <w:p w14:paraId="0BC37F41" w14:textId="77777777" w:rsidR="007B5C49" w:rsidRDefault="00000000">
      <w:pPr>
        <w:pStyle w:val="QALabel"/>
      </w:pPr>
      <w:r>
        <w:t>研究方向</w:t>
      </w:r>
    </w:p>
    <w:p w14:paraId="65F59909" w14:textId="77777777" w:rsidR="007B5C49" w:rsidRDefault="00000000">
      <w:pPr>
        <w:pStyle w:val="ListBullet"/>
        <w:spacing w:after="80" w:line="288" w:lineRule="auto"/>
        <w:ind w:left="403" w:hanging="259"/>
      </w:pPr>
      <w:r>
        <w:t>比较CoreWeave、Crusoe、Nebius和Lambda的业务边界：算力云、数据中心开发、能源和平台软件。</w:t>
      </w:r>
    </w:p>
    <w:p w14:paraId="19FCCAFF" w14:textId="77777777" w:rsidR="007B5C49" w:rsidRDefault="00000000">
      <w:pPr>
        <w:pStyle w:val="ListBullet"/>
        <w:spacing w:after="80" w:line="288" w:lineRule="auto"/>
        <w:ind w:left="403" w:hanging="259"/>
      </w:pPr>
      <w:r>
        <w:t>严格区分活跃电力、已连接电力、签约电力、合同/订单积压和融资。</w:t>
      </w:r>
    </w:p>
    <w:p w14:paraId="120456E8" w14:textId="77777777" w:rsidR="007B5C49" w:rsidRDefault="00000000">
      <w:pPr>
        <w:pStyle w:val="ListBullet"/>
        <w:spacing w:after="80" w:line="288" w:lineRule="auto"/>
        <w:ind w:left="403" w:hanging="259"/>
      </w:pPr>
      <w:r>
        <w:t>判断Neocloud是Hyperscaler竞争者、供应商还是融资工具。</w:t>
      </w:r>
    </w:p>
    <w:p w14:paraId="4B86B395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150F4283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09A448E7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7E8D7D5D" w14:textId="77777777" w:rsidR="007B5C49" w:rsidRDefault="00000000">
            <w:pPr>
              <w:spacing w:after="0" w:line="288" w:lineRule="auto"/>
            </w:pPr>
            <w:r>
              <w:t>Neocloud是以GPU/AI集群为核心的专业云：它们通过长期客户合同锁定收入，再用股权、债务和项目融资购买GPU、租用或建设数据中心，最后把算力交付给模型公司、Hyperscaler和企业。它们不是简单转售GPU，而是把电力、芯片、网络、软件和资本组合成可用算力。</w:t>
            </w:r>
          </w:p>
        </w:tc>
      </w:tr>
    </w:tbl>
    <w:p w14:paraId="05775A75" w14:textId="77777777" w:rsidR="007B5C49" w:rsidRDefault="007B5C49">
      <w:pPr>
        <w:spacing w:after="40"/>
      </w:pPr>
    </w:p>
    <w:p w14:paraId="4ED5FD31" w14:textId="77777777" w:rsidR="007B5C49" w:rsidRDefault="00000000">
      <w:pPr>
        <w:pStyle w:val="QALabel"/>
      </w:pPr>
      <w:r>
        <w:t>详细支撑</w:t>
      </w:r>
    </w:p>
    <w:p w14:paraId="025F0D9B" w14:textId="77777777" w:rsidR="007B5C49" w:rsidRDefault="00000000">
      <w:pPr>
        <w:pStyle w:val="Heading2"/>
      </w:pPr>
      <w:r>
        <w:t>1. CoreWeave</w:t>
      </w:r>
      <w:r>
        <w:t>已经从</w:t>
      </w:r>
      <w:r>
        <w:t>GPU</w:t>
      </w:r>
      <w:r>
        <w:t>云扩张成</w:t>
      </w:r>
      <w:r>
        <w:t>GW</w:t>
      </w:r>
      <w:r>
        <w:t>级</w:t>
      </w:r>
      <w:r>
        <w:t>AI</w:t>
      </w:r>
      <w:r>
        <w:t>基础设施平台</w:t>
      </w:r>
    </w:p>
    <w:p w14:paraId="1399ADC1" w14:textId="77777777" w:rsidR="007B5C49" w:rsidRDefault="00000000">
      <w:r>
        <w:t>CoreWeave 2026年一季度披露活跃电力超过1GW，签约电力增加400MW以上至超过3.5GW；截至3月31日订单积压994亿美元。公司还披露与Meta新签210亿美元承诺及Anthropic多年协议。这里必须分清：1GW+活跃电力最接近当前运行规模；3.5GW+签约电力包含未来供给；994亿美元是满足交付和服务条件后可能确认的合同收入，不是现金，也不是容量。</w:t>
      </w:r>
    </w:p>
    <w:p w14:paraId="09AB92AC" w14:textId="77777777" w:rsidR="007B5C49" w:rsidRDefault="00000000">
      <w:r>
        <w:t>CoreWeave的增长飞轮是“大客户合同—融资—基础设施—新增合同”。优势是专门为AI负载优化、上线快；风险是债务高、资本开支重、客户集中以及合同交付依赖。其调整后EBITDA很高并不代表自由现金流充裕，因为GPU和设施投资持续吞噬现金。</w:t>
      </w:r>
    </w:p>
    <w:p w14:paraId="16267487" w14:textId="77777777" w:rsidR="007B5C49" w:rsidRDefault="00000000">
      <w:pPr>
        <w:pStyle w:val="Heading2"/>
      </w:pPr>
      <w:r>
        <w:t>2. Crusoe</w:t>
      </w:r>
      <w:r>
        <w:t>同时做能源、数据中心和</w:t>
      </w:r>
      <w:r>
        <w:t>AI</w:t>
      </w:r>
      <w:r>
        <w:t>云</w:t>
      </w:r>
    </w:p>
    <w:p w14:paraId="5C5120AE" w14:textId="77777777" w:rsidR="007B5C49" w:rsidRDefault="00000000">
      <w:r>
        <w:t>Crusoe比典型GPU云更垂直：它从能源导向基础设施发展到大型AI数据中心和云平台。Abilene 1.2GW园区由Crusoe、Blue Owl与Primary Digital推动，第二阶段总合资规模约150亿美元；首阶段两栋、200MW+先行。2026年7月公司又宣布与Lancium在Childress推进1.0GW AI园区。</w:t>
      </w:r>
    </w:p>
    <w:p w14:paraId="2F5F918C" w14:textId="77777777" w:rsidR="007B5C49" w:rsidRDefault="00000000">
      <w:r>
        <w:lastRenderedPageBreak/>
        <w:t>Crusoe的特点是把电力获取、园区开发、液冷高密度设计和云服务结合。它既可能是OpenAI/Stargate等客户的开发商，也可能提供Crusoe Cloud，因此研究时要避免把同一园区容量同时算入“数据中心开发”和“Neocloud运营容量”。</w:t>
      </w:r>
    </w:p>
    <w:p w14:paraId="005F75A4" w14:textId="77777777" w:rsidR="007B5C49" w:rsidRDefault="00000000">
      <w:pPr>
        <w:pStyle w:val="Heading2"/>
      </w:pPr>
      <w:r>
        <w:t>3. Nebius</w:t>
      </w:r>
      <w:r>
        <w:t>用签约电力和大客户协议扩张</w:t>
      </w:r>
    </w:p>
    <w:p w14:paraId="6930B685" w14:textId="77777777" w:rsidR="007B5C49" w:rsidRDefault="00000000">
      <w:r>
        <w:t>Nebius 2026年一季度股东信把2026年签约电力目标提高到4GW以上；其Q1 AI云收入约3.897亿美元，年化运行收入约19.2亿美元，全年收入指引30亿—34亿美元，并提出年底70亿—90亿美元ARR目标。公司披露Q1筹得63亿美元资本、期末现金约93亿美元。</w:t>
      </w:r>
    </w:p>
    <w:p w14:paraId="0CD6F106" w14:textId="77777777" w:rsidR="007B5C49" w:rsidRDefault="00000000">
      <w:r>
        <w:t>但4GW+是签约电力指导值，不是活跃电力。此前公司曾明确区分签约电力与连接/建成容量，说明从锁定土地电力到安装GPU并产生收入仍有巨大执行工作。Nebius的投资价值和风险都集中在“把签约GW按期转为活跃GW”。</w:t>
      </w:r>
    </w:p>
    <w:p w14:paraId="2CE939D7" w14:textId="77777777" w:rsidR="007B5C49" w:rsidRDefault="00000000">
      <w:pPr>
        <w:pStyle w:val="Heading2"/>
      </w:pPr>
      <w:r>
        <w:t>4. Lambda</w:t>
      </w:r>
      <w:r>
        <w:t>靠长期算力合同和资产融资扩张</w:t>
      </w:r>
    </w:p>
    <w:p w14:paraId="0A5CAB99" w14:textId="77777777" w:rsidR="007B5C49" w:rsidRDefault="00000000">
      <w:r>
        <w:t>Lambda 2025年11月宣布与Microsoft签署数十亿美元多年协议，部署数万块NVIDIA GPU，包括GB300 NVL72。2026年5月又把高级担保信贷额度由2.75亿美元扩大到10亿美元，用于GPU和数据中心扩张。公司还在2025年11月筹得超过15亿美元股权/战略资本。</w:t>
      </w:r>
    </w:p>
    <w:p w14:paraId="202FD2CB" w14:textId="77777777" w:rsidR="007B5C49" w:rsidRDefault="00000000">
      <w:r>
        <w:t>Lambda的公开材料强调“gigawatt-scale AI factories”，但没有像CoreWeave那样披露可直接比较的活跃电力数字。因此不能因为有十亿美元融资和数十亿美元合同，就估算其已运营GW。融资只说明建设能力，合同只说明潜在需求，真正供给仍需看交付。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600"/>
        <w:gridCol w:w="3300"/>
        <w:gridCol w:w="2600"/>
      </w:tblGrid>
      <w:tr w:rsidR="007B5C49" w14:paraId="47AB1D94" w14:textId="77777777">
        <w:trPr>
          <w:tblHeader/>
          <w:jc w:val="center"/>
        </w:trPr>
        <w:tc>
          <w:tcPr>
            <w:tcW w:w="1600" w:type="dxa"/>
            <w:shd w:val="clear" w:color="auto" w:fill="D9EAF7"/>
            <w:vAlign w:val="center"/>
          </w:tcPr>
          <w:p w14:paraId="65B670CA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企业</w:t>
            </w:r>
          </w:p>
        </w:tc>
        <w:tc>
          <w:tcPr>
            <w:tcW w:w="2600" w:type="dxa"/>
            <w:shd w:val="clear" w:color="auto" w:fill="D9EAF7"/>
            <w:vAlign w:val="center"/>
          </w:tcPr>
          <w:p w14:paraId="2311D452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最硬公开指标</w:t>
            </w:r>
          </w:p>
        </w:tc>
        <w:tc>
          <w:tcPr>
            <w:tcW w:w="3300" w:type="dxa"/>
            <w:shd w:val="clear" w:color="auto" w:fill="D9EAF7"/>
            <w:vAlign w:val="center"/>
          </w:tcPr>
          <w:p w14:paraId="7E0B0695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未来指标/合同</w:t>
            </w:r>
          </w:p>
        </w:tc>
        <w:tc>
          <w:tcPr>
            <w:tcW w:w="2600" w:type="dxa"/>
            <w:shd w:val="clear" w:color="auto" w:fill="D9EAF7"/>
            <w:vAlign w:val="center"/>
          </w:tcPr>
          <w:p w14:paraId="08087632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核心风险</w:t>
            </w:r>
          </w:p>
        </w:tc>
      </w:tr>
      <w:tr w:rsidR="007B5C49" w14:paraId="35FA7C6F" w14:textId="77777777">
        <w:trPr>
          <w:jc w:val="center"/>
        </w:trPr>
        <w:tc>
          <w:tcPr>
            <w:tcW w:w="1600" w:type="dxa"/>
            <w:vAlign w:val="center"/>
          </w:tcPr>
          <w:p w14:paraId="0A9A803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CoreWeave</w:t>
            </w:r>
          </w:p>
        </w:tc>
        <w:tc>
          <w:tcPr>
            <w:tcW w:w="2600" w:type="dxa"/>
            <w:vAlign w:val="center"/>
          </w:tcPr>
          <w:p w14:paraId="6434D84D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活跃电力&gt;1GW</w:t>
            </w:r>
          </w:p>
        </w:tc>
        <w:tc>
          <w:tcPr>
            <w:tcW w:w="3300" w:type="dxa"/>
            <w:vAlign w:val="center"/>
          </w:tcPr>
          <w:p w14:paraId="5A5AEF8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签约电力&gt;3.5GW；backlog 994亿美元</w:t>
            </w:r>
          </w:p>
        </w:tc>
        <w:tc>
          <w:tcPr>
            <w:tcW w:w="2600" w:type="dxa"/>
            <w:vAlign w:val="center"/>
          </w:tcPr>
          <w:p w14:paraId="6DA38A38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客户集中、债务与交付</w:t>
            </w:r>
          </w:p>
        </w:tc>
      </w:tr>
      <w:tr w:rsidR="007B5C49" w14:paraId="22540C3F" w14:textId="77777777">
        <w:trPr>
          <w:jc w:val="center"/>
        </w:trPr>
        <w:tc>
          <w:tcPr>
            <w:tcW w:w="1600" w:type="dxa"/>
            <w:vAlign w:val="center"/>
          </w:tcPr>
          <w:p w14:paraId="65846BF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Crusoe</w:t>
            </w:r>
          </w:p>
        </w:tc>
        <w:tc>
          <w:tcPr>
            <w:tcW w:w="2600" w:type="dxa"/>
            <w:vAlign w:val="center"/>
          </w:tcPr>
          <w:p w14:paraId="242FB58F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Abilene首期200MW+项目</w:t>
            </w:r>
          </w:p>
        </w:tc>
        <w:tc>
          <w:tcPr>
            <w:tcW w:w="3300" w:type="dxa"/>
            <w:vAlign w:val="center"/>
          </w:tcPr>
          <w:p w14:paraId="5554F0F6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园区1.2GW；JV约150亿美元</w:t>
            </w:r>
          </w:p>
        </w:tc>
        <w:tc>
          <w:tcPr>
            <w:tcW w:w="2600" w:type="dxa"/>
            <w:vAlign w:val="center"/>
          </w:tcPr>
          <w:p w14:paraId="36ACE82E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开发容量与云容量重复统计</w:t>
            </w:r>
          </w:p>
        </w:tc>
      </w:tr>
      <w:tr w:rsidR="007B5C49" w14:paraId="19276E6F" w14:textId="77777777">
        <w:trPr>
          <w:jc w:val="center"/>
        </w:trPr>
        <w:tc>
          <w:tcPr>
            <w:tcW w:w="1600" w:type="dxa"/>
            <w:vAlign w:val="center"/>
          </w:tcPr>
          <w:p w14:paraId="0D66971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Nebius</w:t>
            </w:r>
          </w:p>
        </w:tc>
        <w:tc>
          <w:tcPr>
            <w:tcW w:w="2600" w:type="dxa"/>
            <w:vAlign w:val="center"/>
          </w:tcPr>
          <w:p w14:paraId="33BE3A46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Q1 AI云收入3.897亿美元</w:t>
            </w:r>
          </w:p>
        </w:tc>
        <w:tc>
          <w:tcPr>
            <w:tcW w:w="3300" w:type="dxa"/>
            <w:vAlign w:val="center"/>
          </w:tcPr>
          <w:p w14:paraId="23CE53C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签约电力目标&gt;4GW；ARR目标70亿—90亿美元</w:t>
            </w:r>
          </w:p>
        </w:tc>
        <w:tc>
          <w:tcPr>
            <w:tcW w:w="2600" w:type="dxa"/>
            <w:vAlign w:val="center"/>
          </w:tcPr>
          <w:p w14:paraId="3D7052DB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签约电力转活跃电力</w:t>
            </w:r>
          </w:p>
        </w:tc>
      </w:tr>
      <w:tr w:rsidR="007B5C49" w14:paraId="05483E24" w14:textId="77777777">
        <w:trPr>
          <w:jc w:val="center"/>
        </w:trPr>
        <w:tc>
          <w:tcPr>
            <w:tcW w:w="1600" w:type="dxa"/>
            <w:vAlign w:val="center"/>
          </w:tcPr>
          <w:p w14:paraId="18C447C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Lambda</w:t>
            </w:r>
          </w:p>
        </w:tc>
        <w:tc>
          <w:tcPr>
            <w:tcW w:w="2600" w:type="dxa"/>
            <w:vAlign w:val="center"/>
          </w:tcPr>
          <w:p w14:paraId="3D019021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未披露同口径活跃GW</w:t>
            </w:r>
          </w:p>
        </w:tc>
        <w:tc>
          <w:tcPr>
            <w:tcW w:w="3300" w:type="dxa"/>
            <w:vAlign w:val="center"/>
          </w:tcPr>
          <w:p w14:paraId="000313B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Microsoft数十亿美元合同；10亿美元信贷</w:t>
            </w:r>
          </w:p>
        </w:tc>
        <w:tc>
          <w:tcPr>
            <w:tcW w:w="2600" w:type="dxa"/>
            <w:vAlign w:val="center"/>
          </w:tcPr>
          <w:p w14:paraId="1118F3A8" w14:textId="77777777" w:rsidR="007B5C49" w:rsidRDefault="00000000">
            <w:pPr>
              <w:spacing w:after="0" w:line="259" w:lineRule="auto"/>
              <w:jc w:val="center"/>
            </w:pPr>
            <w:r>
              <w:rPr>
                <w:sz w:val="17"/>
              </w:rPr>
              <w:t>披露有限、融资与交付</w:t>
            </w:r>
          </w:p>
        </w:tc>
      </w:tr>
    </w:tbl>
    <w:p w14:paraId="3F849EAF" w14:textId="77777777" w:rsidR="007B5C49" w:rsidRDefault="007B5C49">
      <w:pPr>
        <w:spacing w:after="40"/>
      </w:pPr>
    </w:p>
    <w:p w14:paraId="5DC88708" w14:textId="77777777" w:rsidR="007B5C49" w:rsidRDefault="00000000">
      <w:pPr>
        <w:pStyle w:val="Heading2"/>
      </w:pPr>
      <w:r>
        <w:t>5. Neocloud</w:t>
      </w:r>
      <w:r>
        <w:t>不是简单替代</w:t>
      </w:r>
      <w:r>
        <w:t>Hyperscaler</w:t>
      </w:r>
      <w:r>
        <w:t>，而是它们的弹性层</w:t>
      </w:r>
    </w:p>
    <w:p w14:paraId="70F119B1" w14:textId="77777777" w:rsidR="007B5C49" w:rsidRDefault="00000000">
      <w:r>
        <w:t>Neocloud一方面与AWS、Azure、Google Cloud竞争AI客户，另一方面又向Microsoft、Meta等Hyperscaler交付算力，甚至使用Hyperscaler或其合作伙伴的园区。它们承担了GPU资产融资和快速部署功能，帮助大厂把部分资本开支和交付压力外部化。</w:t>
      </w:r>
    </w:p>
    <w:p w14:paraId="6C7388B2" w14:textId="77777777" w:rsidR="007B5C49" w:rsidRDefault="00000000">
      <w:r>
        <w:t>因此评价Neocloud不能只看收入增速，应同时看：活跃/连接/签约电力转换率、GPU代际、利用率、客户集中度、债务期限与合同期限匹配、数据中心租约、网络和软件能力。最危险的错配是短期债务购买快速折旧GPU，却依赖尚未上线的长期容量产生现金流。</w:t>
      </w:r>
    </w:p>
    <w:p w14:paraId="274FF5FF" w14:textId="77777777" w:rsidR="007B5C49" w:rsidRDefault="00000000">
      <w:pPr>
        <w:pStyle w:val="QALabel"/>
      </w:pPr>
      <w:r>
        <w:lastRenderedPageBreak/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657A6A49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419D0FAD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Neocloud飞轮</w:t>
            </w:r>
          </w:p>
          <w:p w14:paraId="416F4A19" w14:textId="77777777" w:rsidR="007B5C49" w:rsidRDefault="00000000">
            <w:pPr>
              <w:spacing w:after="0" w:line="288" w:lineRule="auto"/>
            </w:pPr>
            <w:r>
              <w:t>模型公司/Hyperscaler签长期算力合同 → Neocloud以合同融资 → 购买GPU并锁定数据中心、电力和网络 → 集群上线形成活跃MW → 收入与订单积压增长 → 再融资扩张；若电力、GPU或客户验收延迟，则签约GW和backlog无法按期转为现金流。</w:t>
            </w:r>
          </w:p>
        </w:tc>
      </w:tr>
    </w:tbl>
    <w:p w14:paraId="244C5E1E" w14:textId="77777777" w:rsidR="007B5C49" w:rsidRDefault="007B5C49">
      <w:pPr>
        <w:spacing w:after="40"/>
      </w:pPr>
    </w:p>
    <w:p w14:paraId="20C37872" w14:textId="77777777" w:rsidR="007B5C49" w:rsidRDefault="00000000">
      <w:pPr>
        <w:pStyle w:val="QALabel"/>
      </w:pPr>
      <w:r>
        <w:t>来源</w:t>
      </w:r>
    </w:p>
    <w:p w14:paraId="05F07533" w14:textId="77777777" w:rsidR="007B5C49" w:rsidRDefault="00000000">
      <w:pPr>
        <w:spacing w:after="80"/>
        <w:ind w:left="360" w:hanging="288"/>
      </w:pPr>
      <w:r>
        <w:rPr>
          <w:b/>
        </w:rPr>
        <w:t>• CoreWeave｜Q1 2026 results</w:t>
      </w:r>
      <w:r>
        <w:t>：活跃电力、签约电力、994亿美元backlog及客户合同</w:t>
      </w:r>
      <w:r>
        <w:rPr>
          <w:color w:val="1F4E79"/>
        </w:rPr>
        <w:br/>
        <w:t>https://investors.coreweave.com/news/news-details/2026/CoreWeave-Reports-Strong-First-Quarter-2026-Results/</w:t>
      </w:r>
    </w:p>
    <w:p w14:paraId="74CCD973" w14:textId="77777777" w:rsidR="007B5C49" w:rsidRDefault="00000000">
      <w:pPr>
        <w:spacing w:after="80"/>
        <w:ind w:left="360" w:hanging="288"/>
      </w:pPr>
      <w:r>
        <w:rPr>
          <w:b/>
        </w:rPr>
        <w:t>• Crusoe｜$15B Abilene JV second phase</w:t>
      </w:r>
      <w:r>
        <w:t>：1.2GW园区与融资结构</w:t>
      </w:r>
      <w:r>
        <w:rPr>
          <w:color w:val="1F4E79"/>
        </w:rPr>
        <w:br/>
        <w:t>https://www.crusoe.ai/resources/newsroom/crusoe-blue-owl-capital-and-primary-digital-infrastructure-enter-joint-venture</w:t>
      </w:r>
    </w:p>
    <w:p w14:paraId="71BF0C42" w14:textId="77777777" w:rsidR="007B5C49" w:rsidRDefault="00000000">
      <w:pPr>
        <w:spacing w:after="80"/>
        <w:ind w:left="360" w:hanging="288"/>
      </w:pPr>
      <w:r>
        <w:rPr>
          <w:b/>
        </w:rPr>
        <w:t>• Crusoe｜$3.4B first phase JV</w:t>
      </w:r>
      <w:r>
        <w:t>：206MW首阶段与长期租户</w:t>
      </w:r>
      <w:r>
        <w:rPr>
          <w:color w:val="1F4E79"/>
        </w:rPr>
        <w:br/>
        <w:t>https://www.crusoe.ai/resources/newsroom/crusoe-blue-owl-capital-primary-digital-joint-venture</w:t>
      </w:r>
    </w:p>
    <w:p w14:paraId="49462701" w14:textId="77777777" w:rsidR="007B5C49" w:rsidRDefault="00000000">
      <w:pPr>
        <w:spacing w:after="80"/>
        <w:ind w:left="360" w:hanging="288"/>
      </w:pPr>
      <w:r>
        <w:rPr>
          <w:b/>
        </w:rPr>
        <w:t>• Nebius｜Q1 2026 shareholder letter</w:t>
      </w:r>
      <w:r>
        <w:t>：签约电力、收入、ARR和融资</w:t>
      </w:r>
      <w:r>
        <w:rPr>
          <w:color w:val="1F4E79"/>
        </w:rPr>
        <w:br/>
        <w:t>https://assets.nebius.com/assets/11f7d99a-6dc6-4032-82bc-de3f141cb708/SHLQ1_26.pdf</w:t>
      </w:r>
    </w:p>
    <w:p w14:paraId="235321EA" w14:textId="77777777" w:rsidR="007B5C49" w:rsidRDefault="00000000">
      <w:pPr>
        <w:spacing w:after="80"/>
        <w:ind w:left="360" w:hanging="288"/>
      </w:pPr>
      <w:r>
        <w:rPr>
          <w:b/>
        </w:rPr>
        <w:t>• Lambda｜Microsoft agreement</w:t>
      </w:r>
      <w:r>
        <w:t>：多年合同与数万GPU</w:t>
      </w:r>
      <w:r>
        <w:rPr>
          <w:color w:val="1F4E79"/>
        </w:rPr>
        <w:br/>
        <w:t>https://lambda.ai/blog/lambda-announces-multibillion-dollar-agreement-with-microsoft-to-deploy-ai-infrastructure-powered-by-tens-of-thousands-of-nvidia-gpus</w:t>
      </w:r>
    </w:p>
    <w:p w14:paraId="4748CB99" w14:textId="77777777" w:rsidR="007B5C49" w:rsidRDefault="00000000">
      <w:pPr>
        <w:spacing w:after="80"/>
        <w:ind w:left="360" w:hanging="288"/>
      </w:pPr>
      <w:r>
        <w:rPr>
          <w:b/>
        </w:rPr>
        <w:t>• Lambda｜$1B secured credit facility</w:t>
      </w:r>
      <w:r>
        <w:t>：融资与扩张用途</w:t>
      </w:r>
      <w:r>
        <w:rPr>
          <w:color w:val="1F4E79"/>
        </w:rPr>
        <w:br/>
        <w:t>https://lambda.ai/blog/lambda-closes-1-billion-senior-secured-credit-facility</w:t>
      </w:r>
    </w:p>
    <w:p w14:paraId="4EB79242" w14:textId="77777777" w:rsidR="007B5C49" w:rsidRDefault="00000000">
      <w:pPr>
        <w:pStyle w:val="Heading1"/>
        <w:pageBreakBefore/>
      </w:pPr>
      <w:r>
        <w:lastRenderedPageBreak/>
        <w:t>Q8</w:t>
      </w:r>
      <w:r>
        <w:t>：</w:t>
      </w:r>
      <w:r>
        <w:t>OpenAI</w:t>
      </w:r>
      <w:r>
        <w:t>、</w:t>
      </w:r>
      <w:r>
        <w:t>Anthropic</w:t>
      </w:r>
      <w:r>
        <w:t>的算力到底从哪里来？</w:t>
      </w:r>
    </w:p>
    <w:p w14:paraId="7372DA78" w14:textId="77777777" w:rsidR="007B5C49" w:rsidRDefault="00000000">
      <w:pPr>
        <w:pStyle w:val="QALabel"/>
      </w:pPr>
      <w:r>
        <w:t>通俗问题</w:t>
      </w:r>
    </w:p>
    <w:p w14:paraId="18342E66" w14:textId="77777777" w:rsidR="007B5C49" w:rsidRDefault="00000000">
      <w:r>
        <w:t>模型公司没有传统云厂商那样完整的数据中心体系，它们训练和运行模型所需的巨大算力是谁建设、谁融资、谁运营？</w:t>
      </w:r>
    </w:p>
    <w:p w14:paraId="24E4BBD3" w14:textId="77777777" w:rsidR="007B5C49" w:rsidRDefault="00000000">
      <w:pPr>
        <w:pStyle w:val="QALabel"/>
      </w:pPr>
      <w:r>
        <w:t>主要研究（专业）</w:t>
      </w:r>
    </w:p>
    <w:p w14:paraId="76064D0A" w14:textId="77777777" w:rsidR="007B5C49" w:rsidRDefault="00000000">
      <w:r>
        <w:t>前沿模型实验室的多云、多芯片、长期合同与专用园区采购结构。</w:t>
      </w:r>
    </w:p>
    <w:p w14:paraId="6AC66C18" w14:textId="77777777" w:rsidR="007B5C49" w:rsidRDefault="00000000">
      <w:pPr>
        <w:pStyle w:val="QALabel"/>
      </w:pPr>
      <w:r>
        <w:t>研究方向</w:t>
      </w:r>
    </w:p>
    <w:p w14:paraId="592DD179" w14:textId="77777777" w:rsidR="007B5C49" w:rsidRDefault="00000000">
      <w:pPr>
        <w:pStyle w:val="ListBullet"/>
        <w:spacing w:after="80" w:line="288" w:lineRule="auto"/>
        <w:ind w:left="403" w:hanging="259"/>
      </w:pPr>
      <w:r>
        <w:t>逐项拆分OpenAI的Microsoft Azure、Oracle/Stargate、CoreWeave、NVIDIA与AMD合作。</w:t>
      </w:r>
    </w:p>
    <w:p w14:paraId="4DC9F96E" w14:textId="77777777" w:rsidR="007B5C49" w:rsidRDefault="00000000">
      <w:pPr>
        <w:pStyle w:val="ListBullet"/>
        <w:spacing w:after="80" w:line="288" w:lineRule="auto"/>
        <w:ind w:left="403" w:hanging="259"/>
      </w:pPr>
      <w:r>
        <w:t>核对Anthropic的AWS主云、Project Rainier、Google TPU与CoreWeave关系。</w:t>
      </w:r>
    </w:p>
    <w:p w14:paraId="5872CF12" w14:textId="77777777" w:rsidR="007B5C49" w:rsidRDefault="00000000">
      <w:pPr>
        <w:pStyle w:val="ListBullet"/>
        <w:spacing w:after="80" w:line="288" w:lineRule="auto"/>
        <w:ind w:left="403" w:hanging="259"/>
      </w:pPr>
      <w:r>
        <w:t>把伙伴声明、合同金额、芯片数量、规划GW与实际投运状态分开。</w:t>
      </w:r>
    </w:p>
    <w:p w14:paraId="477EC4C6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77944F17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654FB499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3DD0352A" w14:textId="77777777" w:rsidR="007B5C49" w:rsidRDefault="00000000">
            <w:pPr>
              <w:spacing w:after="0" w:line="288" w:lineRule="auto"/>
            </w:pPr>
            <w:r>
              <w:t>OpenAI与Anthropic都不是靠单一云供应商：OpenAI以Azure为长期基础，借Stargate/Oracle、CoreWeave及NVIDIA/AMD协议扩充；Anthropic以AWS为主云和训练基础，同时使用Google TPU并增加CoreWeave供给。它们采购的是“可用算力组合”，而不是简单租一栋机房。</w:t>
            </w:r>
          </w:p>
        </w:tc>
      </w:tr>
    </w:tbl>
    <w:p w14:paraId="0FAB2676" w14:textId="77777777" w:rsidR="007B5C49" w:rsidRDefault="007B5C49">
      <w:pPr>
        <w:spacing w:after="40"/>
      </w:pPr>
    </w:p>
    <w:p w14:paraId="33EF2F25" w14:textId="77777777" w:rsidR="007B5C49" w:rsidRDefault="00000000">
      <w:pPr>
        <w:pStyle w:val="QALabel"/>
      </w:pPr>
      <w:r>
        <w:t>详细支撑</w:t>
      </w:r>
    </w:p>
    <w:p w14:paraId="79F073B5" w14:textId="77777777" w:rsidR="007B5C49" w:rsidRDefault="00000000">
      <w:pPr>
        <w:pStyle w:val="Heading2"/>
      </w:pPr>
      <w:r>
        <w:t>1. OpenAI</w:t>
      </w:r>
      <w:r>
        <w:t>：从</w:t>
      </w:r>
      <w:r>
        <w:t>Azure</w:t>
      </w:r>
      <w:r>
        <w:t>单核心走向伙伴化、多云、多芯片</w:t>
      </w:r>
    </w:p>
    <w:p w14:paraId="1893DBB8" w14:textId="77777777" w:rsidR="007B5C49" w:rsidRDefault="00000000">
      <w:r>
        <w:t>Microsoft仍是OpenAI基础设施版图的核心。2026年4月修订后的合作条款称Microsoft为OpenAI的主要云合作伙伴；OpenAI产品原则上优先在Azure部署，但OpenAI可以跨云提供产品。Azure仍独家承载无状态OpenAI API，Microsoft第一方产品继续运行在Azure。这说明关系不是“彻底脱钩”，而是Azure核心地位与外部扩容并存。</w:t>
      </w:r>
    </w:p>
    <w:p w14:paraId="7B60EA25" w14:textId="77777777" w:rsidR="007B5C49" w:rsidRDefault="00000000">
      <w:r>
        <w:t>外部扩容的主轴是Stargate。2025年9月，OpenAI宣布五个新增美国站点，使已规划容量接近7GW、未来三年投资超过4000亿美元，并朝5000亿美元、10GW目标推进。Oracle合作新增最多4.5GW；连同Abilene等站点，相关开发容量超过5GW。这里的“规划/开发”绝不能写成“已投运”：当时Abilene只有部分设施开始运行，首批GB200机架用于早期训练与推理。</w:t>
      </w:r>
    </w:p>
    <w:p w14:paraId="50039882" w14:textId="77777777" w:rsidR="007B5C49" w:rsidRDefault="00000000">
      <w:r>
        <w:t>2026年4月OpenAI又称最初的美国10GW目标已被超越，并在90天内新增超过3GW。该说法来自公司公告，反映合作项目组合扩张，但并未逐站披露通电与IT负载，因此应标为“公司披露的基础设施组合/新增承诺”，不能与运营GW直接相加。</w:t>
      </w:r>
    </w:p>
    <w:p w14:paraId="34FE91DD" w14:textId="77777777" w:rsidR="007B5C49" w:rsidRDefault="00000000">
      <w:pPr>
        <w:pStyle w:val="Heading2"/>
      </w:pPr>
      <w:r>
        <w:t>2. NVIDIA</w:t>
      </w:r>
      <w:r>
        <w:t>和</w:t>
      </w:r>
      <w:r>
        <w:t>AMD</w:t>
      </w:r>
      <w:r>
        <w:t>协议锁定芯片路线，但不是现成容量</w:t>
      </w:r>
    </w:p>
    <w:p w14:paraId="252E8E93" w14:textId="77777777" w:rsidR="007B5C49" w:rsidRDefault="00000000">
      <w:r>
        <w:t>OpenAI与NVIDIA在2025年9月签署意向书，计划部署至少10GW NVIDIA系统，NVIDIA拟随部署分阶段投资最高1000亿美元，首个1GW计划于2026年下半年上线。与AMD的协议则覆盖6GW，首个</w:t>
      </w:r>
      <w:r>
        <w:lastRenderedPageBreak/>
        <w:t>1GW MI450同样计划于2026年下半年开始部署。两个数字都是多年计划或协议，不代表2025年已运行16GW，也不能与Stargate站点容量直接相加，因为同一园区可能承载这些芯片。</w:t>
      </w:r>
    </w:p>
    <w:p w14:paraId="0620553A" w14:textId="77777777" w:rsidR="007B5C49" w:rsidRDefault="00000000">
      <w:r>
        <w:t>正确的理解是三层：Stargate/Oracle/CoreWeave提供场地、电力、网络和运营；NVIDIA/AMD提供计算平台；Azure及OpenAI软件栈把硬件转化为训练和推理服务。同一项目可同时出现在“芯片合作、云合同、园区开发”三个新闻中，研究数据库必须用项目ID去重。</w:t>
      </w:r>
    </w:p>
    <w:p w14:paraId="217251E9" w14:textId="77777777" w:rsidR="007B5C49" w:rsidRDefault="00000000">
      <w:pPr>
        <w:pStyle w:val="Heading2"/>
      </w:pPr>
      <w:r>
        <w:t>3. Anthropic</w:t>
      </w:r>
      <w:r>
        <w:t>：</w:t>
      </w:r>
      <w:r>
        <w:t>AWS</w:t>
      </w:r>
      <w:r>
        <w:t>为主云，</w:t>
      </w:r>
      <w:r>
        <w:t>Google TPU</w:t>
      </w:r>
      <w:r>
        <w:t>和</w:t>
      </w:r>
      <w:r>
        <w:t>CoreWeave</w:t>
      </w:r>
      <w:r>
        <w:t>补充</w:t>
      </w:r>
    </w:p>
    <w:p w14:paraId="39BD2831" w14:textId="77777777" w:rsidR="007B5C49" w:rsidRDefault="00000000">
      <w:r>
        <w:t>Anthropic公开称AWS是其主要云和训练伙伴。Project Rainier围绕Trainium2构建超大集群，AWS客户材料描述近100万颗Trainium2用于训练和服务Claude；较早的AWS基础设施页面曾写“近50万颗”。这更合理地解释为部署阶段或统计时点变化，而不是两套可直接相加的集群。没有完整功耗、网络和冗余边界时，不应把芯片数换算为GW。</w:t>
      </w:r>
    </w:p>
    <w:p w14:paraId="28BBC3C2" w14:textId="77777777" w:rsidR="007B5C49" w:rsidRDefault="00000000">
      <w:r>
        <w:t>Anthropic同时使用Google TPU训练和服务Claude。Google材料明确提到Claude在TPU上训练并服务，表明Anthropic以多芯片降低供应风险，并可按工作负载选择平台。CoreWeave在2026年一季度披露与Anthropic签有多年协议，但未公开可独立核验的专属MW，因此只能记为供应关系，不能构造容量数字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1800"/>
        <w:gridCol w:w="2700"/>
        <w:gridCol w:w="1800"/>
        <w:gridCol w:w="2250"/>
      </w:tblGrid>
      <w:tr w:rsidR="007B5C49" w14:paraId="3722BE1D" w14:textId="77777777">
        <w:trPr>
          <w:tblHeader/>
          <w:jc w:val="center"/>
        </w:trPr>
        <w:tc>
          <w:tcPr>
            <w:tcW w:w="1450" w:type="dxa"/>
            <w:shd w:val="clear" w:color="auto" w:fill="D9EAF7"/>
          </w:tcPr>
          <w:p w14:paraId="4651A8CA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模型公司</w:t>
            </w:r>
          </w:p>
        </w:tc>
        <w:tc>
          <w:tcPr>
            <w:tcW w:w="1800" w:type="dxa"/>
            <w:shd w:val="clear" w:color="auto" w:fill="D9EAF7"/>
          </w:tcPr>
          <w:p w14:paraId="45C539E1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伙伴/平台</w:t>
            </w:r>
          </w:p>
        </w:tc>
        <w:tc>
          <w:tcPr>
            <w:tcW w:w="2700" w:type="dxa"/>
            <w:shd w:val="clear" w:color="auto" w:fill="D9EAF7"/>
          </w:tcPr>
          <w:p w14:paraId="3A4A472D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公开硬指标</w:t>
            </w:r>
          </w:p>
        </w:tc>
        <w:tc>
          <w:tcPr>
            <w:tcW w:w="1800" w:type="dxa"/>
            <w:shd w:val="clear" w:color="auto" w:fill="D9EAF7"/>
          </w:tcPr>
          <w:p w14:paraId="4E996C67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截至披露时状态</w:t>
            </w:r>
          </w:p>
        </w:tc>
        <w:tc>
          <w:tcPr>
            <w:tcW w:w="2250" w:type="dxa"/>
            <w:shd w:val="clear" w:color="auto" w:fill="D9EAF7"/>
          </w:tcPr>
          <w:p w14:paraId="6EE08A33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不能这样解释</w:t>
            </w:r>
          </w:p>
        </w:tc>
      </w:tr>
      <w:tr w:rsidR="007B5C49" w14:paraId="48850EBF" w14:textId="77777777">
        <w:trPr>
          <w:cantSplit/>
          <w:jc w:val="center"/>
        </w:trPr>
        <w:tc>
          <w:tcPr>
            <w:tcW w:w="1450" w:type="dxa"/>
            <w:vAlign w:val="center"/>
          </w:tcPr>
          <w:p w14:paraId="4AE4347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OpenAI</w:t>
            </w:r>
          </w:p>
        </w:tc>
        <w:tc>
          <w:tcPr>
            <w:tcW w:w="1800" w:type="dxa"/>
            <w:vAlign w:val="center"/>
          </w:tcPr>
          <w:p w14:paraId="2FBE134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Microsoft Azure</w:t>
            </w:r>
          </w:p>
        </w:tc>
        <w:tc>
          <w:tcPr>
            <w:tcW w:w="2700" w:type="dxa"/>
            <w:vAlign w:val="center"/>
          </w:tcPr>
          <w:p w14:paraId="29F62DF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API独家云、主要云伙伴</w:t>
            </w:r>
          </w:p>
        </w:tc>
        <w:tc>
          <w:tcPr>
            <w:tcW w:w="1800" w:type="dxa"/>
            <w:vAlign w:val="center"/>
          </w:tcPr>
          <w:p w14:paraId="644D0AE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持续运营关系</w:t>
            </w:r>
          </w:p>
        </w:tc>
        <w:tc>
          <w:tcPr>
            <w:tcW w:w="2250" w:type="dxa"/>
            <w:vAlign w:val="center"/>
          </w:tcPr>
          <w:p w14:paraId="7AA935E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不等于全部训练只在Azure</w:t>
            </w:r>
          </w:p>
        </w:tc>
      </w:tr>
      <w:tr w:rsidR="007B5C49" w14:paraId="14DE94BB" w14:textId="77777777">
        <w:trPr>
          <w:cantSplit/>
          <w:jc w:val="center"/>
        </w:trPr>
        <w:tc>
          <w:tcPr>
            <w:tcW w:w="1450" w:type="dxa"/>
            <w:vAlign w:val="center"/>
          </w:tcPr>
          <w:p w14:paraId="3393819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OpenAI</w:t>
            </w:r>
          </w:p>
        </w:tc>
        <w:tc>
          <w:tcPr>
            <w:tcW w:w="1800" w:type="dxa"/>
            <w:vAlign w:val="center"/>
          </w:tcPr>
          <w:p w14:paraId="3CDF4D4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Oracle/Stargate</w:t>
            </w:r>
          </w:p>
        </w:tc>
        <w:tc>
          <w:tcPr>
            <w:tcW w:w="2700" w:type="dxa"/>
            <w:vAlign w:val="center"/>
          </w:tcPr>
          <w:p w14:paraId="5DA48B5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接近7GW规划；Oracle新增最多4.5GW</w:t>
            </w:r>
          </w:p>
        </w:tc>
        <w:tc>
          <w:tcPr>
            <w:tcW w:w="1800" w:type="dxa"/>
            <w:vAlign w:val="center"/>
          </w:tcPr>
          <w:p w14:paraId="0C8152D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规划/开发，部分站点运行</w:t>
            </w:r>
          </w:p>
        </w:tc>
        <w:tc>
          <w:tcPr>
            <w:tcW w:w="2250" w:type="dxa"/>
            <w:vAlign w:val="center"/>
          </w:tcPr>
          <w:p w14:paraId="585375E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不能写成7GW已投运</w:t>
            </w:r>
          </w:p>
        </w:tc>
      </w:tr>
      <w:tr w:rsidR="007B5C49" w14:paraId="5B4AE510" w14:textId="77777777">
        <w:trPr>
          <w:cantSplit/>
          <w:jc w:val="center"/>
        </w:trPr>
        <w:tc>
          <w:tcPr>
            <w:tcW w:w="1450" w:type="dxa"/>
            <w:vAlign w:val="center"/>
          </w:tcPr>
          <w:p w14:paraId="39FC88C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OpenAI</w:t>
            </w:r>
          </w:p>
        </w:tc>
        <w:tc>
          <w:tcPr>
            <w:tcW w:w="1800" w:type="dxa"/>
            <w:vAlign w:val="center"/>
          </w:tcPr>
          <w:p w14:paraId="2818E32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NVIDIA</w:t>
            </w:r>
          </w:p>
        </w:tc>
        <w:tc>
          <w:tcPr>
            <w:tcW w:w="2700" w:type="dxa"/>
            <w:vAlign w:val="center"/>
          </w:tcPr>
          <w:p w14:paraId="5DCF68B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至少10GW系统；最高1000亿美元拟投资</w:t>
            </w:r>
          </w:p>
        </w:tc>
        <w:tc>
          <w:tcPr>
            <w:tcW w:w="1800" w:type="dxa"/>
            <w:vAlign w:val="center"/>
          </w:tcPr>
          <w:p w14:paraId="78F0557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意向书/分阶段部署</w:t>
            </w:r>
          </w:p>
        </w:tc>
        <w:tc>
          <w:tcPr>
            <w:tcW w:w="2250" w:type="dxa"/>
            <w:vAlign w:val="center"/>
          </w:tcPr>
          <w:p w14:paraId="370BD08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不能与园区GW直接相加</w:t>
            </w:r>
          </w:p>
        </w:tc>
      </w:tr>
      <w:tr w:rsidR="007B5C49" w14:paraId="7E1636E7" w14:textId="77777777">
        <w:trPr>
          <w:cantSplit/>
          <w:jc w:val="center"/>
        </w:trPr>
        <w:tc>
          <w:tcPr>
            <w:tcW w:w="1450" w:type="dxa"/>
            <w:vAlign w:val="center"/>
          </w:tcPr>
          <w:p w14:paraId="63428ED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OpenAI</w:t>
            </w:r>
          </w:p>
        </w:tc>
        <w:tc>
          <w:tcPr>
            <w:tcW w:w="1800" w:type="dxa"/>
            <w:vAlign w:val="center"/>
          </w:tcPr>
          <w:p w14:paraId="0B6EF43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AMD</w:t>
            </w:r>
          </w:p>
        </w:tc>
        <w:tc>
          <w:tcPr>
            <w:tcW w:w="2700" w:type="dxa"/>
            <w:vAlign w:val="center"/>
          </w:tcPr>
          <w:p w14:paraId="3A9BFCE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6GW；首1GW计划2026H2</w:t>
            </w:r>
          </w:p>
        </w:tc>
        <w:tc>
          <w:tcPr>
            <w:tcW w:w="1800" w:type="dxa"/>
            <w:vAlign w:val="center"/>
          </w:tcPr>
          <w:p w14:paraId="0D43289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多年协议/计划</w:t>
            </w:r>
          </w:p>
        </w:tc>
        <w:tc>
          <w:tcPr>
            <w:tcW w:w="2250" w:type="dxa"/>
            <w:vAlign w:val="center"/>
          </w:tcPr>
          <w:p w14:paraId="647881B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不能当现有容量</w:t>
            </w:r>
          </w:p>
        </w:tc>
      </w:tr>
      <w:tr w:rsidR="007B5C49" w14:paraId="2E50D359" w14:textId="77777777">
        <w:trPr>
          <w:cantSplit/>
          <w:jc w:val="center"/>
        </w:trPr>
        <w:tc>
          <w:tcPr>
            <w:tcW w:w="1450" w:type="dxa"/>
            <w:vAlign w:val="center"/>
          </w:tcPr>
          <w:p w14:paraId="354536C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Anthropic</w:t>
            </w:r>
          </w:p>
        </w:tc>
        <w:tc>
          <w:tcPr>
            <w:tcW w:w="1800" w:type="dxa"/>
            <w:vAlign w:val="center"/>
          </w:tcPr>
          <w:p w14:paraId="3B542C1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AWS Rainier</w:t>
            </w:r>
          </w:p>
        </w:tc>
        <w:tc>
          <w:tcPr>
            <w:tcW w:w="2700" w:type="dxa"/>
            <w:vAlign w:val="center"/>
          </w:tcPr>
          <w:p w14:paraId="272D45F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近100万Trainium2</w:t>
            </w:r>
          </w:p>
        </w:tc>
        <w:tc>
          <w:tcPr>
            <w:tcW w:w="1800" w:type="dxa"/>
            <w:vAlign w:val="center"/>
          </w:tcPr>
          <w:p w14:paraId="0EE261D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分阶段部署并用于训练/服务</w:t>
            </w:r>
          </w:p>
        </w:tc>
        <w:tc>
          <w:tcPr>
            <w:tcW w:w="2250" w:type="dxa"/>
            <w:vAlign w:val="center"/>
          </w:tcPr>
          <w:p w14:paraId="1DCF21C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不能直接折算MW</w:t>
            </w:r>
          </w:p>
        </w:tc>
      </w:tr>
      <w:tr w:rsidR="007B5C49" w14:paraId="6B97E395" w14:textId="77777777">
        <w:trPr>
          <w:cantSplit/>
          <w:jc w:val="center"/>
        </w:trPr>
        <w:tc>
          <w:tcPr>
            <w:tcW w:w="1450" w:type="dxa"/>
            <w:vAlign w:val="center"/>
          </w:tcPr>
          <w:p w14:paraId="6DC8CC4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Anthropic</w:t>
            </w:r>
          </w:p>
        </w:tc>
        <w:tc>
          <w:tcPr>
            <w:tcW w:w="1800" w:type="dxa"/>
            <w:vAlign w:val="center"/>
          </w:tcPr>
          <w:p w14:paraId="4B52B76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Google TPU</w:t>
            </w:r>
          </w:p>
        </w:tc>
        <w:tc>
          <w:tcPr>
            <w:tcW w:w="2700" w:type="dxa"/>
            <w:vAlign w:val="center"/>
          </w:tcPr>
          <w:p w14:paraId="3F53005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Claude训练与服务</w:t>
            </w:r>
          </w:p>
        </w:tc>
        <w:tc>
          <w:tcPr>
            <w:tcW w:w="1800" w:type="dxa"/>
            <w:vAlign w:val="center"/>
          </w:tcPr>
          <w:p w14:paraId="6E4141E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在用，但未披露专属容量</w:t>
            </w:r>
          </w:p>
        </w:tc>
        <w:tc>
          <w:tcPr>
            <w:tcW w:w="2250" w:type="dxa"/>
            <w:vAlign w:val="center"/>
          </w:tcPr>
          <w:p w14:paraId="588B1B0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不能与AWS芯片数相加</w:t>
            </w:r>
          </w:p>
        </w:tc>
      </w:tr>
      <w:tr w:rsidR="007B5C49" w14:paraId="6210AE56" w14:textId="77777777">
        <w:trPr>
          <w:cantSplit/>
          <w:jc w:val="center"/>
        </w:trPr>
        <w:tc>
          <w:tcPr>
            <w:tcW w:w="1450" w:type="dxa"/>
            <w:vAlign w:val="center"/>
          </w:tcPr>
          <w:p w14:paraId="3D02AC6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Anthropic</w:t>
            </w:r>
          </w:p>
        </w:tc>
        <w:tc>
          <w:tcPr>
            <w:tcW w:w="1800" w:type="dxa"/>
            <w:vAlign w:val="center"/>
          </w:tcPr>
          <w:p w14:paraId="2A9C22F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CoreWeave</w:t>
            </w:r>
          </w:p>
        </w:tc>
        <w:tc>
          <w:tcPr>
            <w:tcW w:w="2700" w:type="dxa"/>
            <w:vAlign w:val="center"/>
          </w:tcPr>
          <w:p w14:paraId="42F61EC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多年协议</w:t>
            </w:r>
          </w:p>
        </w:tc>
        <w:tc>
          <w:tcPr>
            <w:tcW w:w="1800" w:type="dxa"/>
            <w:vAlign w:val="center"/>
          </w:tcPr>
          <w:p w14:paraId="7707388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已签供应关系</w:t>
            </w:r>
          </w:p>
        </w:tc>
        <w:tc>
          <w:tcPr>
            <w:tcW w:w="2250" w:type="dxa"/>
            <w:vAlign w:val="center"/>
          </w:tcPr>
          <w:p w14:paraId="6B100EB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未披露专属MW</w:t>
            </w:r>
          </w:p>
        </w:tc>
      </w:tr>
    </w:tbl>
    <w:p w14:paraId="34FCF3D5" w14:textId="77777777" w:rsidR="007B5C49" w:rsidRDefault="007B5C49">
      <w:pPr>
        <w:spacing w:after="40"/>
      </w:pPr>
    </w:p>
    <w:p w14:paraId="6722FD01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500C9F88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44510C45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模型公司的算力供应链</w:t>
            </w:r>
          </w:p>
          <w:p w14:paraId="74508509" w14:textId="77777777" w:rsidR="007B5C49" w:rsidRDefault="00000000">
            <w:pPr>
              <w:spacing w:after="0" w:line="288" w:lineRule="auto"/>
            </w:pPr>
            <w:r>
              <w:t>模型需求与长期收入预期 → 与云厂商/Neocloud签容量或算力合同 → 伙伴锁定土地、电力、融资与芯片 → 园区分期通电并安装集群 → 模型公司获得训练/推理服务；任何一环未交付，规划GW都不能算作可用算力。</w:t>
            </w:r>
          </w:p>
        </w:tc>
      </w:tr>
    </w:tbl>
    <w:p w14:paraId="0F510897" w14:textId="77777777" w:rsidR="007B5C49" w:rsidRDefault="007B5C49">
      <w:pPr>
        <w:spacing w:after="40"/>
      </w:pPr>
    </w:p>
    <w:p w14:paraId="32C336B6" w14:textId="77777777" w:rsidR="007B5C49" w:rsidRDefault="00000000">
      <w:pPr>
        <w:pStyle w:val="QALabel"/>
      </w:pPr>
      <w:r>
        <w:t>来源</w:t>
      </w:r>
    </w:p>
    <w:p w14:paraId="0616C441" w14:textId="77777777" w:rsidR="007B5C49" w:rsidRDefault="00000000">
      <w:pPr>
        <w:spacing w:after="80"/>
        <w:ind w:left="360" w:hanging="288"/>
      </w:pPr>
      <w:r>
        <w:rPr>
          <w:b/>
        </w:rPr>
        <w:t>• OpenAI｜Next phase of Microsoft partnership</w:t>
      </w:r>
      <w:r>
        <w:t>：2026年4月修订后的主要云、API与跨云安排</w:t>
      </w:r>
      <w:r>
        <w:rPr>
          <w:color w:val="1F4E79"/>
        </w:rPr>
        <w:br/>
        <w:t>https://openai.com/index/next-phase-of-microsoft-partnership/</w:t>
      </w:r>
    </w:p>
    <w:p w14:paraId="3273A6D0" w14:textId="77777777" w:rsidR="007B5C49" w:rsidRDefault="00000000">
      <w:pPr>
        <w:spacing w:after="80"/>
        <w:ind w:left="360" w:hanging="288"/>
      </w:pPr>
      <w:r>
        <w:rPr>
          <w:b/>
        </w:rPr>
        <w:t>• OpenAI｜Five new Stargate sites</w:t>
      </w:r>
      <w:r>
        <w:t>：接近7GW、4000亿美元及站点构成</w:t>
      </w:r>
      <w:r>
        <w:rPr>
          <w:color w:val="1F4E79"/>
        </w:rPr>
        <w:br/>
        <w:t>https://openai.com/index/five-new-stargate-sites/</w:t>
      </w:r>
    </w:p>
    <w:p w14:paraId="19D3520E" w14:textId="77777777" w:rsidR="007B5C49" w:rsidRDefault="00000000">
      <w:pPr>
        <w:spacing w:after="80"/>
        <w:ind w:left="360" w:hanging="288"/>
      </w:pPr>
      <w:r>
        <w:rPr>
          <w:b/>
        </w:rPr>
        <w:lastRenderedPageBreak/>
        <w:t>• OpenAI｜Stargate advances with Oracle</w:t>
      </w:r>
      <w:r>
        <w:t>：新增4.5GW、Abilene部分运行</w:t>
      </w:r>
      <w:r>
        <w:rPr>
          <w:color w:val="1F4E79"/>
        </w:rPr>
        <w:br/>
        <w:t>https://openai.com/index/stargate-advances-with-partnership-with-oracle/</w:t>
      </w:r>
    </w:p>
    <w:p w14:paraId="5AFFAA6B" w14:textId="77777777" w:rsidR="007B5C49" w:rsidRDefault="00000000">
      <w:pPr>
        <w:spacing w:after="80"/>
        <w:ind w:left="360" w:hanging="288"/>
      </w:pPr>
      <w:r>
        <w:rPr>
          <w:b/>
        </w:rPr>
        <w:t>• OpenAI｜NVIDIA systems partnership</w:t>
      </w:r>
      <w:r>
        <w:t>：至少10GW及拟投资安排</w:t>
      </w:r>
      <w:r>
        <w:rPr>
          <w:color w:val="1F4E79"/>
        </w:rPr>
        <w:br/>
        <w:t>https://openai.com/index/openai-nvidia-systems-partnership/</w:t>
      </w:r>
    </w:p>
    <w:p w14:paraId="1D39A1B7" w14:textId="77777777" w:rsidR="007B5C49" w:rsidRDefault="00000000">
      <w:pPr>
        <w:spacing w:after="80"/>
        <w:ind w:left="360" w:hanging="288"/>
      </w:pPr>
      <w:r>
        <w:rPr>
          <w:b/>
        </w:rPr>
        <w:t>• OpenAI｜AMD strategic partnership</w:t>
      </w:r>
      <w:r>
        <w:t>：6GW协议及首期计划</w:t>
      </w:r>
      <w:r>
        <w:rPr>
          <w:color w:val="1F4E79"/>
        </w:rPr>
        <w:br/>
        <w:t>https://openai.com/index/openai-amd-strategic-partnership/</w:t>
      </w:r>
    </w:p>
    <w:p w14:paraId="46FDB0F6" w14:textId="77777777" w:rsidR="007B5C49" w:rsidRDefault="00000000">
      <w:pPr>
        <w:spacing w:after="80"/>
        <w:ind w:left="360" w:hanging="288"/>
      </w:pPr>
      <w:r>
        <w:rPr>
          <w:b/>
        </w:rPr>
        <w:t>• AWS｜Trainium customers: Anthropic</w:t>
      </w:r>
      <w:r>
        <w:t>：AWS主云及Rainier近100万芯片</w:t>
      </w:r>
      <w:r>
        <w:rPr>
          <w:color w:val="1F4E79"/>
        </w:rPr>
        <w:br/>
        <w:t>https://aws.amazon.com/ai/machine-learning/trainium/customers/</w:t>
      </w:r>
    </w:p>
    <w:p w14:paraId="0D7AB226" w14:textId="77777777" w:rsidR="007B5C49" w:rsidRDefault="00000000">
      <w:pPr>
        <w:spacing w:after="80"/>
        <w:ind w:left="360" w:hanging="288"/>
      </w:pPr>
      <w:r>
        <w:rPr>
          <w:b/>
        </w:rPr>
        <w:t>• Google Cloud｜Ironwood TPU</w:t>
      </w:r>
      <w:r>
        <w:t>：Claude在TPU训练与服务</w:t>
      </w:r>
      <w:r>
        <w:rPr>
          <w:color w:val="1F4E79"/>
        </w:rPr>
        <w:br/>
        <w:t>https://cloud.google.com/blog/products/compute/ironwood-tpus-and-new-axion-based-vms-for-your-ai-workloads</w:t>
      </w:r>
    </w:p>
    <w:p w14:paraId="37111B0C" w14:textId="77777777" w:rsidR="007B5C49" w:rsidRDefault="00000000">
      <w:pPr>
        <w:spacing w:after="80"/>
        <w:ind w:left="360" w:hanging="288"/>
      </w:pPr>
      <w:r>
        <w:rPr>
          <w:b/>
        </w:rPr>
        <w:t>• CoreWeave｜Q1 2026 results</w:t>
      </w:r>
      <w:r>
        <w:t>：Anthropic多年协议</w:t>
      </w:r>
      <w:r>
        <w:rPr>
          <w:color w:val="1F4E79"/>
        </w:rPr>
        <w:br/>
        <w:t>https://investors.coreweave.com/news/news-details/2026/CoreWeave-Reports-Strong-First-Quarter-2026-Results/</w:t>
      </w:r>
    </w:p>
    <w:p w14:paraId="26475A87" w14:textId="77777777" w:rsidR="007B5C49" w:rsidRDefault="00000000">
      <w:pPr>
        <w:pStyle w:val="Heading1"/>
        <w:pageBreakBefore/>
      </w:pPr>
      <w:r>
        <w:lastRenderedPageBreak/>
        <w:t>Q9</w:t>
      </w:r>
      <w:r>
        <w:t>：</w:t>
      </w:r>
      <w:r>
        <w:t>AI</w:t>
      </w:r>
      <w:r>
        <w:t>训练、</w:t>
      </w:r>
      <w:r>
        <w:t>AI</w:t>
      </w:r>
      <w:r>
        <w:t>推理、传统云和企业托管分别有多大？</w:t>
      </w:r>
    </w:p>
    <w:p w14:paraId="1A68A53E" w14:textId="77777777" w:rsidR="007B5C49" w:rsidRDefault="00000000">
      <w:pPr>
        <w:pStyle w:val="QALabel"/>
      </w:pPr>
      <w:r>
        <w:t>通俗问题</w:t>
      </w:r>
    </w:p>
    <w:p w14:paraId="3B97F7D7" w14:textId="77777777" w:rsidR="007B5C49" w:rsidRDefault="00000000">
      <w:r>
        <w:t>数据中心需求都被叫作“AI需求”，但训练、推理、传统云和企业托管的增长速度、选址和商业模式其实有什么不同？</w:t>
      </w:r>
    </w:p>
    <w:p w14:paraId="500BD569" w14:textId="77777777" w:rsidR="007B5C49" w:rsidRDefault="00000000">
      <w:pPr>
        <w:pStyle w:val="QALabel"/>
      </w:pPr>
      <w:r>
        <w:t>主要研究（专业）</w:t>
      </w:r>
    </w:p>
    <w:p w14:paraId="710702F8" w14:textId="77777777" w:rsidR="007B5C49" w:rsidRDefault="00000000">
      <w:r>
        <w:t>全球工作负载功率需求拆分、增长驱动、设施要求与可比预测。</w:t>
      </w:r>
    </w:p>
    <w:p w14:paraId="3509DE87" w14:textId="77777777" w:rsidR="007B5C49" w:rsidRDefault="00000000">
      <w:pPr>
        <w:pStyle w:val="QALabel"/>
      </w:pPr>
      <w:r>
        <w:t>研究方向</w:t>
      </w:r>
    </w:p>
    <w:p w14:paraId="56AAB33D" w14:textId="77777777" w:rsidR="007B5C49" w:rsidRDefault="00000000">
      <w:pPr>
        <w:pStyle w:val="ListBullet"/>
        <w:spacing w:after="80" w:line="288" w:lineRule="auto"/>
        <w:ind w:left="403" w:hanging="259"/>
      </w:pPr>
      <w:r>
        <w:t>采用同一预测模型拆分AI训练、AI推理和非AI工作负载，避免跨机构相加。</w:t>
      </w:r>
    </w:p>
    <w:p w14:paraId="6DAB0EF6" w14:textId="77777777" w:rsidR="007B5C49" w:rsidRDefault="00000000">
      <w:pPr>
        <w:pStyle w:val="ListBullet"/>
        <w:spacing w:after="80" w:line="288" w:lineRule="auto"/>
        <w:ind w:left="403" w:hanging="259"/>
      </w:pPr>
      <w:r>
        <w:t>解释训练集中化、推理分布化，以及传统云和企业托管的边界。</w:t>
      </w:r>
    </w:p>
    <w:p w14:paraId="5669F178" w14:textId="77777777" w:rsidR="007B5C49" w:rsidRDefault="00000000">
      <w:pPr>
        <w:pStyle w:val="ListBullet"/>
        <w:spacing w:after="80" w:line="288" w:lineRule="auto"/>
        <w:ind w:left="403" w:hanging="259"/>
      </w:pPr>
      <w:r>
        <w:t>把功率需求预测与实际建成供应区分，识别供需缺口。</w:t>
      </w:r>
    </w:p>
    <w:p w14:paraId="39617D68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02C8A8D8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6C14DF70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77CCB1A9" w14:textId="77777777" w:rsidR="007B5C49" w:rsidRDefault="00000000">
            <w:pPr>
              <w:spacing w:after="0" w:line="288" w:lineRule="auto"/>
            </w:pPr>
            <w:r>
              <w:t>到2030年最可能改变需求结构的不是训练消失，而是推理从较小基数高速增长并超过非AI负载。训练仍需超大集中园区；推理更接近用户和数据；传统云继续增长；企业托管则更多承担互联、合规、数据与混合云节点。</w:t>
            </w:r>
          </w:p>
        </w:tc>
      </w:tr>
    </w:tbl>
    <w:p w14:paraId="6702111A" w14:textId="77777777" w:rsidR="007B5C49" w:rsidRDefault="007B5C49">
      <w:pPr>
        <w:spacing w:after="40"/>
      </w:pPr>
    </w:p>
    <w:p w14:paraId="5556F9D9" w14:textId="77777777" w:rsidR="007B5C49" w:rsidRDefault="00000000">
      <w:pPr>
        <w:pStyle w:val="QALabel"/>
      </w:pPr>
      <w:r>
        <w:t>详细支撑</w:t>
      </w:r>
    </w:p>
    <w:p w14:paraId="04BBDDCA" w14:textId="77777777" w:rsidR="007B5C49" w:rsidRDefault="00000000">
      <w:pPr>
        <w:pStyle w:val="Heading2"/>
      </w:pPr>
      <w:r>
        <w:t xml:space="preserve">1. </w:t>
      </w:r>
      <w:r>
        <w:t>同一模型显示：</w:t>
      </w:r>
      <w:r>
        <w:t>82.3GW</w:t>
      </w:r>
      <w:r>
        <w:t>需求可能增至</w:t>
      </w:r>
      <w:r>
        <w:t>219.0GW</w:t>
      </w:r>
    </w:p>
    <w:p w14:paraId="36384DB3" w14:textId="77777777" w:rsidR="007B5C49" w:rsidRDefault="00000000">
      <w:r>
        <w:t>McKinsey 2026年工作负载模型估计，全球数据中心工作负载功率需求由2025年的82.3GW增至2030年的219.0GW，复合增速约22%。其中非AI由38.3GW增至63.5GW；AI训练由23.1GW增至62.2GW；AI推理由20.9GW增至93.3GW。三个分项在同一模型、同一年度和同一功率口径下可相加，因此比拼接不同咨询机构预测更可靠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1800"/>
        <w:gridCol w:w="3400"/>
      </w:tblGrid>
      <w:tr w:rsidR="007B5C49" w14:paraId="2AF1AF02" w14:textId="77777777">
        <w:trPr>
          <w:tblHeader/>
          <w:jc w:val="center"/>
        </w:trPr>
        <w:tc>
          <w:tcPr>
            <w:tcW w:w="2000" w:type="dxa"/>
            <w:shd w:val="clear" w:color="auto" w:fill="D9EAF7"/>
          </w:tcPr>
          <w:p w14:paraId="29099229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工作负载</w:t>
            </w:r>
          </w:p>
        </w:tc>
        <w:tc>
          <w:tcPr>
            <w:tcW w:w="1400" w:type="dxa"/>
            <w:shd w:val="clear" w:color="auto" w:fill="D9EAF7"/>
          </w:tcPr>
          <w:p w14:paraId="6F390955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2025</w:t>
            </w:r>
          </w:p>
        </w:tc>
        <w:tc>
          <w:tcPr>
            <w:tcW w:w="1400" w:type="dxa"/>
            <w:shd w:val="clear" w:color="auto" w:fill="D9EAF7"/>
          </w:tcPr>
          <w:p w14:paraId="7A27E4EE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2030</w:t>
            </w:r>
          </w:p>
        </w:tc>
        <w:tc>
          <w:tcPr>
            <w:tcW w:w="1800" w:type="dxa"/>
            <w:shd w:val="clear" w:color="auto" w:fill="D9EAF7"/>
          </w:tcPr>
          <w:p w14:paraId="6786839B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2025—2030 CAGR</w:t>
            </w:r>
          </w:p>
        </w:tc>
        <w:tc>
          <w:tcPr>
            <w:tcW w:w="3400" w:type="dxa"/>
            <w:shd w:val="clear" w:color="auto" w:fill="D9EAF7"/>
          </w:tcPr>
          <w:p w14:paraId="2E73C8F8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需求含义</w:t>
            </w:r>
          </w:p>
        </w:tc>
      </w:tr>
      <w:tr w:rsidR="007B5C49" w14:paraId="369CC8EB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14D39C3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非AI/传统负载</w:t>
            </w:r>
          </w:p>
        </w:tc>
        <w:tc>
          <w:tcPr>
            <w:tcW w:w="1400" w:type="dxa"/>
            <w:vAlign w:val="center"/>
          </w:tcPr>
          <w:p w14:paraId="151BF40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38.3GW</w:t>
            </w:r>
          </w:p>
        </w:tc>
        <w:tc>
          <w:tcPr>
            <w:tcW w:w="1400" w:type="dxa"/>
            <w:vAlign w:val="center"/>
          </w:tcPr>
          <w:p w14:paraId="6C6E279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63.5GW</w:t>
            </w:r>
          </w:p>
        </w:tc>
        <w:tc>
          <w:tcPr>
            <w:tcW w:w="1800" w:type="dxa"/>
            <w:vAlign w:val="center"/>
          </w:tcPr>
          <w:p w14:paraId="58F153F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约11%</w:t>
            </w:r>
          </w:p>
        </w:tc>
        <w:tc>
          <w:tcPr>
            <w:tcW w:w="3400" w:type="dxa"/>
            <w:vAlign w:val="center"/>
          </w:tcPr>
          <w:p w14:paraId="3D2E5C6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云迁移、SaaS、存储、交易和企业IT</w:t>
            </w:r>
          </w:p>
        </w:tc>
      </w:tr>
      <w:tr w:rsidR="007B5C49" w14:paraId="05161DB4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37D4BAD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AI训练</w:t>
            </w:r>
          </w:p>
        </w:tc>
        <w:tc>
          <w:tcPr>
            <w:tcW w:w="1400" w:type="dxa"/>
            <w:vAlign w:val="center"/>
          </w:tcPr>
          <w:p w14:paraId="77115B7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23.1GW</w:t>
            </w:r>
          </w:p>
        </w:tc>
        <w:tc>
          <w:tcPr>
            <w:tcW w:w="1400" w:type="dxa"/>
            <w:vAlign w:val="center"/>
          </w:tcPr>
          <w:p w14:paraId="6FEDEFD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62.2GW</w:t>
            </w:r>
          </w:p>
        </w:tc>
        <w:tc>
          <w:tcPr>
            <w:tcW w:w="1800" w:type="dxa"/>
            <w:vAlign w:val="center"/>
          </w:tcPr>
          <w:p w14:paraId="1617EE3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约22%</w:t>
            </w:r>
          </w:p>
        </w:tc>
        <w:tc>
          <w:tcPr>
            <w:tcW w:w="3400" w:type="dxa"/>
            <w:vAlign w:val="center"/>
          </w:tcPr>
          <w:p w14:paraId="2F199FD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大规模并行计算、集中式AI工厂</w:t>
            </w:r>
          </w:p>
        </w:tc>
      </w:tr>
      <w:tr w:rsidR="007B5C49" w14:paraId="396849EF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3C7E3C0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AI推理</w:t>
            </w:r>
          </w:p>
        </w:tc>
        <w:tc>
          <w:tcPr>
            <w:tcW w:w="1400" w:type="dxa"/>
            <w:vAlign w:val="center"/>
          </w:tcPr>
          <w:p w14:paraId="51D10CB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20.9GW</w:t>
            </w:r>
          </w:p>
        </w:tc>
        <w:tc>
          <w:tcPr>
            <w:tcW w:w="1400" w:type="dxa"/>
            <w:vAlign w:val="center"/>
          </w:tcPr>
          <w:p w14:paraId="5BE1A93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93.3GW</w:t>
            </w:r>
          </w:p>
        </w:tc>
        <w:tc>
          <w:tcPr>
            <w:tcW w:w="1800" w:type="dxa"/>
            <w:vAlign w:val="center"/>
          </w:tcPr>
          <w:p w14:paraId="7B25698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约35%</w:t>
            </w:r>
          </w:p>
        </w:tc>
        <w:tc>
          <w:tcPr>
            <w:tcW w:w="3400" w:type="dxa"/>
            <w:vAlign w:val="center"/>
          </w:tcPr>
          <w:p w14:paraId="654F973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用户请求、Agent、搜索与企业应用</w:t>
            </w:r>
          </w:p>
        </w:tc>
      </w:tr>
      <w:tr w:rsidR="007B5C49" w14:paraId="5E0FD2CF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70E9177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合计</w:t>
            </w:r>
          </w:p>
        </w:tc>
        <w:tc>
          <w:tcPr>
            <w:tcW w:w="1400" w:type="dxa"/>
            <w:vAlign w:val="center"/>
          </w:tcPr>
          <w:p w14:paraId="3935E83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82.3GW</w:t>
            </w:r>
          </w:p>
        </w:tc>
        <w:tc>
          <w:tcPr>
            <w:tcW w:w="1400" w:type="dxa"/>
            <w:vAlign w:val="center"/>
          </w:tcPr>
          <w:p w14:paraId="6419E0B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219.0GW</w:t>
            </w:r>
          </w:p>
        </w:tc>
        <w:tc>
          <w:tcPr>
            <w:tcW w:w="1800" w:type="dxa"/>
            <w:vAlign w:val="center"/>
          </w:tcPr>
          <w:p w14:paraId="4FCFA84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约22%</w:t>
            </w:r>
          </w:p>
        </w:tc>
        <w:tc>
          <w:tcPr>
            <w:tcW w:w="3400" w:type="dxa"/>
            <w:vAlign w:val="center"/>
          </w:tcPr>
          <w:p w14:paraId="6C784C3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工作负载需求，不等于已建成供给</w:t>
            </w:r>
          </w:p>
        </w:tc>
      </w:tr>
    </w:tbl>
    <w:p w14:paraId="20173554" w14:textId="77777777" w:rsidR="007B5C49" w:rsidRDefault="007B5C49">
      <w:pPr>
        <w:spacing w:after="40"/>
      </w:pPr>
    </w:p>
    <w:p w14:paraId="3565A119" w14:textId="77777777" w:rsidR="007B5C49" w:rsidRDefault="00000000">
      <w:r>
        <w:t>该预测意味着新增136.7GW需求中，推理贡献72.4GW，约占新增需求53%；训练贡献39.1GW，非AI贡献25.2GW。这个比例是基于模型的算术推导，不是已发生事实。它也解释了为什么行业讨论正从“训练集群多大”转向“推理如何规模化和降低单位token成本”。</w:t>
      </w:r>
    </w:p>
    <w:p w14:paraId="16E1FDCC" w14:textId="77777777" w:rsidR="007B5C49" w:rsidRDefault="00000000">
      <w:pPr>
        <w:pStyle w:val="Heading2"/>
      </w:pPr>
      <w:r>
        <w:lastRenderedPageBreak/>
        <w:t xml:space="preserve">2. </w:t>
      </w:r>
      <w:r>
        <w:t>训练与推理对数据中心的要求不同</w:t>
      </w:r>
    </w:p>
    <w:p w14:paraId="76D23A0C" w14:textId="77777777" w:rsidR="007B5C49" w:rsidRDefault="00000000">
      <w:r>
        <w:t>训练追求大量加速器在高速网络中同步运行，对后端网络、故障恢复、液冷和连续大块电力要求极高；用户时延通常不是第一约束。因此训练园区可建在电力充足、土地便宜但远离都市的地区，如Abilene等能源型大园区。</w:t>
      </w:r>
    </w:p>
    <w:p w14:paraId="7A09CE60" w14:textId="77777777" w:rsidR="007B5C49" w:rsidRDefault="00000000">
      <w:r>
        <w:t>推理既包含可集中批处理的模型服务，也包含对响应时延、数据主权和企业数据接入敏感的在线业务。推理并不会全部搬到城市边缘，但它会比训练更分布化：大型基础模型可在区域中心运行，缓存、路由、数据连接和特定应用靠近用户。结果是超大AI园区与都市互联节点同时受益。</w:t>
      </w:r>
    </w:p>
    <w:p w14:paraId="653F27FE" w14:textId="77777777" w:rsidR="007B5C49" w:rsidRDefault="00000000">
      <w:pPr>
        <w:pStyle w:val="Heading2"/>
      </w:pPr>
      <w:r>
        <w:t>3. “</w:t>
      </w:r>
      <w:r>
        <w:t>非</w:t>
      </w:r>
      <w:r>
        <w:t>AI”</w:t>
      </w:r>
      <w:r>
        <w:t>不是衰退市场，企业托管也不是单独可加的大类</w:t>
      </w:r>
    </w:p>
    <w:p w14:paraId="42EE2380" w14:textId="77777777" w:rsidR="007B5C49" w:rsidRDefault="00000000">
      <w:r>
        <w:t>非AI负载仍以约11%年增速增长，2030年达到63.5GW；其中包括传统云计算、数据库、存储、视频、支付和企业应用。AI又会拉动对象存储、数据治理、网络与安全，因此现实中的设施很难按“AI/非AI”完全物理分割。</w:t>
      </w:r>
    </w:p>
    <w:p w14:paraId="44D4B260" w14:textId="77777777" w:rsidR="007B5C49" w:rsidRDefault="00000000">
      <w:r>
        <w:t>企业托管是交付模式，不是与训练、推理平行的工作负载。企业可以在托管机房运行传统数据库，也可部署私有AI推理；云厂商也会租用同一运营商的批发容量。因此不能把“企业托管市场MW”直接加在上述82.3GW之外。正确的二维分类是：一轴按工作负载（训练、推理、非AI），另一轴按交付方式（自建、云、批发租赁、零售托管）。</w:t>
      </w:r>
    </w:p>
    <w:p w14:paraId="2ECBF4A7" w14:textId="77777777" w:rsidR="007B5C49" w:rsidRDefault="00000000">
      <w:pPr>
        <w:pStyle w:val="Heading2"/>
      </w:pPr>
      <w:r>
        <w:t xml:space="preserve">4. </w:t>
      </w:r>
      <w:r>
        <w:t>不同预测只能作为情景区间</w:t>
      </w:r>
    </w:p>
    <w:p w14:paraId="61757419" w14:textId="77777777" w:rsidR="007B5C49" w:rsidRDefault="00000000">
      <w:r>
        <w:t>McKinsey较早的供需研究曾预计AI-ready需求在2023—2030年复合增长约33%，并可能占2030年总容量需求约70%。这与2026年工作负载模型不是完全相同的定义、起点和样本。两者方向一致——AI占比快速提升——但不能平均成一个“权威增速”。研究中应保留发布日期、定义和模型版本。</w:t>
      </w:r>
    </w:p>
    <w:p w14:paraId="71F3BD38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4F3D8D05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2EAEFAE4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需求结构变化</w:t>
            </w:r>
          </w:p>
          <w:p w14:paraId="09DBC5BD" w14:textId="77777777" w:rsidR="007B5C49" w:rsidRDefault="00000000">
            <w:pPr>
              <w:spacing w:after="0" w:line="288" w:lineRule="auto"/>
            </w:pPr>
            <w:r>
              <w:t>模型能力提升与使用成本下降 → AI应用调用量增长 → 推理token量高速扩张 → 推理需求增速超过训练和非AI → 区域云容量与都市互联需求上升；同时前沿模型继续扩大 → 超大训练园区仍增长 → 市场形成集中训练与分布推理并行。</w:t>
            </w:r>
          </w:p>
        </w:tc>
      </w:tr>
    </w:tbl>
    <w:p w14:paraId="0757DCD9" w14:textId="77777777" w:rsidR="007B5C49" w:rsidRDefault="007B5C49">
      <w:pPr>
        <w:spacing w:after="40"/>
      </w:pPr>
    </w:p>
    <w:p w14:paraId="50C0371D" w14:textId="77777777" w:rsidR="007B5C49" w:rsidRDefault="00000000">
      <w:pPr>
        <w:pStyle w:val="QALabel"/>
      </w:pPr>
      <w:r>
        <w:t>来源</w:t>
      </w:r>
    </w:p>
    <w:p w14:paraId="790F3BE8" w14:textId="77777777" w:rsidR="007B5C49" w:rsidRDefault="00000000">
      <w:pPr>
        <w:spacing w:after="80"/>
        <w:ind w:left="360" w:hanging="288"/>
      </w:pPr>
      <w:r>
        <w:rPr>
          <w:b/>
        </w:rPr>
        <w:t>• McKinsey｜The future of AI workloads</w:t>
      </w:r>
      <w:r>
        <w:t>：2025—2030三类工作负载GW与CAGR</w:t>
      </w:r>
      <w:r>
        <w:rPr>
          <w:color w:val="1F4E79"/>
        </w:rPr>
        <w:br/>
        <w:t>https://www.mckinsey.com/featured-insights/week-in-charts/the-future-of-ai-workloads</w:t>
      </w:r>
    </w:p>
    <w:p w14:paraId="587A3475" w14:textId="77777777" w:rsidR="007B5C49" w:rsidRDefault="00000000">
      <w:pPr>
        <w:spacing w:after="80"/>
        <w:ind w:left="360" w:hanging="288"/>
      </w:pPr>
      <w:r>
        <w:rPr>
          <w:b/>
        </w:rPr>
        <w:t>• McKinsey｜Next big shifts in AI workloads</w:t>
      </w:r>
      <w:r>
        <w:t>：推理占AI计算和总需求的结构判断</w:t>
      </w:r>
      <w:r>
        <w:rPr>
          <w:color w:val="1F4E79"/>
        </w:rPr>
        <w:br/>
        <w:t>https://www.mckinsey.com/industries/technology-media-and-telecommunications/our-insights/the-next-big-shifts-in-ai-workloads-and-hyperscaler-strategies</w:t>
      </w:r>
    </w:p>
    <w:p w14:paraId="633B4C09" w14:textId="77777777" w:rsidR="007B5C49" w:rsidRDefault="00000000">
      <w:pPr>
        <w:spacing w:after="80"/>
        <w:ind w:left="360" w:hanging="288"/>
      </w:pPr>
      <w:r>
        <w:rPr>
          <w:b/>
        </w:rPr>
        <w:t>• McKinsey｜AI power: expanding capacity</w:t>
      </w:r>
      <w:r>
        <w:t>：较早AI-ready供需模型，用作情景对照</w:t>
      </w:r>
      <w:r>
        <w:rPr>
          <w:color w:val="1F4E79"/>
        </w:rPr>
        <w:br/>
        <w:t>https://www.mckinsey.com/industries/technology-media-and-telecommunications/our-insights/ai-power-expanding-data-center-capacity-to-meet-growing-demand</w:t>
      </w:r>
    </w:p>
    <w:p w14:paraId="74E0E5CF" w14:textId="77777777" w:rsidR="007B5C49" w:rsidRDefault="00000000">
      <w:pPr>
        <w:pStyle w:val="Heading1"/>
        <w:pageBreakBefore/>
      </w:pPr>
      <w:r>
        <w:lastRenderedPageBreak/>
        <w:t>Q10</w:t>
      </w:r>
      <w:r>
        <w:t>：</w:t>
      </w:r>
      <w:r>
        <w:t>Hyperscaler</w:t>
      </w:r>
      <w:r>
        <w:t>的数据中心有多少自用、多少对外出租？</w:t>
      </w:r>
    </w:p>
    <w:p w14:paraId="72DD2FA8" w14:textId="77777777" w:rsidR="007B5C49" w:rsidRDefault="00000000">
      <w:pPr>
        <w:pStyle w:val="QALabel"/>
      </w:pPr>
      <w:r>
        <w:t>通俗问题</w:t>
      </w:r>
    </w:p>
    <w:p w14:paraId="2A7A2ACE" w14:textId="77777777" w:rsidR="007B5C49" w:rsidRDefault="00000000">
      <w:r>
        <w:t>Microsoft、AWS、Google和Meta建设的算力，究竟多少给自己产品用，多少卖给外部客户？能否算出一个统一比例？</w:t>
      </w:r>
    </w:p>
    <w:p w14:paraId="2BC8F488" w14:textId="77777777" w:rsidR="007B5C49" w:rsidRDefault="00000000">
      <w:pPr>
        <w:pStyle w:val="QALabel"/>
      </w:pPr>
      <w:r>
        <w:t>主要研究（专业）</w:t>
      </w:r>
    </w:p>
    <w:p w14:paraId="5759DB20" w14:textId="77777777" w:rsidR="007B5C49" w:rsidRDefault="00000000">
      <w:r>
        <w:t>Hyperscaler容量归属、经济使用者、云服务收入与披露边界。</w:t>
      </w:r>
    </w:p>
    <w:p w14:paraId="2D382CAC" w14:textId="77777777" w:rsidR="007B5C49" w:rsidRDefault="00000000">
      <w:pPr>
        <w:pStyle w:val="QALabel"/>
      </w:pPr>
      <w:r>
        <w:t>研究方向</w:t>
      </w:r>
    </w:p>
    <w:p w14:paraId="5F16985A" w14:textId="77777777" w:rsidR="007B5C49" w:rsidRDefault="00000000">
      <w:pPr>
        <w:pStyle w:val="ListBullet"/>
        <w:spacing w:after="80" w:line="288" w:lineRule="auto"/>
        <w:ind w:left="403" w:hanging="259"/>
      </w:pPr>
      <w:r>
        <w:t>区分资产所有权、机房租赁关系、算力使用者和最终付费客户。</w:t>
      </w:r>
    </w:p>
    <w:p w14:paraId="00DF94AF" w14:textId="77777777" w:rsidR="007B5C49" w:rsidRDefault="00000000">
      <w:pPr>
        <w:pStyle w:val="ListBullet"/>
        <w:spacing w:after="80" w:line="288" w:lineRule="auto"/>
        <w:ind w:left="403" w:hanging="259"/>
      </w:pPr>
      <w:r>
        <w:t>逐家公司判断内部产品、外部云客户、战略模型伙伴和预留容量。</w:t>
      </w:r>
    </w:p>
    <w:p w14:paraId="1C57A4D7" w14:textId="77777777" w:rsidR="007B5C49" w:rsidRDefault="00000000">
      <w:pPr>
        <w:pStyle w:val="ListBullet"/>
        <w:spacing w:after="80" w:line="288" w:lineRule="auto"/>
        <w:ind w:left="403" w:hanging="259"/>
      </w:pPr>
      <w:r>
        <w:t>建立在缺少MW披露时仍可持续更新的估算框架。</w:t>
      </w:r>
    </w:p>
    <w:p w14:paraId="695B8679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5318E264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7742C867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580F03FD" w14:textId="77777777" w:rsidR="007B5C49" w:rsidRDefault="00000000">
            <w:pPr>
              <w:spacing w:after="0" w:line="288" w:lineRule="auto"/>
            </w:pPr>
            <w:r>
              <w:t>公开信息不足以给四大厂算出可信的统一“自用/出租MW比例”。AWS、Azure和Google Cloud会把同一基础设施同时服务内部产品与外部客户；Meta以自用为主但也采购外部算力。真正可研究的是容量的经济使用者，而不是建筑产权。</w:t>
            </w:r>
          </w:p>
        </w:tc>
      </w:tr>
    </w:tbl>
    <w:p w14:paraId="7CB1FC3A" w14:textId="77777777" w:rsidR="007B5C49" w:rsidRDefault="007B5C49">
      <w:pPr>
        <w:spacing w:after="40"/>
      </w:pPr>
    </w:p>
    <w:p w14:paraId="53263E78" w14:textId="77777777" w:rsidR="007B5C49" w:rsidRDefault="00000000">
      <w:pPr>
        <w:pStyle w:val="QALabel"/>
      </w:pPr>
      <w:r>
        <w:t>详细支撑</w:t>
      </w:r>
    </w:p>
    <w:p w14:paraId="7D37761B" w14:textId="77777777" w:rsidR="007B5C49" w:rsidRDefault="00000000">
      <w:pPr>
        <w:pStyle w:val="Heading2"/>
      </w:pPr>
      <w:r>
        <w:t xml:space="preserve">1. </w:t>
      </w:r>
      <w:r>
        <w:t>先拆开四种常被混为一谈的</w:t>
      </w:r>
      <w:r>
        <w:t>“</w:t>
      </w:r>
      <w:r>
        <w:t>自有</w:t>
      </w:r>
      <w:r>
        <w:t>”</w:t>
      </w:r>
    </w:p>
    <w:p w14:paraId="53BAD4F5" w14:textId="77777777" w:rsidR="007B5C49" w:rsidRDefault="00000000">
      <w:r>
        <w:t>第一，科技公司拥有土地和建筑；第二，它租用开发商的建筑但自行部署服务器；第三，它从Neocloud购买算力服务；第四，最终工作负载属于内部产品、外部云客户或战略伙伴。一个Azure客户可运行在Microsoft自建园区，也可运行在第三方租赁园区；无论物理资产归谁，经济上仍是对外云服务。</w:t>
      </w:r>
    </w:p>
    <w:p w14:paraId="41888B1A" w14:textId="77777777" w:rsidR="007B5C49" w:rsidRDefault="00000000">
      <w:r>
        <w:t>因此，用公司自有不动产比例推断“自用比例”会产生根本错误。更合理的矩阵是把设施控制权与工作负载付费者分开：owned/self-built、leased wholesale、cloud/GPU service三类供给，对应internal、external cloud、strategic partner三类需求。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2500"/>
        <w:gridCol w:w="2600"/>
        <w:gridCol w:w="2800"/>
        <w:gridCol w:w="2200"/>
      </w:tblGrid>
      <w:tr w:rsidR="007B5C49" w14:paraId="7ECA5D34" w14:textId="77777777">
        <w:trPr>
          <w:tblHeader/>
          <w:jc w:val="center"/>
        </w:trPr>
        <w:tc>
          <w:tcPr>
            <w:tcW w:w="1500" w:type="dxa"/>
            <w:shd w:val="clear" w:color="auto" w:fill="D9EAF7"/>
          </w:tcPr>
          <w:p w14:paraId="2E4D44F4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公司</w:t>
            </w:r>
          </w:p>
        </w:tc>
        <w:tc>
          <w:tcPr>
            <w:tcW w:w="2500" w:type="dxa"/>
            <w:shd w:val="clear" w:color="auto" w:fill="D9EAF7"/>
          </w:tcPr>
          <w:p w14:paraId="655B1CAE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内部主要用途</w:t>
            </w:r>
          </w:p>
        </w:tc>
        <w:tc>
          <w:tcPr>
            <w:tcW w:w="2600" w:type="dxa"/>
            <w:shd w:val="clear" w:color="auto" w:fill="D9EAF7"/>
          </w:tcPr>
          <w:p w14:paraId="73682975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外部/伙伴用途</w:t>
            </w:r>
          </w:p>
        </w:tc>
        <w:tc>
          <w:tcPr>
            <w:tcW w:w="2800" w:type="dxa"/>
            <w:shd w:val="clear" w:color="auto" w:fill="D9EAF7"/>
          </w:tcPr>
          <w:p w14:paraId="7E0B5D12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目前可核线索</w:t>
            </w:r>
          </w:p>
        </w:tc>
        <w:tc>
          <w:tcPr>
            <w:tcW w:w="2200" w:type="dxa"/>
            <w:shd w:val="clear" w:color="auto" w:fill="D9EAF7"/>
          </w:tcPr>
          <w:p w14:paraId="14FE6737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结论边界</w:t>
            </w:r>
          </w:p>
        </w:tc>
      </w:tr>
      <w:tr w:rsidR="007B5C49" w14:paraId="0C4DA138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346684E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Microsoft</w:t>
            </w:r>
          </w:p>
        </w:tc>
        <w:tc>
          <w:tcPr>
            <w:tcW w:w="2500" w:type="dxa"/>
            <w:vAlign w:val="center"/>
          </w:tcPr>
          <w:p w14:paraId="5C04A8A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Copilot、搜索、办公与研发</w:t>
            </w:r>
          </w:p>
        </w:tc>
        <w:tc>
          <w:tcPr>
            <w:tcW w:w="2600" w:type="dxa"/>
            <w:vAlign w:val="center"/>
          </w:tcPr>
          <w:p w14:paraId="39C693E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Azure客户、OpenAI API及伙伴</w:t>
            </w:r>
          </w:p>
        </w:tc>
        <w:tc>
          <w:tcPr>
            <w:tcW w:w="2800" w:type="dxa"/>
            <w:vAlign w:val="center"/>
          </w:tcPr>
          <w:p w14:paraId="122546E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Azure API独家关系；未披露MW拆分</w:t>
            </w:r>
          </w:p>
        </w:tc>
        <w:tc>
          <w:tcPr>
            <w:tcW w:w="2200" w:type="dxa"/>
            <w:vAlign w:val="center"/>
          </w:tcPr>
          <w:p w14:paraId="3B1E166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混合使用，无法给精确比例</w:t>
            </w:r>
          </w:p>
        </w:tc>
      </w:tr>
      <w:tr w:rsidR="007B5C49" w14:paraId="2B085E6A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192E9F3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Amazon</w:t>
            </w:r>
          </w:p>
        </w:tc>
        <w:tc>
          <w:tcPr>
            <w:tcW w:w="2500" w:type="dxa"/>
            <w:vAlign w:val="center"/>
          </w:tcPr>
          <w:p w14:paraId="2C9F9BF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电商、广告、物流与内部AI</w:t>
            </w:r>
          </w:p>
        </w:tc>
        <w:tc>
          <w:tcPr>
            <w:tcW w:w="2600" w:type="dxa"/>
            <w:vAlign w:val="center"/>
          </w:tcPr>
          <w:p w14:paraId="022FEE9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AWS客户、Anthropic及Bedrock</w:t>
            </w:r>
          </w:p>
        </w:tc>
        <w:tc>
          <w:tcPr>
            <w:tcW w:w="2800" w:type="dxa"/>
            <w:vAlign w:val="center"/>
          </w:tcPr>
          <w:p w14:paraId="03DFBFE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AWS为Anthropic主要云；未披露专属MW</w:t>
            </w:r>
          </w:p>
        </w:tc>
        <w:tc>
          <w:tcPr>
            <w:tcW w:w="2200" w:type="dxa"/>
            <w:vAlign w:val="center"/>
          </w:tcPr>
          <w:p w14:paraId="39D13C7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外部云为核心但内部亦巨大</w:t>
            </w:r>
          </w:p>
        </w:tc>
      </w:tr>
      <w:tr w:rsidR="007B5C49" w14:paraId="35E4A9AB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7B1AD08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Alphabet</w:t>
            </w:r>
          </w:p>
        </w:tc>
        <w:tc>
          <w:tcPr>
            <w:tcW w:w="2500" w:type="dxa"/>
            <w:vAlign w:val="center"/>
          </w:tcPr>
          <w:p w14:paraId="4EBE20C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搜索、广告、YouTube、Gemini</w:t>
            </w:r>
          </w:p>
        </w:tc>
        <w:tc>
          <w:tcPr>
            <w:tcW w:w="2600" w:type="dxa"/>
            <w:vAlign w:val="center"/>
          </w:tcPr>
          <w:p w14:paraId="6EFC87C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Google Cloud客户及模型伙伴</w:t>
            </w:r>
          </w:p>
        </w:tc>
        <w:tc>
          <w:tcPr>
            <w:tcW w:w="2800" w:type="dxa"/>
            <w:vAlign w:val="center"/>
          </w:tcPr>
          <w:p w14:paraId="68F19F1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约一半或略高ML计算面向Cloud</w:t>
            </w:r>
          </w:p>
        </w:tc>
        <w:tc>
          <w:tcPr>
            <w:tcW w:w="2200" w:type="dxa"/>
            <w:vAlign w:val="center"/>
          </w:tcPr>
          <w:p w14:paraId="1870AE8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是资源分配线索，不是全DC MW比例</w:t>
            </w:r>
          </w:p>
        </w:tc>
      </w:tr>
      <w:tr w:rsidR="007B5C49" w14:paraId="1CE97BB5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204DCE2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Meta</w:t>
            </w:r>
          </w:p>
        </w:tc>
        <w:tc>
          <w:tcPr>
            <w:tcW w:w="2500" w:type="dxa"/>
            <w:vAlign w:val="center"/>
          </w:tcPr>
          <w:p w14:paraId="63EB720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推荐、广告、Llama与内部产品</w:t>
            </w:r>
          </w:p>
        </w:tc>
        <w:tc>
          <w:tcPr>
            <w:tcW w:w="2600" w:type="dxa"/>
            <w:vAlign w:val="center"/>
          </w:tcPr>
          <w:p w14:paraId="5A81928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不经营通用公有云；外部采购补充</w:t>
            </w:r>
          </w:p>
        </w:tc>
        <w:tc>
          <w:tcPr>
            <w:tcW w:w="2800" w:type="dxa"/>
            <w:vAlign w:val="center"/>
          </w:tcPr>
          <w:p w14:paraId="37DE98F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CapEx和园区主要为自用</w:t>
            </w:r>
          </w:p>
        </w:tc>
        <w:tc>
          <w:tcPr>
            <w:tcW w:w="2200" w:type="dxa"/>
            <w:vAlign w:val="center"/>
          </w:tcPr>
          <w:p w14:paraId="719FDCE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基本自用，但资产/算力来源混合</w:t>
            </w:r>
          </w:p>
        </w:tc>
      </w:tr>
    </w:tbl>
    <w:p w14:paraId="443B8BAC" w14:textId="77777777" w:rsidR="007B5C49" w:rsidRDefault="007B5C49">
      <w:pPr>
        <w:spacing w:after="40"/>
      </w:pPr>
    </w:p>
    <w:p w14:paraId="3B6A12D0" w14:textId="77777777" w:rsidR="007B5C49" w:rsidRDefault="00000000">
      <w:pPr>
        <w:pStyle w:val="Heading2"/>
      </w:pPr>
      <w:r>
        <w:lastRenderedPageBreak/>
        <w:t>2. Alphabet</w:t>
      </w:r>
      <w:r>
        <w:t>给出了罕见线索，但不能外推到全部容量</w:t>
      </w:r>
    </w:p>
    <w:p w14:paraId="6F607A6B" w14:textId="77777777" w:rsidR="007B5C49" w:rsidRDefault="00000000">
      <w:r>
        <w:t>Alphabet CFO在2026年3月表示，约一半或略高于一半的机器学习计算资源面向Cloud。这个披露很重要：它说明Google自研TPU和数据中心已经同时服务内部与外部需求。然而“机器学习计算资源”不等于全部数据中心功率，Cloud也包含Google自有产品与不同服务层，因此不能把它直接写成“Google数据中心55%出租”。</w:t>
      </w:r>
    </w:p>
    <w:p w14:paraId="6345584D" w14:textId="77777777" w:rsidR="007B5C49" w:rsidRDefault="00000000">
      <w:r>
        <w:t>其余公司披露更少。AWS财报以云收入和资本开支为主，不披露内部电商与外部客户各占多少MW；Microsoft也不公布Azure、OpenAI与Copilot的物理容量比例；Meta虽然主要自用，但它向第三方租容量、向Neocloud采购算力，故“自用”不等于“全部自建”。</w:t>
      </w:r>
    </w:p>
    <w:p w14:paraId="76595E5B" w14:textId="77777777" w:rsidR="007B5C49" w:rsidRDefault="00000000">
      <w:pPr>
        <w:pStyle w:val="Heading2"/>
      </w:pPr>
      <w:r>
        <w:t xml:space="preserve">3. </w:t>
      </w:r>
      <w:r>
        <w:t>建议采用三层估算，而不是制造一个总比例</w:t>
      </w:r>
    </w:p>
    <w:p w14:paraId="5D85C7D6" w14:textId="77777777" w:rsidR="007B5C49" w:rsidRDefault="00000000">
      <w:r>
        <w:t>第一层是可确认事实：公司披露的产品关系、云收入、长期合同和明确资源分配表述。第二层是可比代理指标：云收入增速、积压订单、AI相关交易、内部用户调用量和已部署芯片。第三层才是情景估算：为每类工作负载设定功率、利用率与交付时点，并给出区间。只要缺少分母——公司全球活跃IT负载——就不应报告单点百分比。</w:t>
      </w:r>
    </w:p>
    <w:p w14:paraId="70504377" w14:textId="77777777" w:rsidR="007B5C49" w:rsidRDefault="00000000">
      <w:r>
        <w:t>例如Equinix称2026年一季度约60%的最大交易与AI相关，这只能说明大额签约结构，不能推断其60%收入或60%容量为AI。类似地，CoreWeave的Meta 210亿美元承诺和Anthropic多年协议不能拆成两段GW，除非公司披露每份合同的专属容量和交付期。</w:t>
      </w:r>
    </w:p>
    <w:p w14:paraId="52392D8E" w14:textId="77777777" w:rsidR="007B5C49" w:rsidRDefault="00000000">
      <w:pPr>
        <w:pStyle w:val="Heading2"/>
      </w:pPr>
      <w:r>
        <w:t xml:space="preserve">4. </w:t>
      </w:r>
      <w:r>
        <w:t>投资与产业分析应关注</w:t>
      </w:r>
      <w:r>
        <w:t>“</w:t>
      </w:r>
      <w:r>
        <w:t>谁承担利用率风险</w:t>
      </w:r>
      <w:r>
        <w:t>”</w:t>
      </w:r>
    </w:p>
    <w:p w14:paraId="76958E0E" w14:textId="77777777" w:rsidR="007B5C49" w:rsidRDefault="00000000">
      <w:r>
        <w:t>内部自用容量由科技公司承担产品需求和闲置风险；公有云把风险分散到大量客户；对单一模型实验室的长期专属容量可由take-or-pay合同转移部分风险；Neocloud则用客户合同支撑融资，但承担交付与再融资风险。相同1GW在四种模式下的信用质量、收入可见度和残值完全不同。</w:t>
      </w:r>
    </w:p>
    <w:p w14:paraId="62779762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195B875E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20F784D0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正确拆分方法</w:t>
            </w:r>
          </w:p>
          <w:p w14:paraId="52AEDCDA" w14:textId="77777777" w:rsidR="007B5C49" w:rsidRDefault="00000000">
            <w:pPr>
              <w:spacing w:after="0" w:line="288" w:lineRule="auto"/>
            </w:pPr>
            <w:r>
              <w:t>先确定设施控制权 → 再识别服务器/芯片所有者 → 再识别工作负载和付费者 → 最后判断利用率风险由谁承担；只有四层都可核对时，才可以估算自用与外部服务比例。</w:t>
            </w:r>
          </w:p>
        </w:tc>
      </w:tr>
    </w:tbl>
    <w:p w14:paraId="6764D166" w14:textId="77777777" w:rsidR="007B5C49" w:rsidRDefault="007B5C49">
      <w:pPr>
        <w:spacing w:after="40"/>
      </w:pPr>
    </w:p>
    <w:p w14:paraId="21C2355C" w14:textId="77777777" w:rsidR="007B5C49" w:rsidRDefault="00000000">
      <w:pPr>
        <w:pStyle w:val="QALabel"/>
      </w:pPr>
      <w:r>
        <w:t>来源</w:t>
      </w:r>
    </w:p>
    <w:p w14:paraId="3285D534" w14:textId="77777777" w:rsidR="007B5C49" w:rsidRDefault="00000000">
      <w:pPr>
        <w:spacing w:after="80"/>
        <w:ind w:left="360" w:hanging="288"/>
      </w:pPr>
      <w:r>
        <w:rPr>
          <w:b/>
        </w:rPr>
        <w:t>• Alphabet｜CFO at Morgan Stanley TMT Conference</w:t>
      </w:r>
      <w:r>
        <w:t>：ML计算资源面向Cloud的线索</w:t>
      </w:r>
      <w:r>
        <w:rPr>
          <w:color w:val="1F4E79"/>
        </w:rPr>
        <w:br/>
        <w:t>https://abc.xyz/investor/events/event-details/2026/Anat-Ashkenazi-SVP-and-CFO-of-Alphabet-and-Google-at-the-Morgan-Stanley-Technology-Media-and-Telecom-Conference-on-March-3-2026-2026-r9dUUoVl6o/default.aspx</w:t>
      </w:r>
    </w:p>
    <w:p w14:paraId="5350EA01" w14:textId="77777777" w:rsidR="007B5C49" w:rsidRDefault="00000000">
      <w:pPr>
        <w:spacing w:after="80"/>
        <w:ind w:left="360" w:hanging="288"/>
      </w:pPr>
      <w:r>
        <w:rPr>
          <w:b/>
        </w:rPr>
        <w:t>• OpenAI｜Microsoft partnership, 2026 amendment</w:t>
      </w:r>
      <w:r>
        <w:t>：Azure、OpenAI产品与跨云边界</w:t>
      </w:r>
      <w:r>
        <w:rPr>
          <w:color w:val="1F4E79"/>
        </w:rPr>
        <w:br/>
        <w:t>https://openai.com/index/next-phase-of-microsoft-partnership/</w:t>
      </w:r>
    </w:p>
    <w:p w14:paraId="622E1874" w14:textId="77777777" w:rsidR="007B5C49" w:rsidRDefault="00000000">
      <w:pPr>
        <w:spacing w:after="80"/>
        <w:ind w:left="360" w:hanging="288"/>
      </w:pPr>
      <w:r>
        <w:rPr>
          <w:b/>
        </w:rPr>
        <w:lastRenderedPageBreak/>
        <w:t>• AWS｜Trainium customers: Anthropic</w:t>
      </w:r>
      <w:r>
        <w:t>：AWS与Anthropic关系及训练/服务用途</w:t>
      </w:r>
      <w:r>
        <w:rPr>
          <w:color w:val="1F4E79"/>
        </w:rPr>
        <w:br/>
        <w:t>https://aws.amazon.com/ai/machine-learning/trainium/customers/</w:t>
      </w:r>
    </w:p>
    <w:p w14:paraId="1D6D1028" w14:textId="77777777" w:rsidR="007B5C49" w:rsidRDefault="00000000">
      <w:pPr>
        <w:spacing w:after="80"/>
        <w:ind w:left="360" w:hanging="288"/>
      </w:pPr>
      <w:r>
        <w:rPr>
          <w:b/>
        </w:rPr>
        <w:t>• Equinix｜Q1 2026 SEC filing</w:t>
      </w:r>
      <w:r>
        <w:t>：AI相关最大交易口径</w:t>
      </w:r>
      <w:r>
        <w:rPr>
          <w:color w:val="1F4E79"/>
        </w:rPr>
        <w:br/>
        <w:t>https://investor.equinix.com/sec-filings/proxy-filings/content/0001101239-26-000089/0001101239-26-000089.pdf</w:t>
      </w:r>
    </w:p>
    <w:p w14:paraId="7C11853A" w14:textId="77777777" w:rsidR="007B5C49" w:rsidRDefault="00000000">
      <w:pPr>
        <w:spacing w:after="80"/>
        <w:ind w:left="360" w:hanging="288"/>
      </w:pPr>
      <w:r>
        <w:rPr>
          <w:b/>
        </w:rPr>
        <w:t>• CoreWeave｜Q1 2026 results</w:t>
      </w:r>
      <w:r>
        <w:t>：Meta与Anthropic合同及容量总口径</w:t>
      </w:r>
      <w:r>
        <w:rPr>
          <w:color w:val="1F4E79"/>
        </w:rPr>
        <w:br/>
        <w:t>https://investors.coreweave.com/news/news-details/2026/CoreWeave-Reports-Strong-First-Quarter-2026-Results/</w:t>
      </w:r>
    </w:p>
    <w:p w14:paraId="4730F2D6" w14:textId="77777777" w:rsidR="007B5C49" w:rsidRDefault="00000000">
      <w:pPr>
        <w:pStyle w:val="Heading1"/>
        <w:pageBreakBefore/>
      </w:pPr>
      <w:r>
        <w:lastRenderedPageBreak/>
        <w:t>Q11</w:t>
      </w:r>
      <w:r>
        <w:t>：空置率、预租率和租金说明全球供给有多紧？</w:t>
      </w:r>
    </w:p>
    <w:p w14:paraId="3BE0E3D1" w14:textId="77777777" w:rsidR="007B5C49" w:rsidRDefault="00000000">
      <w:pPr>
        <w:pStyle w:val="QALabel"/>
      </w:pPr>
      <w:r>
        <w:t>通俗问题</w:t>
      </w:r>
    </w:p>
    <w:p w14:paraId="3D90AE3B" w14:textId="77777777" w:rsidR="007B5C49" w:rsidRDefault="00000000">
      <w:r>
        <w:t>数据中心“缺电、缺房”到底有多严重？空置率接近零、在建项目大多预租、租金上涨分别说明什么？</w:t>
      </w:r>
    </w:p>
    <w:p w14:paraId="7278D716" w14:textId="77777777" w:rsidR="007B5C49" w:rsidRDefault="00000000">
      <w:pPr>
        <w:pStyle w:val="QALabel"/>
      </w:pPr>
      <w:r>
        <w:t>主要研究（专业）</w:t>
      </w:r>
    </w:p>
    <w:p w14:paraId="20E0560A" w14:textId="77777777" w:rsidR="007B5C49" w:rsidRDefault="00000000">
      <w:r>
        <w:t>主要托管市场供应、空置、净吸纳、预租和价格指标的解释与局限。</w:t>
      </w:r>
    </w:p>
    <w:p w14:paraId="59517873" w14:textId="77777777" w:rsidR="007B5C49" w:rsidRDefault="00000000">
      <w:pPr>
        <w:pStyle w:val="QALabel"/>
      </w:pPr>
      <w:r>
        <w:t>研究方向</w:t>
      </w:r>
    </w:p>
    <w:p w14:paraId="2586C42C" w14:textId="77777777" w:rsidR="007B5C49" w:rsidRDefault="00000000">
      <w:pPr>
        <w:pStyle w:val="ListBullet"/>
        <w:spacing w:after="80" w:line="288" w:lineRule="auto"/>
        <w:ind w:left="403" w:hanging="259"/>
      </w:pPr>
      <w:r>
        <w:t>比较美国主要市场与欧洲FLAP市场的空置率，避免把区域指标冒充全球指标。</w:t>
      </w:r>
    </w:p>
    <w:p w14:paraId="3E209125" w14:textId="77777777" w:rsidR="007B5C49" w:rsidRDefault="00000000">
      <w:pPr>
        <w:pStyle w:val="ListBullet"/>
        <w:spacing w:after="80" w:line="288" w:lineRule="auto"/>
        <w:ind w:left="403" w:hanging="259"/>
      </w:pPr>
      <w:r>
        <w:t>用在建预租率和净吸纳验证紧张是否只是存量现象。</w:t>
      </w:r>
    </w:p>
    <w:p w14:paraId="026D0506" w14:textId="77777777" w:rsidR="007B5C49" w:rsidRDefault="00000000">
      <w:pPr>
        <w:pStyle w:val="ListBullet"/>
        <w:spacing w:after="80" w:line="288" w:lineRule="auto"/>
        <w:ind w:left="403" w:hanging="259"/>
      </w:pPr>
      <w:r>
        <w:t>解释电力交付、租金和真实需求之间的传导关系。</w:t>
      </w:r>
    </w:p>
    <w:p w14:paraId="2B665CB8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18F8C377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10FFD8C3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422B7A1F" w14:textId="77777777" w:rsidR="007B5C49" w:rsidRDefault="00000000">
            <w:pPr>
              <w:spacing w:after="0" w:line="288" w:lineRule="auto"/>
            </w:pPr>
            <w:r>
              <w:t>美国核心市场已经进入极端紧张区间：2025年下半年主要市场空置率仅1.4%，2026年一季度北弗吉尼亚降至0.3%；欧洲总体较宽松但也只有约7.3%。80%的美国核心市场在建容量已预租，说明紧张不仅来自旧库存少，也来自未来供给在交付前已被锁定。</w:t>
            </w:r>
          </w:p>
        </w:tc>
      </w:tr>
    </w:tbl>
    <w:p w14:paraId="1A6F7BA8" w14:textId="77777777" w:rsidR="007B5C49" w:rsidRDefault="007B5C49">
      <w:pPr>
        <w:spacing w:after="40"/>
      </w:pPr>
    </w:p>
    <w:p w14:paraId="41E7A430" w14:textId="77777777" w:rsidR="007B5C49" w:rsidRDefault="00000000">
      <w:pPr>
        <w:pStyle w:val="QALabel"/>
      </w:pPr>
      <w:r>
        <w:t>详细支撑</w:t>
      </w:r>
    </w:p>
    <w:p w14:paraId="6E929C34" w14:textId="77777777" w:rsidR="007B5C49" w:rsidRDefault="00000000">
      <w:pPr>
        <w:pStyle w:val="Heading2"/>
      </w:pPr>
      <w:r>
        <w:t xml:space="preserve">1. </w:t>
      </w:r>
      <w:r>
        <w:t>美国核心市场几乎没有可立即租用的大块容量</w:t>
      </w:r>
    </w:p>
    <w:p w14:paraId="097F5DC5" w14:textId="77777777" w:rsidR="007B5C49" w:rsidRDefault="00000000">
      <w:r>
        <w:t>CBRE统计显示，北美主要市场2025年下半年供应达到9,432MW，同比增长36%，但空置率仍创1.4%新低。供给高速增长仍无法抬升空置率，说明吸纳与预租速度更快。到2026年一季度，北弗吉尼亚空置率仅0.3%，Atlanta 1.0%，Dallas–Fort Worth 1.8%，Chicago 2.2%。对需要50—200MW连续容量的AI客户而言，名义空置率还会高估真正可用供给，因为剩余容量可能零散、功率密度不足或交付日期不合适。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1500"/>
        <w:gridCol w:w="1800"/>
        <w:gridCol w:w="4100"/>
      </w:tblGrid>
      <w:tr w:rsidR="007B5C49" w14:paraId="3DBF5737" w14:textId="77777777">
        <w:trPr>
          <w:tblHeader/>
          <w:jc w:val="center"/>
        </w:trPr>
        <w:tc>
          <w:tcPr>
            <w:tcW w:w="2200" w:type="dxa"/>
            <w:shd w:val="clear" w:color="auto" w:fill="D9EAF7"/>
          </w:tcPr>
          <w:p w14:paraId="763D112D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市场/区域</w:t>
            </w:r>
          </w:p>
        </w:tc>
        <w:tc>
          <w:tcPr>
            <w:tcW w:w="1500" w:type="dxa"/>
            <w:shd w:val="clear" w:color="auto" w:fill="D9EAF7"/>
          </w:tcPr>
          <w:p w14:paraId="1FC8D78C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时点</w:t>
            </w:r>
          </w:p>
        </w:tc>
        <w:tc>
          <w:tcPr>
            <w:tcW w:w="1800" w:type="dxa"/>
            <w:shd w:val="clear" w:color="auto" w:fill="D9EAF7"/>
          </w:tcPr>
          <w:p w14:paraId="7701D46C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空置率</w:t>
            </w:r>
          </w:p>
        </w:tc>
        <w:tc>
          <w:tcPr>
            <w:tcW w:w="4100" w:type="dxa"/>
            <w:shd w:val="clear" w:color="auto" w:fill="D9EAF7"/>
          </w:tcPr>
          <w:p w14:paraId="1C3F26C7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解读</w:t>
            </w:r>
          </w:p>
        </w:tc>
      </w:tr>
      <w:tr w:rsidR="007B5C49" w14:paraId="6E8D9DF8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7081B84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北美主要市场</w:t>
            </w:r>
          </w:p>
        </w:tc>
        <w:tc>
          <w:tcPr>
            <w:tcW w:w="1500" w:type="dxa"/>
            <w:vAlign w:val="center"/>
          </w:tcPr>
          <w:p w14:paraId="3B87CA8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2025 H2</w:t>
            </w:r>
          </w:p>
        </w:tc>
        <w:tc>
          <w:tcPr>
            <w:tcW w:w="1800" w:type="dxa"/>
            <w:vAlign w:val="center"/>
          </w:tcPr>
          <w:p w14:paraId="63712FD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1.4%</w:t>
            </w:r>
          </w:p>
        </w:tc>
        <w:tc>
          <w:tcPr>
            <w:tcW w:w="4100" w:type="dxa"/>
            <w:vAlign w:val="center"/>
          </w:tcPr>
          <w:p w14:paraId="0845886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供应9,432MW仍创新低</w:t>
            </w:r>
          </w:p>
        </w:tc>
      </w:tr>
      <w:tr w:rsidR="007B5C49" w14:paraId="32E250D8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49F21DC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北弗吉尼亚</w:t>
            </w:r>
          </w:p>
        </w:tc>
        <w:tc>
          <w:tcPr>
            <w:tcW w:w="1500" w:type="dxa"/>
            <w:vAlign w:val="center"/>
          </w:tcPr>
          <w:p w14:paraId="686DC16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2026 Q1</w:t>
            </w:r>
          </w:p>
        </w:tc>
        <w:tc>
          <w:tcPr>
            <w:tcW w:w="1800" w:type="dxa"/>
            <w:vAlign w:val="center"/>
          </w:tcPr>
          <w:p w14:paraId="55A138E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0.3%</w:t>
            </w:r>
          </w:p>
        </w:tc>
        <w:tc>
          <w:tcPr>
            <w:tcW w:w="4100" w:type="dxa"/>
            <w:vAlign w:val="center"/>
          </w:tcPr>
          <w:p w14:paraId="2511B1E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几乎无即时大块容量</w:t>
            </w:r>
          </w:p>
        </w:tc>
      </w:tr>
      <w:tr w:rsidR="007B5C49" w14:paraId="7DB04457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2F44403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Atlanta</w:t>
            </w:r>
          </w:p>
        </w:tc>
        <w:tc>
          <w:tcPr>
            <w:tcW w:w="1500" w:type="dxa"/>
            <w:vAlign w:val="center"/>
          </w:tcPr>
          <w:p w14:paraId="68605E5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2026 Q1</w:t>
            </w:r>
          </w:p>
        </w:tc>
        <w:tc>
          <w:tcPr>
            <w:tcW w:w="1800" w:type="dxa"/>
            <w:vAlign w:val="center"/>
          </w:tcPr>
          <w:p w14:paraId="540FF9B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1.0%</w:t>
            </w:r>
          </w:p>
        </w:tc>
        <w:tc>
          <w:tcPr>
            <w:tcW w:w="4100" w:type="dxa"/>
            <w:vAlign w:val="center"/>
          </w:tcPr>
          <w:p w14:paraId="03EB874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高速扩张仍紧张</w:t>
            </w:r>
          </w:p>
        </w:tc>
      </w:tr>
      <w:tr w:rsidR="007B5C49" w14:paraId="0895B1CD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6E3AB03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Dallas–Fort Worth</w:t>
            </w:r>
          </w:p>
        </w:tc>
        <w:tc>
          <w:tcPr>
            <w:tcW w:w="1500" w:type="dxa"/>
            <w:vAlign w:val="center"/>
          </w:tcPr>
          <w:p w14:paraId="5C88374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2026 Q1</w:t>
            </w:r>
          </w:p>
        </w:tc>
        <w:tc>
          <w:tcPr>
            <w:tcW w:w="1800" w:type="dxa"/>
            <w:vAlign w:val="center"/>
          </w:tcPr>
          <w:p w14:paraId="70BD894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1.8%</w:t>
            </w:r>
          </w:p>
        </w:tc>
        <w:tc>
          <w:tcPr>
            <w:tcW w:w="4100" w:type="dxa"/>
            <w:vAlign w:val="center"/>
          </w:tcPr>
          <w:p w14:paraId="3247D3D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需求与电力约束并存</w:t>
            </w:r>
          </w:p>
        </w:tc>
      </w:tr>
      <w:tr w:rsidR="007B5C49" w14:paraId="5A936F83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71D2B3C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Chicago</w:t>
            </w:r>
          </w:p>
        </w:tc>
        <w:tc>
          <w:tcPr>
            <w:tcW w:w="1500" w:type="dxa"/>
            <w:vAlign w:val="center"/>
          </w:tcPr>
          <w:p w14:paraId="3B47BCE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2026 Q1</w:t>
            </w:r>
          </w:p>
        </w:tc>
        <w:tc>
          <w:tcPr>
            <w:tcW w:w="1800" w:type="dxa"/>
            <w:vAlign w:val="center"/>
          </w:tcPr>
          <w:p w14:paraId="4A25A04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2.2%</w:t>
            </w:r>
          </w:p>
        </w:tc>
        <w:tc>
          <w:tcPr>
            <w:tcW w:w="4100" w:type="dxa"/>
            <w:vAlign w:val="center"/>
          </w:tcPr>
          <w:p w14:paraId="2082F23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低空置但高于前三者</w:t>
            </w:r>
          </w:p>
        </w:tc>
      </w:tr>
      <w:tr w:rsidR="007B5C49" w14:paraId="44557B73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6529E9A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欧洲总体</w:t>
            </w:r>
          </w:p>
        </w:tc>
        <w:tc>
          <w:tcPr>
            <w:tcW w:w="1500" w:type="dxa"/>
            <w:vAlign w:val="center"/>
          </w:tcPr>
          <w:p w14:paraId="13F494B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2026 Q1</w:t>
            </w:r>
          </w:p>
        </w:tc>
        <w:tc>
          <w:tcPr>
            <w:tcW w:w="1800" w:type="dxa"/>
            <w:vAlign w:val="center"/>
          </w:tcPr>
          <w:p w14:paraId="28F8FD8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7.3%</w:t>
            </w:r>
          </w:p>
        </w:tc>
        <w:tc>
          <w:tcPr>
            <w:tcW w:w="4100" w:type="dxa"/>
            <w:vAlign w:val="center"/>
          </w:tcPr>
          <w:p w14:paraId="7323ED5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相对美国宽松，仍在下降</w:t>
            </w:r>
          </w:p>
        </w:tc>
      </w:tr>
      <w:tr w:rsidR="007B5C49" w14:paraId="6E0140D4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1E6DB7E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Frankfurt / London</w:t>
            </w:r>
          </w:p>
        </w:tc>
        <w:tc>
          <w:tcPr>
            <w:tcW w:w="1500" w:type="dxa"/>
            <w:vAlign w:val="center"/>
          </w:tcPr>
          <w:p w14:paraId="7234090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2026 Q1</w:t>
            </w:r>
          </w:p>
        </w:tc>
        <w:tc>
          <w:tcPr>
            <w:tcW w:w="1800" w:type="dxa"/>
            <w:vAlign w:val="center"/>
          </w:tcPr>
          <w:p w14:paraId="514C418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5.0% / 8.6%</w:t>
            </w:r>
          </w:p>
        </w:tc>
        <w:tc>
          <w:tcPr>
            <w:tcW w:w="4100" w:type="dxa"/>
            <w:vAlign w:val="center"/>
          </w:tcPr>
          <w:p w14:paraId="757A404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电力与规划约束不同</w:t>
            </w:r>
          </w:p>
        </w:tc>
      </w:tr>
      <w:tr w:rsidR="007B5C49" w14:paraId="7C2A6D5C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4120FF1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Paris / Amsterdam</w:t>
            </w:r>
          </w:p>
        </w:tc>
        <w:tc>
          <w:tcPr>
            <w:tcW w:w="1500" w:type="dxa"/>
            <w:vAlign w:val="center"/>
          </w:tcPr>
          <w:p w14:paraId="29E651B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2026 Q1</w:t>
            </w:r>
          </w:p>
        </w:tc>
        <w:tc>
          <w:tcPr>
            <w:tcW w:w="1800" w:type="dxa"/>
            <w:vAlign w:val="center"/>
          </w:tcPr>
          <w:p w14:paraId="03D8F2A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6.7% / 9.4%</w:t>
            </w:r>
          </w:p>
        </w:tc>
        <w:tc>
          <w:tcPr>
            <w:tcW w:w="4100" w:type="dxa"/>
            <w:vAlign w:val="center"/>
          </w:tcPr>
          <w:p w14:paraId="34E2CEF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区域差异明显</w:t>
            </w:r>
          </w:p>
        </w:tc>
      </w:tr>
    </w:tbl>
    <w:p w14:paraId="02B252E5" w14:textId="77777777" w:rsidR="007B5C49" w:rsidRDefault="007B5C49">
      <w:pPr>
        <w:spacing w:after="40"/>
      </w:pPr>
    </w:p>
    <w:p w14:paraId="0E22C109" w14:textId="77777777" w:rsidR="007B5C49" w:rsidRDefault="00000000">
      <w:pPr>
        <w:pStyle w:val="Heading2"/>
      </w:pPr>
      <w:r>
        <w:lastRenderedPageBreak/>
        <w:t>2. 80%</w:t>
      </w:r>
      <w:r>
        <w:t>预租证明未来供给也已被锁定</w:t>
      </w:r>
    </w:p>
    <w:p w14:paraId="66541F55" w14:textId="77777777" w:rsidR="007B5C49" w:rsidRDefault="00000000">
      <w:r>
        <w:t>CBRE在2026年6月的全球报告中称，16个最大市场总供应约16GW，同比增长25%，空置率由8.3%降至6.7%。美国前四大市场截至2025年第四季度的在建容量约80%已经预租；同期新增空间约1,950.8MW，同比增长33%，净吸纳达到创纪录的2,236.2MW，同比增长34%。吸纳高于新增供应，是空置继续下降的直接算术原因。</w:t>
      </w:r>
    </w:p>
    <w:p w14:paraId="4442DF0A" w14:textId="77777777" w:rsidR="007B5C49" w:rsidRDefault="00000000">
      <w:r>
        <w:t>预租率比单纯空置率更有前瞻性：如果在建楼尚未完工就被锁定，后来者只能等待下一期电力或去二线市场。但预租也不是无条件需求；项目延期、租户信用、合同退出条款和重复预订都会影响兑现，因此仍需跟踪实际开工、变电站进度和租金起算。</w:t>
      </w:r>
    </w:p>
    <w:p w14:paraId="54735055" w14:textId="77777777" w:rsidR="007B5C49" w:rsidRDefault="00000000">
      <w:pPr>
        <w:pStyle w:val="Heading2"/>
      </w:pPr>
      <w:r>
        <w:t xml:space="preserve">3. </w:t>
      </w:r>
      <w:r>
        <w:t>欧洲不是</w:t>
      </w:r>
      <w:r>
        <w:t>“</w:t>
      </w:r>
      <w:r>
        <w:t>不缺</w:t>
      </w:r>
      <w:r>
        <w:t>”</w:t>
      </w:r>
      <w:r>
        <w:t>，而是紧张程度和约束位置不同</w:t>
      </w:r>
    </w:p>
    <w:p w14:paraId="66DDB494" w14:textId="77777777" w:rsidR="007B5C49" w:rsidRDefault="00000000">
      <w:r>
        <w:t>欧洲2026年一季度整体空置率7.3%，高于美国核心市场，但Frankfurt只有5.0%，London为8.6%，Paris 6.7%，Amsterdam 9.4%。CBRE预计欧洲2026年底可能降至约6.5%。欧洲的瓶颈更多表现为电网接入、规划审批、可持续要求和都市土地，而不是所有市场都达到0%空置。</w:t>
      </w:r>
    </w:p>
    <w:p w14:paraId="62657A97" w14:textId="77777777" w:rsidR="007B5C49" w:rsidRDefault="00000000">
      <w:r>
        <w:t>因此“全球数据中心空置率只有1%”是错误表述。1.4%是北美主要市场特定时点的托管市场指标；16个全球大市场的6.7%是另一组样本；Hyperscaler自建园区通常不作为可出租库存进入分母。两者只能并列，不可合并。</w:t>
      </w:r>
    </w:p>
    <w:p w14:paraId="6A1CD11D" w14:textId="77777777" w:rsidR="007B5C49" w:rsidRDefault="00000000">
      <w:pPr>
        <w:pStyle w:val="Heading2"/>
      </w:pPr>
      <w:r>
        <w:t xml:space="preserve">4. </w:t>
      </w:r>
      <w:r>
        <w:t>租金上涨是结果，但必须控制产品和时点</w:t>
      </w:r>
    </w:p>
    <w:p w14:paraId="6E8F32B4" w14:textId="77777777" w:rsidR="007B5C49" w:rsidRDefault="00000000">
      <w:r>
        <w:t>低空置、长并网周期和高建设成本共同推升租金。CBRE美国2026展望称价格处于历史高位；Atlanta在2025年一季度库存1,279.4MW、空置率3.6%时，平均要价同比上涨13%。2026年其空置进一步降至1.0%，方向上支持价格压力仍强，但没有同口径新租金数据时不能把13%机械外推。</w:t>
      </w:r>
    </w:p>
    <w:p w14:paraId="0699162F" w14:textId="77777777" w:rsidR="007B5C49" w:rsidRDefault="00000000">
      <w:r>
        <w:t>租金比较还需统一合同规模、功率密度、期限、地点和是否含电费。都市零售托管每kW价格与100MW批发租约不可直接比较。最能代表产业议价权的组合指标是：可交付MW、空置率、在建预租率、净吸纳、新租约价格和交付等待期。</w:t>
      </w:r>
    </w:p>
    <w:p w14:paraId="39F4C70A" w14:textId="77777777" w:rsidR="007B5C49" w:rsidRDefault="00000000">
      <w:pPr>
        <w:pStyle w:val="Heading2"/>
      </w:pPr>
      <w:r>
        <w:t xml:space="preserve">5. </w:t>
      </w:r>
      <w:r>
        <w:t>紧张会把需求推向新市场，但不会自动解决电力缺口</w:t>
      </w:r>
    </w:p>
    <w:p w14:paraId="7E84ACC9" w14:textId="77777777" w:rsidR="007B5C49" w:rsidRDefault="00000000">
      <w:r>
        <w:t>当北弗吉尼亚等成熟市场没有大块容量，客户转向Dallas、Atlanta、Phoenix、Columbus、Abilene及其他电力型市场。迁移可降低土地成本，却把压力转移到输电、发电、燃机、变压器、水资源和社区审批。数据中心供应曲线因此不是简单“多建楼”，而是由可在某年兑现的电力决定。</w:t>
      </w:r>
    </w:p>
    <w:p w14:paraId="42E59946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3A6F1055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7D35EED0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紧张度验证</w:t>
            </w:r>
          </w:p>
          <w:p w14:paraId="1917A058" w14:textId="77777777" w:rsidR="007B5C49" w:rsidRDefault="00000000">
            <w:pPr>
              <w:spacing w:after="0" w:line="288" w:lineRule="auto"/>
            </w:pPr>
            <w:r>
              <w:t>新增供应快速增长 → 净吸纳增长更快 → 存量空置率下降 → 在建容量提前预租 → 即时可交付大块MW更少 → 租金与长期承诺上升 → 客户转向二线/能源型市场 → 新市场电网与设备再度承压。</w:t>
            </w:r>
          </w:p>
        </w:tc>
      </w:tr>
    </w:tbl>
    <w:p w14:paraId="51D267D7" w14:textId="77777777" w:rsidR="007B5C49" w:rsidRDefault="007B5C49">
      <w:pPr>
        <w:spacing w:after="40"/>
      </w:pPr>
    </w:p>
    <w:p w14:paraId="0FE69094" w14:textId="77777777" w:rsidR="007B5C49" w:rsidRDefault="00000000">
      <w:pPr>
        <w:pStyle w:val="QALabel"/>
      </w:pPr>
      <w:r>
        <w:lastRenderedPageBreak/>
        <w:t>来源</w:t>
      </w:r>
    </w:p>
    <w:p w14:paraId="1B453FB5" w14:textId="77777777" w:rsidR="007B5C49" w:rsidRDefault="00000000">
      <w:pPr>
        <w:spacing w:after="80"/>
        <w:ind w:left="360" w:hanging="288"/>
      </w:pPr>
      <w:r>
        <w:rPr>
          <w:b/>
        </w:rPr>
        <w:t>• CBRE｜North America Data Center Trends H2 2025</w:t>
      </w:r>
      <w:r>
        <w:t>：9,432MW供应与1.4%空置</w:t>
      </w:r>
      <w:r>
        <w:rPr>
          <w:color w:val="1F4E79"/>
        </w:rPr>
        <w:br/>
        <w:t>https://www.cbre.com/insights/books/north-america-data-center-trends-h2-2025</w:t>
      </w:r>
    </w:p>
    <w:p w14:paraId="4AA9B03C" w14:textId="77777777" w:rsidR="007B5C49" w:rsidRDefault="00000000">
      <w:pPr>
        <w:spacing w:after="80"/>
        <w:ind w:left="360" w:hanging="288"/>
      </w:pPr>
      <w:r>
        <w:rPr>
          <w:b/>
        </w:rPr>
        <w:t>• CBRE｜Global Data Center Trends 2026</w:t>
      </w:r>
      <w:r>
        <w:t>：美国与欧洲主要市场Q1 2026空置率</w:t>
      </w:r>
      <w:r>
        <w:rPr>
          <w:color w:val="1F4E79"/>
        </w:rPr>
        <w:br/>
        <w:t>https://www.cbre.com/insights/reports/global-data-center-trends-2026</w:t>
      </w:r>
    </w:p>
    <w:p w14:paraId="6ADAD173" w14:textId="77777777" w:rsidR="007B5C49" w:rsidRDefault="00000000">
      <w:pPr>
        <w:spacing w:after="80"/>
        <w:ind w:left="360" w:hanging="288"/>
      </w:pPr>
      <w:r>
        <w:rPr>
          <w:b/>
        </w:rPr>
        <w:t>• CBRE｜Global supply cannot keep up, 2026</w:t>
      </w:r>
      <w:r>
        <w:t>：16GW、6.7%空置、80%预租与吸纳</w:t>
      </w:r>
      <w:r>
        <w:rPr>
          <w:color w:val="1F4E79"/>
        </w:rPr>
        <w:br/>
        <w:t>https://www.cbre.com/press-releases/global-data-center-supply-cant-keep-up-with-demand-resulting-in-extreme-scarcity-of-available-space</w:t>
      </w:r>
    </w:p>
    <w:p w14:paraId="67A218F1" w14:textId="77777777" w:rsidR="007B5C49" w:rsidRDefault="00000000">
      <w:pPr>
        <w:spacing w:after="80"/>
        <w:ind w:left="360" w:hanging="288"/>
      </w:pPr>
      <w:r>
        <w:rPr>
          <w:b/>
        </w:rPr>
        <w:t>• CBRE｜US Real Estate Market Outlook 2026: Data Centers</w:t>
      </w:r>
      <w:r>
        <w:t>：历史高位价格与供给约束</w:t>
      </w:r>
      <w:r>
        <w:rPr>
          <w:color w:val="1F4E79"/>
        </w:rPr>
        <w:br/>
        <w:t>https://www.cbre.com/insights/books/us-real-estate-market-outlook-2026/data-centers</w:t>
      </w:r>
    </w:p>
    <w:p w14:paraId="50A3D29B" w14:textId="77777777" w:rsidR="007B5C49" w:rsidRDefault="00000000">
      <w:pPr>
        <w:spacing w:after="80"/>
        <w:ind w:left="360" w:hanging="288"/>
      </w:pPr>
      <w:r>
        <w:rPr>
          <w:b/>
        </w:rPr>
        <w:t>• CBRE｜European Market Outlook 2026: Data Centres</w:t>
      </w:r>
      <w:r>
        <w:t>：欧洲年底空置预测</w:t>
      </w:r>
      <w:r>
        <w:rPr>
          <w:color w:val="1F4E79"/>
        </w:rPr>
        <w:br/>
        <w:t>https://www.cbre.com/insights/books/european-real-estate-market-outlook-2026/data-centres</w:t>
      </w:r>
    </w:p>
    <w:p w14:paraId="37D36438" w14:textId="77777777" w:rsidR="007B5C49" w:rsidRDefault="00000000">
      <w:pPr>
        <w:spacing w:after="80"/>
        <w:ind w:left="360" w:hanging="288"/>
      </w:pPr>
      <w:r>
        <w:rPr>
          <w:b/>
        </w:rPr>
        <w:t>• CBRE｜Global Data Center Trends 2025</w:t>
      </w:r>
      <w:r>
        <w:t>：Atlanta 2025年库存、空置和租金变化</w:t>
      </w:r>
      <w:r>
        <w:rPr>
          <w:color w:val="1F4E79"/>
        </w:rPr>
        <w:br/>
        <w:t>https://www.cbre.com/insights/reports/global-data-center-trends-2025</w:t>
      </w:r>
    </w:p>
    <w:p w14:paraId="43B87F00" w14:textId="77777777" w:rsidR="007B5C49" w:rsidRDefault="00000000">
      <w:pPr>
        <w:pStyle w:val="Heading1"/>
        <w:pageBreakBefore/>
      </w:pPr>
      <w:r>
        <w:lastRenderedPageBreak/>
        <w:t>Q12</w:t>
      </w:r>
      <w:r>
        <w:t>：数据中心的电到底从哪里来？</w:t>
      </w:r>
    </w:p>
    <w:p w14:paraId="17ED07DB" w14:textId="77777777" w:rsidR="007B5C49" w:rsidRDefault="00000000">
      <w:pPr>
        <w:pStyle w:val="QALabel"/>
      </w:pPr>
      <w:r>
        <w:t>通俗问题</w:t>
      </w:r>
    </w:p>
    <w:p w14:paraId="7B5322C3" w14:textId="77777777" w:rsidR="007B5C49" w:rsidRDefault="00000000">
      <w:r>
        <w:t>数据中心公告常说“100%可再生”“核电直供”或“自备燃气”，这些说法在物理上分别意味着什么？哪一种才是AI园区的主流？</w:t>
      </w:r>
    </w:p>
    <w:p w14:paraId="3F699A9C" w14:textId="77777777" w:rsidR="007B5C49" w:rsidRDefault="00000000">
      <w:pPr>
        <w:pStyle w:val="QALabel"/>
      </w:pPr>
      <w:r>
        <w:t>主要研究（专业）</w:t>
      </w:r>
    </w:p>
    <w:p w14:paraId="515D319B" w14:textId="77777777" w:rsidR="007B5C49" w:rsidRDefault="00000000">
      <w:r>
        <w:t>电网购电、可再生PPA、核电、天然气表后微网、燃料电池与储能的组合及项目状态。</w:t>
      </w:r>
    </w:p>
    <w:p w14:paraId="7F44E677" w14:textId="77777777" w:rsidR="007B5C49" w:rsidRDefault="00000000">
      <w:pPr>
        <w:pStyle w:val="QALabel"/>
      </w:pPr>
      <w:r>
        <w:t>研究方向</w:t>
      </w:r>
    </w:p>
    <w:p w14:paraId="114A574C" w14:textId="77777777" w:rsidR="007B5C49" w:rsidRDefault="00000000">
      <w:pPr>
        <w:pStyle w:val="ListBullet"/>
        <w:spacing w:after="80" w:line="288" w:lineRule="auto"/>
        <w:ind w:left="403" w:hanging="259"/>
      </w:pPr>
      <w:r>
        <w:t>区分物理电源结构、合同环境属性和现场备用/主供电。</w:t>
      </w:r>
    </w:p>
    <w:p w14:paraId="6C03C005" w14:textId="77777777" w:rsidR="007B5C49" w:rsidRDefault="00000000">
      <w:pPr>
        <w:pStyle w:val="ListBullet"/>
        <w:spacing w:after="80" w:line="288" w:lineRule="auto"/>
        <w:ind w:left="403" w:hanging="259"/>
      </w:pPr>
      <w:r>
        <w:t>逐项核对Microsoft、Amazon、Google、Oracle、Equinix与CoreWeave等公司的项目。</w:t>
      </w:r>
    </w:p>
    <w:p w14:paraId="66EA6F9B" w14:textId="77777777" w:rsidR="007B5C49" w:rsidRDefault="00000000">
      <w:pPr>
        <w:pStyle w:val="ListBullet"/>
        <w:spacing w:after="80" w:line="288" w:lineRule="auto"/>
        <w:ind w:left="403" w:hanging="259"/>
      </w:pPr>
      <w:r>
        <w:t>判断不同技术在2026年前后能否真正承担GW级连续负荷。</w:t>
      </w:r>
    </w:p>
    <w:p w14:paraId="4AC88DCF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4ED097F8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0AF52BBF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7A9C074A" w14:textId="77777777" w:rsidR="007B5C49" w:rsidRDefault="00000000">
            <w:pPr>
              <w:spacing w:after="0" w:line="288" w:lineRule="auto"/>
            </w:pPr>
            <w:r>
              <w:t>当前主流仍是“电网供电+长期PPA/环境属性+柴油或燃气备用”；电网受限时，天然气微网和燃料电池正从备用转为过渡主电源。核电重启可在本十年提供数百MW稳定电力，SMR大多要到2030年前后才可能首批上线，不能解决2026—2028年的普遍缺口。</w:t>
            </w:r>
          </w:p>
        </w:tc>
      </w:tr>
    </w:tbl>
    <w:p w14:paraId="3362E920" w14:textId="77777777" w:rsidR="007B5C49" w:rsidRDefault="007B5C49">
      <w:pPr>
        <w:spacing w:after="40"/>
      </w:pPr>
    </w:p>
    <w:p w14:paraId="749636E8" w14:textId="77777777" w:rsidR="007B5C49" w:rsidRDefault="00000000">
      <w:pPr>
        <w:pStyle w:val="QALabel"/>
      </w:pPr>
      <w:r>
        <w:t>详细支撑</w:t>
      </w:r>
    </w:p>
    <w:p w14:paraId="41C54AA8" w14:textId="77777777" w:rsidR="007B5C49" w:rsidRDefault="00000000">
      <w:pPr>
        <w:pStyle w:val="Heading2"/>
      </w:pPr>
      <w:r>
        <w:t xml:space="preserve">1. </w:t>
      </w:r>
      <w:r>
        <w:t>先分清物理电力与合同电力</w:t>
      </w:r>
    </w:p>
    <w:p w14:paraId="48CDE9EB" w14:textId="77777777" w:rsidR="007B5C49" w:rsidRDefault="00000000">
      <w:r>
        <w:t>绝大多数数据中心通过当地输配电网取电，实际每小时消耗的是该节点当时的混合电源。企业签署风电、光伏或核电PPA，通常是在同一电力市场长期购买电量和环境属性，帮助新项目融资并对冲价格；它并不自动形成从电站到机房的专线。只有共址、专线或表后发电，物理联系才更直接。</w:t>
      </w:r>
    </w:p>
    <w:p w14:paraId="1E93C2E0" w14:textId="77777777" w:rsidR="007B5C49" w:rsidRDefault="00000000">
      <w:r>
        <w:t>IEA估计，2024年全球数据中心物理用电约460TWh，电源结构大致为煤电30%、可再生能源27%、天然气26%、核电15%。到2030年相关发电量超过1,000TWh；新增需求近一半由可再生能源满足，但天然气和煤炭合计仍可能承担40%以上新增量。该结构是物理电网口径，不能与企业“100%可再生匹配”宣传口径混用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2200"/>
        <w:gridCol w:w="3000"/>
        <w:gridCol w:w="2700"/>
      </w:tblGrid>
      <w:tr w:rsidR="007B5C49" w14:paraId="00217831" w14:textId="77777777">
        <w:trPr>
          <w:tblHeader/>
          <w:jc w:val="center"/>
        </w:trPr>
        <w:tc>
          <w:tcPr>
            <w:tcW w:w="1700" w:type="dxa"/>
            <w:shd w:val="clear" w:color="auto" w:fill="D9EAF7"/>
          </w:tcPr>
          <w:p w14:paraId="25A7D16F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技术路线</w:t>
            </w:r>
          </w:p>
        </w:tc>
        <w:tc>
          <w:tcPr>
            <w:tcW w:w="2200" w:type="dxa"/>
            <w:shd w:val="clear" w:color="auto" w:fill="D9EAF7"/>
          </w:tcPr>
          <w:p w14:paraId="321A62CC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2026年现实角色</w:t>
            </w:r>
          </w:p>
        </w:tc>
        <w:tc>
          <w:tcPr>
            <w:tcW w:w="3000" w:type="dxa"/>
            <w:shd w:val="clear" w:color="auto" w:fill="D9EAF7"/>
          </w:tcPr>
          <w:p w14:paraId="394CECEC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代表项目/数字</w:t>
            </w:r>
          </w:p>
        </w:tc>
        <w:tc>
          <w:tcPr>
            <w:tcW w:w="2700" w:type="dxa"/>
            <w:shd w:val="clear" w:color="auto" w:fill="D9EAF7"/>
          </w:tcPr>
          <w:p w14:paraId="5729F825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状态与边界</w:t>
            </w:r>
          </w:p>
        </w:tc>
      </w:tr>
      <w:tr w:rsidR="007B5C49" w14:paraId="7CF37607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F0C8DA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电网购电</w:t>
            </w:r>
          </w:p>
        </w:tc>
        <w:tc>
          <w:tcPr>
            <w:tcW w:w="2200" w:type="dxa"/>
            <w:vAlign w:val="center"/>
          </w:tcPr>
          <w:p w14:paraId="3FA1F1D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绝大多数园区的基础主电源</w:t>
            </w:r>
          </w:p>
        </w:tc>
        <w:tc>
          <w:tcPr>
            <w:tcW w:w="3000" w:type="dxa"/>
            <w:vAlign w:val="center"/>
          </w:tcPr>
          <w:p w14:paraId="42C7AE9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全球DC用电2024约460TWh</w:t>
            </w:r>
          </w:p>
        </w:tc>
        <w:tc>
          <w:tcPr>
            <w:tcW w:w="2700" w:type="dxa"/>
            <w:vAlign w:val="center"/>
          </w:tcPr>
          <w:p w14:paraId="0182409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物理混合电源；受输配电约束</w:t>
            </w:r>
          </w:p>
        </w:tc>
      </w:tr>
      <w:tr w:rsidR="007B5C49" w14:paraId="69C50135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303E0B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风光PPA</w:t>
            </w:r>
          </w:p>
        </w:tc>
        <w:tc>
          <w:tcPr>
            <w:tcW w:w="2200" w:type="dxa"/>
            <w:vAlign w:val="center"/>
          </w:tcPr>
          <w:p w14:paraId="66D04FD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新增能源与环境属性</w:t>
            </w:r>
          </w:p>
        </w:tc>
        <w:tc>
          <w:tcPr>
            <w:tcW w:w="3000" w:type="dxa"/>
            <w:vAlign w:val="center"/>
          </w:tcPr>
          <w:p w14:paraId="60943EB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Microsoft已签可再生组合34GW</w:t>
            </w:r>
          </w:p>
        </w:tc>
        <w:tc>
          <w:tcPr>
            <w:tcW w:w="2700" w:type="dxa"/>
            <w:vAlign w:val="center"/>
          </w:tcPr>
          <w:p w14:paraId="3236576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签约组合，不等于现场可用34GW</w:t>
            </w:r>
          </w:p>
        </w:tc>
      </w:tr>
      <w:tr w:rsidR="007B5C49" w14:paraId="1156AB4E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5CC3DD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现役/重启核电</w:t>
            </w:r>
          </w:p>
        </w:tc>
        <w:tc>
          <w:tcPr>
            <w:tcW w:w="2200" w:type="dxa"/>
            <w:vAlign w:val="center"/>
          </w:tcPr>
          <w:p w14:paraId="476C8CE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稳定无碳电力</w:t>
            </w:r>
          </w:p>
        </w:tc>
        <w:tc>
          <w:tcPr>
            <w:tcW w:w="3000" w:type="dxa"/>
            <w:vAlign w:val="center"/>
          </w:tcPr>
          <w:p w14:paraId="2A65B40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Crane重启835MW；Susquehanna共址</w:t>
            </w:r>
          </w:p>
        </w:tc>
        <w:tc>
          <w:tcPr>
            <w:tcW w:w="2700" w:type="dxa"/>
            <w:vAlign w:val="center"/>
          </w:tcPr>
          <w:p w14:paraId="1AB79EE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重启/既有机组，需监管与输电规则</w:t>
            </w:r>
          </w:p>
        </w:tc>
      </w:tr>
      <w:tr w:rsidR="007B5C49" w14:paraId="3CA1CA57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4F67E1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SMR/先进核电</w:t>
            </w:r>
          </w:p>
        </w:tc>
        <w:tc>
          <w:tcPr>
            <w:tcW w:w="2200" w:type="dxa"/>
            <w:vAlign w:val="center"/>
          </w:tcPr>
          <w:p w14:paraId="3F501F6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2030年后潜在基荷</w:t>
            </w:r>
          </w:p>
        </w:tc>
        <w:tc>
          <w:tcPr>
            <w:tcW w:w="3000" w:type="dxa"/>
            <w:vAlign w:val="center"/>
          </w:tcPr>
          <w:p w14:paraId="7FD0C31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Google-Kairos首期50MW、总计最高500MW</w:t>
            </w:r>
          </w:p>
        </w:tc>
        <w:tc>
          <w:tcPr>
            <w:tcW w:w="2700" w:type="dxa"/>
            <w:vAlign w:val="center"/>
          </w:tcPr>
          <w:p w14:paraId="06D88CE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首期目标2030，尚非运行电源</w:t>
            </w:r>
          </w:p>
        </w:tc>
      </w:tr>
      <w:tr w:rsidR="007B5C49" w14:paraId="3866A532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5DC385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天然气微网</w:t>
            </w:r>
          </w:p>
        </w:tc>
        <w:tc>
          <w:tcPr>
            <w:tcW w:w="2200" w:type="dxa"/>
            <w:vAlign w:val="center"/>
          </w:tcPr>
          <w:p w14:paraId="0C69EEB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快速表后主电/桥接电源</w:t>
            </w:r>
          </w:p>
        </w:tc>
        <w:tc>
          <w:tcPr>
            <w:tcW w:w="3000" w:type="dxa"/>
            <w:vAlign w:val="center"/>
          </w:tcPr>
          <w:p w14:paraId="56F7DA8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Oracle新墨西哥Project Jupiter微网</w:t>
            </w:r>
          </w:p>
        </w:tc>
        <w:tc>
          <w:tcPr>
            <w:tcW w:w="2700" w:type="dxa"/>
            <w:vAlign w:val="center"/>
          </w:tcPr>
          <w:p w14:paraId="7D86D35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许可/规划；排放与气源约束</w:t>
            </w:r>
          </w:p>
        </w:tc>
      </w:tr>
      <w:tr w:rsidR="007B5C49" w14:paraId="640D2624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4DC3AE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lastRenderedPageBreak/>
              <w:t>固体氧化物燃料电池</w:t>
            </w:r>
          </w:p>
        </w:tc>
        <w:tc>
          <w:tcPr>
            <w:tcW w:w="2200" w:type="dxa"/>
            <w:vAlign w:val="center"/>
          </w:tcPr>
          <w:p w14:paraId="1FCD155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模块化现场主电</w:t>
            </w:r>
          </w:p>
        </w:tc>
        <w:tc>
          <w:tcPr>
            <w:tcW w:w="3000" w:type="dxa"/>
            <w:vAlign w:val="center"/>
          </w:tcPr>
          <w:p w14:paraId="19B8D83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Equinix约75MW运行、30MW在建</w:t>
            </w:r>
          </w:p>
        </w:tc>
        <w:tc>
          <w:tcPr>
            <w:tcW w:w="2700" w:type="dxa"/>
            <w:vAlign w:val="center"/>
          </w:tcPr>
          <w:p w14:paraId="634B8A7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已验证至百MW，GW扩张仍在推进</w:t>
            </w:r>
          </w:p>
        </w:tc>
      </w:tr>
      <w:tr w:rsidR="007B5C49" w14:paraId="306768CA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77D248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电池/柴油机</w:t>
            </w:r>
          </w:p>
        </w:tc>
        <w:tc>
          <w:tcPr>
            <w:tcW w:w="2200" w:type="dxa"/>
            <w:vAlign w:val="center"/>
          </w:tcPr>
          <w:p w14:paraId="46EEDC4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备用、削峰与短时桥接</w:t>
            </w:r>
          </w:p>
        </w:tc>
        <w:tc>
          <w:tcPr>
            <w:tcW w:w="3000" w:type="dxa"/>
            <w:vAlign w:val="center"/>
          </w:tcPr>
          <w:p w14:paraId="54867BF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通常按可靠性等级配置</w:t>
            </w:r>
          </w:p>
        </w:tc>
        <w:tc>
          <w:tcPr>
            <w:tcW w:w="2700" w:type="dxa"/>
            <w:vAlign w:val="center"/>
          </w:tcPr>
          <w:p w14:paraId="464DC41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不能单独支撑长期1GW基荷</w:t>
            </w:r>
          </w:p>
        </w:tc>
      </w:tr>
    </w:tbl>
    <w:p w14:paraId="0A2BD218" w14:textId="77777777" w:rsidR="007B5C49" w:rsidRDefault="007B5C49">
      <w:pPr>
        <w:spacing w:after="40"/>
      </w:pPr>
    </w:p>
    <w:p w14:paraId="4E27ABD9" w14:textId="77777777" w:rsidR="007B5C49" w:rsidRDefault="00000000">
      <w:pPr>
        <w:pStyle w:val="Heading2"/>
      </w:pPr>
      <w:r>
        <w:t xml:space="preserve">2. </w:t>
      </w:r>
      <w:r>
        <w:t>可再生</w:t>
      </w:r>
      <w:r>
        <w:t>PPA</w:t>
      </w:r>
      <w:r>
        <w:t>规模最大，但需要电网和可调电源配合</w:t>
      </w:r>
    </w:p>
    <w:p w14:paraId="62F88875" w14:textId="77777777" w:rsidR="007B5C49" w:rsidRDefault="00000000">
      <w:r>
        <w:t>Microsoft在宣布Crane核电重启时披露，已在24个国家签约34GW可再生能源。Amazon的2025可持续报告则称其无碳能源组合达到42GW、覆盖30个国家712个项目。Google称仅2025年便签署超过12GW净新增清洁能源合同。三个数字的定义和时点不同，只能逐家公司记录，不能相加后宣称“为数据中心新增88GW”，因为组合中可能包含尚未投运项目、非数据中心负荷及不同环境属性口径。</w:t>
      </w:r>
    </w:p>
    <w:p w14:paraId="7397EE88" w14:textId="77777777" w:rsidR="007B5C49" w:rsidRDefault="00000000">
      <w:r>
        <w:t>风光的建设速度和成本具有优势，但AI负载接近全天候连续运行。PPA只能改善年度或小时匹配，不能消除夜间、无风时段和局部输电拥塞。因此园区仍需要电网、储能、天然气、水电或核电等可调资源。研究电力可信度时，要问“哪一年、哪个节点、能否连续交付”，而不只看年度绿电采购量。</w:t>
      </w:r>
    </w:p>
    <w:p w14:paraId="26A6C52E" w14:textId="77777777" w:rsidR="007B5C49" w:rsidRDefault="00000000">
      <w:pPr>
        <w:pStyle w:val="Heading2"/>
      </w:pPr>
      <w:r>
        <w:t xml:space="preserve">3. </w:t>
      </w:r>
      <w:r>
        <w:t>核电分为</w:t>
      </w:r>
      <w:r>
        <w:t>“</w:t>
      </w:r>
      <w:r>
        <w:t>现有机组、重启机组、</w:t>
      </w:r>
      <w:r>
        <w:t>SMR”</w:t>
      </w:r>
      <w:r>
        <w:t>，时间表完全不同</w:t>
      </w:r>
    </w:p>
    <w:p w14:paraId="66E72D3B" w14:textId="77777777" w:rsidR="007B5C49" w:rsidRDefault="00000000">
      <w:r>
        <w:t>Microsoft与Constellation的PPA支持宾夕法尼亚835MW核电设施重启，并进入PJM电网；它是退役大机组重启，不是数据中心现场新建SMR。Amazon购买Susquehanna核电站旁的数据中心园区并推动共址规则，利用的是既有大型核电。两者能在本十年提供更确定的稳定电力，但仍受许可、改造、输电服务和成本分摊约束。</w:t>
      </w:r>
    </w:p>
    <w:p w14:paraId="4DBF2120" w14:textId="77777777" w:rsidR="007B5C49" w:rsidRDefault="00000000">
      <w:r>
        <w:t>SMR更偏2030年代选项。Google与Kairos最初协议最高500MW，首个由TVA采购的Hermes 2项目为50MW，目标2030年向田纳西和阿拉巴马数据中心所在电网供电。Amazon支持Energy Northwest首批4台、合计320MW，远期可扩至960MW，并投资X-energy推动2039年前美国5GW。上述均为协议或开发目标，2026年不能计入运行容量。</w:t>
      </w:r>
    </w:p>
    <w:p w14:paraId="3866A9A8" w14:textId="77777777" w:rsidR="007B5C49" w:rsidRDefault="00000000">
      <w:pPr>
        <w:pStyle w:val="Heading2"/>
      </w:pPr>
      <w:r>
        <w:t xml:space="preserve">4. </w:t>
      </w:r>
      <w:r>
        <w:t>表后天然气与燃料电池的价值是速度，不是零成本</w:t>
      </w:r>
    </w:p>
    <w:p w14:paraId="5587747C" w14:textId="77777777" w:rsidR="007B5C49" w:rsidRDefault="00000000">
      <w:r>
        <w:t>Oracle为新墨西哥Project Jupiter申请表后天然气微网，承诺承担全部能源成本，并称不会影响居民电费。表后微网可绕开部分电网排队，却仍需天然气管道、空气许可、设备和水资源；它也可能把输电争议转化为空气污染和碳排放争议。</w:t>
      </w:r>
    </w:p>
    <w:p w14:paraId="488CACD0" w14:textId="77777777" w:rsidR="007B5C49" w:rsidRDefault="00000000">
      <w:r>
        <w:t>燃料电池更模块化。Bloom与Equinix合作已超过100MW，其中约75MW运行、30MW在建；Bloom与Oracle 2025年首个系统原计划90天、实际55天投运，2026年双方把框架扩大至最高2.8GW。AEP协议最高1GW但初始订单仅100MW。这里应分别记录“运行75MW、在建30MW、已订100MW、框架上限1GW/2.8GW”，不得合并成已运行近4GW。</w:t>
      </w:r>
    </w:p>
    <w:p w14:paraId="57CE7364" w14:textId="77777777" w:rsidR="007B5C49" w:rsidRDefault="00000000">
      <w:pPr>
        <w:pStyle w:val="QALabel"/>
      </w:pPr>
      <w:r>
        <w:lastRenderedPageBreak/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7574A4B1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262D9647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电源组合选择</w:t>
            </w:r>
          </w:p>
          <w:p w14:paraId="3DEAD831" w14:textId="77777777" w:rsidR="007B5C49" w:rsidRDefault="00000000">
            <w:pPr>
              <w:spacing w:after="0" w:line="288" w:lineRule="auto"/>
            </w:pPr>
            <w:r>
              <w:t>负荷要求24×7连续运行 → 单独风光不能匹配每小时需求 → 电网提供混合电源和备用 → PPA帮助新增清洁电源与锁价 → 局部电网排队过长时采用燃气微网/燃料电池桥接 → 核电与地热等稳定无碳电源逐步补充；最终不是单一技术胜出，而是按交付时间组合。</w:t>
            </w:r>
          </w:p>
        </w:tc>
      </w:tr>
    </w:tbl>
    <w:p w14:paraId="16DF12CA" w14:textId="77777777" w:rsidR="007B5C49" w:rsidRDefault="007B5C49">
      <w:pPr>
        <w:spacing w:after="40"/>
      </w:pPr>
    </w:p>
    <w:p w14:paraId="06E085DC" w14:textId="77777777" w:rsidR="007B5C49" w:rsidRDefault="00000000">
      <w:pPr>
        <w:pStyle w:val="QALabel"/>
      </w:pPr>
      <w:r>
        <w:t>来源</w:t>
      </w:r>
    </w:p>
    <w:p w14:paraId="6E7BFE6B" w14:textId="77777777" w:rsidR="007B5C49" w:rsidRDefault="00000000">
      <w:pPr>
        <w:spacing w:after="80"/>
        <w:ind w:left="360" w:hanging="288"/>
      </w:pPr>
      <w:r>
        <w:rPr>
          <w:b/>
        </w:rPr>
        <w:t>• IEA｜Energy supply for AI</w:t>
      </w:r>
      <w:r>
        <w:t>：物理电源结构与2030增量</w:t>
      </w:r>
      <w:r>
        <w:rPr>
          <w:color w:val="1F4E79"/>
        </w:rPr>
        <w:br/>
        <w:t>https://www.iea.org/reports/energy-and-ai/energy-supply-for-ai</w:t>
      </w:r>
    </w:p>
    <w:p w14:paraId="25DC433D" w14:textId="77777777" w:rsidR="007B5C49" w:rsidRDefault="00000000">
      <w:pPr>
        <w:spacing w:after="80"/>
        <w:ind w:left="360" w:hanging="288"/>
      </w:pPr>
      <w:r>
        <w:rPr>
          <w:b/>
        </w:rPr>
        <w:t>• Microsoft｜Crane nuclear restart PPA</w:t>
      </w:r>
      <w:r>
        <w:t>：835MW与34GW可再生组合</w:t>
      </w:r>
      <w:r>
        <w:rPr>
          <w:color w:val="1F4E79"/>
        </w:rPr>
        <w:br/>
        <w:t>https://www.microsoft.com/en-us/microsoft-cloud/blog/2024/09/20/accelerating-the-addition-of-carbon-free-energy-an-update-on-progress/</w:t>
      </w:r>
    </w:p>
    <w:p w14:paraId="0E0C3216" w14:textId="77777777" w:rsidR="007B5C49" w:rsidRDefault="00000000">
      <w:pPr>
        <w:spacing w:after="80"/>
        <w:ind w:left="360" w:hanging="288"/>
      </w:pPr>
      <w:r>
        <w:rPr>
          <w:b/>
        </w:rPr>
        <w:t>• Google｜Kairos + TVA first project</w:t>
      </w:r>
      <w:r>
        <w:t>：50MW首期与500MW协议</w:t>
      </w:r>
      <w:r>
        <w:rPr>
          <w:color w:val="1F4E79"/>
        </w:rPr>
        <w:br/>
        <w:t>https://blog.google/company-news/outreach-and-initiatives/sustainability/google-first-advanced-nuclear-reactor-project-with-kairos-power-and-tennessee-valley-authority/</w:t>
      </w:r>
    </w:p>
    <w:p w14:paraId="04EA2EF1" w14:textId="77777777" w:rsidR="007B5C49" w:rsidRDefault="00000000">
      <w:pPr>
        <w:spacing w:after="80"/>
        <w:ind w:left="360" w:hanging="288"/>
      </w:pPr>
      <w:r>
        <w:rPr>
          <w:b/>
        </w:rPr>
        <w:t>• Amazon｜Carbon-free energy portfolio</w:t>
      </w:r>
      <w:r>
        <w:t>：320/960MW SMR及5GW远期目标</w:t>
      </w:r>
      <w:r>
        <w:rPr>
          <w:color w:val="1F4E79"/>
        </w:rPr>
        <w:br/>
        <w:t>https://www.aboutamazon.com/news/sustainability/amazon-leading-corporate-carbon-free-energy-purchaser</w:t>
      </w:r>
    </w:p>
    <w:p w14:paraId="271788D4" w14:textId="77777777" w:rsidR="007B5C49" w:rsidRDefault="00000000">
      <w:pPr>
        <w:spacing w:after="80"/>
        <w:ind w:left="360" w:hanging="288"/>
      </w:pPr>
      <w:r>
        <w:rPr>
          <w:b/>
        </w:rPr>
        <w:t>• Oracle｜Project Jupiter microgrids</w:t>
      </w:r>
      <w:r>
        <w:t>：表后天然气与成本承诺</w:t>
      </w:r>
      <w:r>
        <w:rPr>
          <w:color w:val="1F4E79"/>
        </w:rPr>
        <w:br/>
        <w:t>https://www.oracle.com/news/announcement/blog/building-a-sustainable-future-in-new-mexico-2026-03-03/</w:t>
      </w:r>
    </w:p>
    <w:p w14:paraId="4CE8E61C" w14:textId="77777777" w:rsidR="007B5C49" w:rsidRDefault="00000000">
      <w:pPr>
        <w:spacing w:after="80"/>
        <w:ind w:left="360" w:hanging="288"/>
      </w:pPr>
      <w:r>
        <w:rPr>
          <w:b/>
        </w:rPr>
        <w:t>• Bloom Energy｜Equinix agreement</w:t>
      </w:r>
      <w:r>
        <w:t>：75MW运行、30MW在建</w:t>
      </w:r>
      <w:r>
        <w:rPr>
          <w:color w:val="1F4E79"/>
        </w:rPr>
        <w:br/>
        <w:t>https://www.bloomenergy.com/news/bloom-energy-expands-data-center-power-agreement-with-equinix-surpassing-100mw/</w:t>
      </w:r>
    </w:p>
    <w:p w14:paraId="1DD0A9C0" w14:textId="77777777" w:rsidR="007B5C49" w:rsidRDefault="00000000">
      <w:pPr>
        <w:spacing w:after="80"/>
        <w:ind w:left="360" w:hanging="288"/>
      </w:pPr>
      <w:r>
        <w:rPr>
          <w:b/>
        </w:rPr>
        <w:t>• Bloom Energy｜Oracle expansion</w:t>
      </w:r>
      <w:r>
        <w:t>：55天交付与2.8GW框架</w:t>
      </w:r>
      <w:r>
        <w:rPr>
          <w:color w:val="1F4E79"/>
        </w:rPr>
        <w:br/>
        <w:t>https://www.bloomenergy.com/news/bloom-energy-and-oracle-expand-strategic-partnership-to-deploy-up-to-2.8-gw-to-accelerate-ai-infrastructure-build-out/</w:t>
      </w:r>
    </w:p>
    <w:p w14:paraId="690CDB9A" w14:textId="77777777" w:rsidR="007B5C49" w:rsidRDefault="00000000">
      <w:pPr>
        <w:pStyle w:val="Heading1"/>
        <w:pageBreakBefore/>
      </w:pPr>
      <w:r>
        <w:lastRenderedPageBreak/>
        <w:t>Q13</w:t>
      </w:r>
      <w:r>
        <w:t>：并网、燃机和变压器为什么卡住数据中心交付？</w:t>
      </w:r>
    </w:p>
    <w:p w14:paraId="2D518D45" w14:textId="77777777" w:rsidR="007B5C49" w:rsidRDefault="00000000">
      <w:pPr>
        <w:pStyle w:val="QALabel"/>
      </w:pPr>
      <w:r>
        <w:t>通俗问题</w:t>
      </w:r>
    </w:p>
    <w:p w14:paraId="2CA5603E" w14:textId="77777777" w:rsidR="007B5C49" w:rsidRDefault="00000000">
      <w:r>
        <w:t>美国并不缺少发电规划，为什么一个数据中心仍可能等三到七年才能用上电？</w:t>
      </w:r>
    </w:p>
    <w:p w14:paraId="5F69EBA2" w14:textId="77777777" w:rsidR="007B5C49" w:rsidRDefault="00000000">
      <w:pPr>
        <w:pStyle w:val="QALabel"/>
      </w:pPr>
      <w:r>
        <w:t>主要研究（专业）</w:t>
      </w:r>
    </w:p>
    <w:p w14:paraId="7D81A022" w14:textId="77777777" w:rsidR="007B5C49" w:rsidRDefault="00000000">
      <w:r>
        <w:t>大负荷并网流程、输电容量、发电资源充足性、燃机产能与变压器供应链。</w:t>
      </w:r>
    </w:p>
    <w:p w14:paraId="70E922F9" w14:textId="77777777" w:rsidR="007B5C49" w:rsidRDefault="00000000">
      <w:pPr>
        <w:pStyle w:val="QALabel"/>
      </w:pPr>
      <w:r>
        <w:t>研究方向</w:t>
      </w:r>
    </w:p>
    <w:p w14:paraId="3AEF9694" w14:textId="77777777" w:rsidR="007B5C49" w:rsidRDefault="00000000">
      <w:pPr>
        <w:pStyle w:val="ListBullet"/>
        <w:spacing w:after="80" w:line="288" w:lineRule="auto"/>
        <w:ind w:left="403" w:hanging="259"/>
      </w:pPr>
      <w:r>
        <w:t>比较ERCOT大负荷申请、PJM负荷预测与真实通电容量的差异。</w:t>
      </w:r>
    </w:p>
    <w:p w14:paraId="147089CE" w14:textId="77777777" w:rsidR="007B5C49" w:rsidRDefault="00000000">
      <w:pPr>
        <w:pStyle w:val="ListBullet"/>
        <w:spacing w:after="80" w:line="288" w:lineRule="auto"/>
        <w:ind w:left="403" w:hanging="259"/>
      </w:pPr>
      <w:r>
        <w:t>拆分发电、输电、变电、配电和站内电气设备的串联交期。</w:t>
      </w:r>
    </w:p>
    <w:p w14:paraId="3C6355BD" w14:textId="77777777" w:rsidR="007B5C49" w:rsidRDefault="00000000">
      <w:pPr>
        <w:pStyle w:val="ListBullet"/>
        <w:spacing w:after="80" w:line="288" w:lineRule="auto"/>
        <w:ind w:left="403" w:hanging="259"/>
      </w:pPr>
      <w:r>
        <w:t>解释批量研究、共址和自带电源为何兴起。</w:t>
      </w:r>
    </w:p>
    <w:p w14:paraId="49DD0C73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6C5E1C42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40337AFC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1201DBE8" w14:textId="77777777" w:rsidR="007B5C49" w:rsidRDefault="00000000">
            <w:pPr>
              <w:spacing w:after="0" w:line="288" w:lineRule="auto"/>
            </w:pPr>
            <w:r>
              <w:t>瓶颈是串联系统：有发电机组不等于有输电，有输电走廊不等于变电站已建，变电站土建完成也不等于变压器和开关柜到货。任何一项延迟都会推迟整个园区；因此“申请225GW”只能表示热度，真实可投运容量必须经过可行性、网络升级、设备采购和客户建设四轮折减。</w:t>
            </w:r>
          </w:p>
        </w:tc>
      </w:tr>
    </w:tbl>
    <w:p w14:paraId="716F0D07" w14:textId="77777777" w:rsidR="007B5C49" w:rsidRDefault="007B5C49">
      <w:pPr>
        <w:spacing w:after="40"/>
      </w:pPr>
    </w:p>
    <w:p w14:paraId="4C53CBE4" w14:textId="77777777" w:rsidR="007B5C49" w:rsidRDefault="00000000">
      <w:pPr>
        <w:pStyle w:val="QALabel"/>
      </w:pPr>
      <w:r>
        <w:t>详细支撑</w:t>
      </w:r>
    </w:p>
    <w:p w14:paraId="45C1B787" w14:textId="77777777" w:rsidR="007B5C49" w:rsidRDefault="00000000">
      <w:pPr>
        <w:pStyle w:val="Heading2"/>
      </w:pPr>
      <w:r>
        <w:t>1. ERCOT</w:t>
      </w:r>
      <w:r>
        <w:t>的</w:t>
      </w:r>
      <w:r>
        <w:t>225GW</w:t>
      </w:r>
      <w:r>
        <w:t>是申请队列，不是未来数据中心容量</w:t>
      </w:r>
    </w:p>
    <w:p w14:paraId="33AA9DBF" w14:textId="77777777" w:rsidR="007B5C49" w:rsidRDefault="00000000">
      <w:r>
        <w:t>ERCOT在2025年12月披露，大负荷接入流程中已有超过225GW申请，范围包括数据中心等大用户。这个数字甚至超过当时系统峰值数倍，必然含重复选址、早期项目和无法同时兑现的申请。2026年6月，PUCT批准Batch Zero，将75MW及以上合格项目放入同一批次研究，以识别可承载地点、系统冲击和输电升级，并减少逐项目反复评估。</w:t>
      </w:r>
    </w:p>
    <w:p w14:paraId="33726AD9" w14:textId="77777777" w:rsidR="007B5C49" w:rsidRDefault="00000000">
      <w:r>
        <w:t>批量研究的意义是把互相竞争的项目放在同一电网约束下，而不是“批准全部”。项目若缺少土地控制、财务担保、设备计划或真实客户，应在研究门槛中被筛除。对投资者而言，最重要的不是队列排名，而是是否进入批次、是否完成研究、谁付网络升级、何时获得energization date。</w:t>
      </w:r>
    </w:p>
    <w:p w14:paraId="4779E517" w14:textId="77777777" w:rsidR="007B5C49" w:rsidRDefault="00000000">
      <w:pPr>
        <w:pStyle w:val="Heading2"/>
      </w:pPr>
      <w:r>
        <w:t>2. PJM</w:t>
      </w:r>
      <w:r>
        <w:t>的负荷增速由</w:t>
      </w:r>
      <w:r>
        <w:t>0.3%</w:t>
      </w:r>
      <w:r>
        <w:t>升至</w:t>
      </w:r>
      <w:r>
        <w:t>3.6%</w:t>
      </w:r>
      <w:r>
        <w:t>，资源建设却更慢</w:t>
      </w:r>
    </w:p>
    <w:p w14:paraId="2A569087" w14:textId="77777777" w:rsidR="007B5C49" w:rsidRDefault="00000000">
      <w:r>
        <w:t>PJM 2026长期预测显示，未来十年夏季峰值负荷年均增速约3.6%；2021版预测仅0.3%。2030年夏峰预计183,008MW，2035年216,872MW。数据中心是跃升的重要原因，但预测本身仍会因项目重复、效率变化和经济周期修订。与此同时，机组退役、发电并网排队和输电建设周期使供给无法同步。</w:t>
      </w:r>
    </w:p>
    <w:p w14:paraId="55F35778" w14:textId="77777777" w:rsidR="007B5C49" w:rsidRDefault="00000000">
      <w:r>
        <w:t>NERC 2025长期可靠性评估预计北美未来十年夏峰增加224GW、冬峰增加246GW，其中AI与数字经济数据中心是主要新增来源。NERC强调这是负荷预测与资源投运不确定性的组合风险，不是已经发生的缺电量。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700"/>
        <w:gridCol w:w="1700"/>
        <w:gridCol w:w="3700"/>
      </w:tblGrid>
      <w:tr w:rsidR="007B5C49" w14:paraId="01E189FB" w14:textId="77777777">
        <w:trPr>
          <w:tblHeader/>
          <w:jc w:val="center"/>
        </w:trPr>
        <w:tc>
          <w:tcPr>
            <w:tcW w:w="1900" w:type="dxa"/>
            <w:shd w:val="clear" w:color="auto" w:fill="D9EAF7"/>
          </w:tcPr>
          <w:p w14:paraId="736F7AEB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lastRenderedPageBreak/>
              <w:t>环节</w:t>
            </w:r>
          </w:p>
        </w:tc>
        <w:tc>
          <w:tcPr>
            <w:tcW w:w="2700" w:type="dxa"/>
            <w:shd w:val="clear" w:color="auto" w:fill="D9EAF7"/>
          </w:tcPr>
          <w:p w14:paraId="16CB91E5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公开指标</w:t>
            </w:r>
          </w:p>
        </w:tc>
        <w:tc>
          <w:tcPr>
            <w:tcW w:w="1700" w:type="dxa"/>
            <w:shd w:val="clear" w:color="auto" w:fill="D9EAF7"/>
          </w:tcPr>
          <w:p w14:paraId="1AA8AFB9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代表时点</w:t>
            </w:r>
          </w:p>
        </w:tc>
        <w:tc>
          <w:tcPr>
            <w:tcW w:w="3700" w:type="dxa"/>
            <w:shd w:val="clear" w:color="auto" w:fill="D9EAF7"/>
          </w:tcPr>
          <w:p w14:paraId="546A0228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正确解释</w:t>
            </w:r>
          </w:p>
        </w:tc>
      </w:tr>
      <w:tr w:rsidR="007B5C49" w14:paraId="6FF3F1DD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447726A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大负荷申请</w:t>
            </w:r>
          </w:p>
        </w:tc>
        <w:tc>
          <w:tcPr>
            <w:tcW w:w="2700" w:type="dxa"/>
            <w:vAlign w:val="center"/>
          </w:tcPr>
          <w:p w14:paraId="2A1348B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ERCOT流程&gt;225GW</w:t>
            </w:r>
          </w:p>
        </w:tc>
        <w:tc>
          <w:tcPr>
            <w:tcW w:w="1700" w:type="dxa"/>
            <w:vAlign w:val="center"/>
          </w:tcPr>
          <w:p w14:paraId="40D94FC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2025-12</w:t>
            </w:r>
          </w:p>
        </w:tc>
        <w:tc>
          <w:tcPr>
            <w:tcW w:w="3700" w:type="dxa"/>
            <w:vAlign w:val="center"/>
          </w:tcPr>
          <w:p w14:paraId="6BD5463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申请热度，含高淘汰与重复可能</w:t>
            </w:r>
          </w:p>
        </w:tc>
      </w:tr>
      <w:tr w:rsidR="007B5C49" w14:paraId="670980F7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7C92A08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合格批量研究</w:t>
            </w:r>
          </w:p>
        </w:tc>
        <w:tc>
          <w:tcPr>
            <w:tcW w:w="2700" w:type="dxa"/>
            <w:vAlign w:val="center"/>
          </w:tcPr>
          <w:p w14:paraId="2025FF0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75MW及以上进入Batch Zero</w:t>
            </w:r>
          </w:p>
        </w:tc>
        <w:tc>
          <w:tcPr>
            <w:tcW w:w="1700" w:type="dxa"/>
            <w:vAlign w:val="center"/>
          </w:tcPr>
          <w:p w14:paraId="6CB5F6E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2026-06</w:t>
            </w:r>
          </w:p>
        </w:tc>
        <w:tc>
          <w:tcPr>
            <w:tcW w:w="3700" w:type="dxa"/>
            <w:vAlign w:val="center"/>
          </w:tcPr>
          <w:p w14:paraId="1BCEC93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研究机制，不是通电批准</w:t>
            </w:r>
          </w:p>
        </w:tc>
      </w:tr>
      <w:tr w:rsidR="007B5C49" w14:paraId="4705A7EA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72A582F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系统负荷预测</w:t>
            </w:r>
          </w:p>
        </w:tc>
        <w:tc>
          <w:tcPr>
            <w:tcW w:w="2700" w:type="dxa"/>
            <w:vAlign w:val="center"/>
          </w:tcPr>
          <w:p w14:paraId="529DDB2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PJM十年夏峰CAGR 3.6%</w:t>
            </w:r>
          </w:p>
        </w:tc>
        <w:tc>
          <w:tcPr>
            <w:tcW w:w="1700" w:type="dxa"/>
            <w:vAlign w:val="center"/>
          </w:tcPr>
          <w:p w14:paraId="0CEE360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2026预测</w:t>
            </w:r>
          </w:p>
        </w:tc>
        <w:tc>
          <w:tcPr>
            <w:tcW w:w="3700" w:type="dxa"/>
            <w:vAlign w:val="center"/>
          </w:tcPr>
          <w:p w14:paraId="299B548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系统规划输入，会持续修订</w:t>
            </w:r>
          </w:p>
        </w:tc>
      </w:tr>
      <w:tr w:rsidR="007B5C49" w14:paraId="3DB0F31E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3F0787B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配电变压器</w:t>
            </w:r>
          </w:p>
        </w:tc>
        <w:tc>
          <w:tcPr>
            <w:tcW w:w="2700" w:type="dxa"/>
            <w:vAlign w:val="center"/>
          </w:tcPr>
          <w:p w14:paraId="1EED2FF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交期由3–6个月升至1–2年+</w:t>
            </w:r>
          </w:p>
        </w:tc>
        <w:tc>
          <w:tcPr>
            <w:tcW w:w="1700" w:type="dxa"/>
            <w:vAlign w:val="center"/>
          </w:tcPr>
          <w:p w14:paraId="0C553BE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DOE 2024数据/2026发布</w:t>
            </w:r>
          </w:p>
        </w:tc>
        <w:tc>
          <w:tcPr>
            <w:tcW w:w="3700" w:type="dxa"/>
            <w:vAlign w:val="center"/>
          </w:tcPr>
          <w:p w14:paraId="3CE87A8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供应链平均现象，项目规格不同</w:t>
            </w:r>
          </w:p>
        </w:tc>
      </w:tr>
      <w:tr w:rsidR="007B5C49" w14:paraId="209861C8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486BA59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大型变压器</w:t>
            </w:r>
          </w:p>
        </w:tc>
        <w:tc>
          <w:tcPr>
            <w:tcW w:w="2700" w:type="dxa"/>
            <w:vAlign w:val="center"/>
          </w:tcPr>
          <w:p w14:paraId="64BC1D3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交期最高约3–4年</w:t>
            </w:r>
          </w:p>
        </w:tc>
        <w:tc>
          <w:tcPr>
            <w:tcW w:w="1700" w:type="dxa"/>
            <w:vAlign w:val="center"/>
          </w:tcPr>
          <w:p w14:paraId="1FBAC4B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DOE 2026</w:t>
            </w:r>
          </w:p>
        </w:tc>
        <w:tc>
          <w:tcPr>
            <w:tcW w:w="3700" w:type="dxa"/>
            <w:vAlign w:val="center"/>
          </w:tcPr>
          <w:p w14:paraId="5B1A721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变电站/发电项目关键路径</w:t>
            </w:r>
          </w:p>
        </w:tc>
      </w:tr>
      <w:tr w:rsidR="007B5C49" w14:paraId="1E5AD90C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10EC05A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燃气轮机</w:t>
            </w:r>
          </w:p>
        </w:tc>
        <w:tc>
          <w:tcPr>
            <w:tcW w:w="2700" w:type="dxa"/>
            <w:vAlign w:val="center"/>
          </w:tcPr>
          <w:p w14:paraId="49A2BDC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GEV目标2026年底签约设备≥125GW</w:t>
            </w:r>
          </w:p>
        </w:tc>
        <w:tc>
          <w:tcPr>
            <w:tcW w:w="1700" w:type="dxa"/>
            <w:vAlign w:val="center"/>
          </w:tcPr>
          <w:p w14:paraId="03564AE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2026 Q2</w:t>
            </w:r>
          </w:p>
        </w:tc>
        <w:tc>
          <w:tcPr>
            <w:tcW w:w="3700" w:type="dxa"/>
            <w:vAlign w:val="center"/>
          </w:tcPr>
          <w:p w14:paraId="2084B68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订单强度，不等于当年交付</w:t>
            </w:r>
          </w:p>
        </w:tc>
      </w:tr>
    </w:tbl>
    <w:p w14:paraId="1E4554D6" w14:textId="77777777" w:rsidR="007B5C49" w:rsidRDefault="007B5C49">
      <w:pPr>
        <w:spacing w:after="40"/>
      </w:pPr>
    </w:p>
    <w:p w14:paraId="64D46769" w14:textId="77777777" w:rsidR="007B5C49" w:rsidRDefault="00000000">
      <w:pPr>
        <w:pStyle w:val="Heading2"/>
      </w:pPr>
      <w:r>
        <w:t xml:space="preserve">3. </w:t>
      </w:r>
      <w:r>
        <w:t>变压器把</w:t>
      </w:r>
      <w:r>
        <w:t>“</w:t>
      </w:r>
      <w:r>
        <w:t>能发电</w:t>
      </w:r>
      <w:r>
        <w:t>”</w:t>
      </w:r>
      <w:r>
        <w:t>变成</w:t>
      </w:r>
      <w:r>
        <w:t>“</w:t>
      </w:r>
      <w:r>
        <w:t>能送到服务器</w:t>
      </w:r>
      <w:r>
        <w:t>”</w:t>
      </w:r>
      <w:r>
        <w:t>，但交期最长</w:t>
      </w:r>
    </w:p>
    <w:p w14:paraId="439026E6" w14:textId="77777777" w:rsidR="007B5C49" w:rsidRDefault="00000000">
      <w:r>
        <w:t>DOE 2026年3月披露：美国配电变压器需求较2019年增长41%，订单交期由2019年的3—6个月升至2024年的1—2年甚至更长；用于变电站和发电项目的大型变压器由约3年拉长到最高4年。大型设备往往定制、重达数百吨、价值数百万美元，不能像服务器一样跨项目随意替换。</w:t>
      </w:r>
    </w:p>
    <w:p w14:paraId="0C3113C9" w14:textId="77777777" w:rsidR="007B5C49" w:rsidRDefault="00000000">
      <w:r>
        <w:t>数据中心还需要中压开关柜、UPS、备用发电机、母线和电缆。任一设备提前下单都占用资本，推迟下单又可能错过通电窗口。开发商因此越来越早锁定长周期设备，甚至在最终租户确认前采购；这会提高交付速度，也把取消项目后的库存与规格风险转移给开发商和资本方。</w:t>
      </w:r>
    </w:p>
    <w:p w14:paraId="51D0AB68" w14:textId="77777777" w:rsidR="007B5C49" w:rsidRDefault="00000000">
      <w:pPr>
        <w:pStyle w:val="Heading2"/>
      </w:pPr>
      <w:r>
        <w:t xml:space="preserve">4. </w:t>
      </w:r>
      <w:r>
        <w:t>燃机供应也从</w:t>
      </w:r>
      <w:r>
        <w:t>“</w:t>
      </w:r>
      <w:r>
        <w:t>燃料充足</w:t>
      </w:r>
      <w:r>
        <w:t>”</w:t>
      </w:r>
      <w:r>
        <w:t>变成</w:t>
      </w:r>
      <w:r>
        <w:t>“</w:t>
      </w:r>
      <w:r>
        <w:t>设备产能有限</w:t>
      </w:r>
      <w:r>
        <w:t>”</w:t>
      </w:r>
    </w:p>
    <w:p w14:paraId="4D4CA71F" w14:textId="77777777" w:rsidR="007B5C49" w:rsidRDefault="00000000">
      <w:r>
        <w:t>天然气在美国资源丰富，但新燃气电站仍需轮机、管道、许可和并网。GE Vernova 2026年二季度称，预计年底至少有125GW燃气设备在合同覆盖下；年产能在2026年三季度约20GW，计划2028年24GW、2030年30GW。订单规模显著高于年度产能，说明开发商即使愿意建设燃气电源，也必须争夺制造槽位。</w:t>
      </w:r>
    </w:p>
    <w:p w14:paraId="10B43126" w14:textId="77777777" w:rsidR="007B5C49" w:rsidRDefault="00000000">
      <w:r>
        <w:t>这也是燃料电池、移动式燃机和表后微网受关注的原因：它们可把部分电力设备模块化并绕开完整输电升级。但项目仍要满足空气许可、噪声、燃气管道和可靠性要求，不能把“表后”理解为完全不受监管。</w:t>
      </w:r>
    </w:p>
    <w:p w14:paraId="6BCE2CF5" w14:textId="77777777" w:rsidR="007B5C49" w:rsidRDefault="00000000">
      <w:pPr>
        <w:pStyle w:val="Heading2"/>
      </w:pPr>
      <w:r>
        <w:t xml:space="preserve">5. </w:t>
      </w:r>
      <w:r>
        <w:t>并网规则正在从单项目审批转向批量与灵活负荷</w:t>
      </w:r>
    </w:p>
    <w:p w14:paraId="5F9FAF02" w14:textId="77777777" w:rsidR="007B5C49" w:rsidRDefault="00000000">
      <w:r>
        <w:t>FERC在2025年12月要求PJM建立共址大负荷的新输电服务，使数据中心可按实际从电网净取电签约；2026年6月又要求六个区域电网运营商解释或改革大负荷接入规则。方向是允许自带发电、限制取电和负荷灵活性减少不必要升级，同时要求透明成本和可靠性保护。规则改善能压缩行政等待，却无法瞬间制造变压器、燃机和输电走廊。</w:t>
      </w:r>
    </w:p>
    <w:p w14:paraId="0C09D13F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7C0D2394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6FAD187A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交付关键路径</w:t>
            </w:r>
          </w:p>
          <w:p w14:paraId="5E91022B" w14:textId="77777777" w:rsidR="007B5C49" w:rsidRDefault="00000000">
            <w:pPr>
              <w:spacing w:after="0" w:line="288" w:lineRule="auto"/>
            </w:pPr>
            <w:r>
              <w:t>开发商提交大负荷申请 → 电网研究与其他项目的共同冲击 → 确定输电/变电升级及费用 → 锁定发电资源与长期设备 → 完成许可、建设和调试 → 分期通电；任何一环重做都会把数月延迟放大为数年。</w:t>
            </w:r>
          </w:p>
        </w:tc>
      </w:tr>
    </w:tbl>
    <w:p w14:paraId="1F1ADD8D" w14:textId="77777777" w:rsidR="007B5C49" w:rsidRDefault="007B5C49">
      <w:pPr>
        <w:spacing w:after="40"/>
      </w:pPr>
    </w:p>
    <w:p w14:paraId="64B23C91" w14:textId="77777777" w:rsidR="007B5C49" w:rsidRDefault="00000000">
      <w:pPr>
        <w:pStyle w:val="QALabel"/>
      </w:pPr>
      <w:r>
        <w:lastRenderedPageBreak/>
        <w:t>来源</w:t>
      </w:r>
    </w:p>
    <w:p w14:paraId="24CA786B" w14:textId="77777777" w:rsidR="007B5C49" w:rsidRDefault="00000000">
      <w:pPr>
        <w:spacing w:after="80"/>
        <w:ind w:left="360" w:hanging="288"/>
      </w:pPr>
      <w:r>
        <w:rPr>
          <w:b/>
        </w:rPr>
        <w:t>• ERCOT｜Large Load Integration optimization</w:t>
      </w:r>
      <w:r>
        <w:t>：超过225GW申请</w:t>
      </w:r>
      <w:r>
        <w:rPr>
          <w:color w:val="1F4E79"/>
        </w:rPr>
        <w:br/>
        <w:t>https://www.ercot.com/news/release/12122025-ercot-announces-strategic</w:t>
      </w:r>
    </w:p>
    <w:p w14:paraId="067A7060" w14:textId="77777777" w:rsidR="007B5C49" w:rsidRDefault="00000000">
      <w:pPr>
        <w:spacing w:after="80"/>
        <w:ind w:left="360" w:hanging="288"/>
      </w:pPr>
      <w:r>
        <w:rPr>
          <w:b/>
        </w:rPr>
        <w:t>• ERCOT/PUCT｜Batch Zero approved</w:t>
      </w:r>
      <w:r>
        <w:t>：75MW门槛与批量研究</w:t>
      </w:r>
      <w:r>
        <w:rPr>
          <w:color w:val="1F4E79"/>
        </w:rPr>
        <w:br/>
        <w:t>https://www.ercot.com/news/release/06182026-puct-approves-ercots</w:t>
      </w:r>
    </w:p>
    <w:p w14:paraId="2235BBA3" w14:textId="77777777" w:rsidR="007B5C49" w:rsidRDefault="00000000">
      <w:pPr>
        <w:spacing w:after="80"/>
        <w:ind w:left="360" w:hanging="288"/>
      </w:pPr>
      <w:r>
        <w:rPr>
          <w:b/>
        </w:rPr>
        <w:t>• PJM｜2026 Long-Term Load Forecast</w:t>
      </w:r>
      <w:r>
        <w:t>：峰值与增速</w:t>
      </w:r>
      <w:r>
        <w:rPr>
          <w:color w:val="1F4E79"/>
        </w:rPr>
        <w:br/>
        <w:t>https://insidelines.pjm.com/pjms-updated-20-year-forecast-continues-to-see-significant-long-term-load-growth/</w:t>
      </w:r>
    </w:p>
    <w:p w14:paraId="026C2EDD" w14:textId="77777777" w:rsidR="007B5C49" w:rsidRDefault="00000000">
      <w:pPr>
        <w:spacing w:after="80"/>
        <w:ind w:left="360" w:hanging="288"/>
      </w:pPr>
      <w:r>
        <w:rPr>
          <w:b/>
        </w:rPr>
        <w:t>• NERC｜2025 Long-Term Reliability Assessment</w:t>
      </w:r>
      <w:r>
        <w:t>：224/246GW峰值增长</w:t>
      </w:r>
      <w:r>
        <w:rPr>
          <w:color w:val="1F4E79"/>
        </w:rPr>
        <w:br/>
        <w:t>https://www.nerc.com/our-work/assessments/long-term-reliability-assessments</w:t>
      </w:r>
    </w:p>
    <w:p w14:paraId="0B4E952D" w14:textId="77777777" w:rsidR="007B5C49" w:rsidRDefault="00000000">
      <w:pPr>
        <w:spacing w:after="80"/>
        <w:ind w:left="360" w:hanging="288"/>
      </w:pPr>
      <w:r>
        <w:rPr>
          <w:b/>
        </w:rPr>
        <w:t>• DOE｜Distribution Transformer Convening</w:t>
      </w:r>
      <w:r>
        <w:t>：需求与交期</w:t>
      </w:r>
      <w:r>
        <w:rPr>
          <w:color w:val="1F4E79"/>
        </w:rPr>
        <w:br/>
        <w:t>https://www.energy.gov/oe/distribution-transformer-webinar-text-alternative</w:t>
      </w:r>
    </w:p>
    <w:p w14:paraId="60BD9E5D" w14:textId="77777777" w:rsidR="007B5C49" w:rsidRDefault="00000000">
      <w:pPr>
        <w:spacing w:after="80"/>
        <w:ind w:left="360" w:hanging="288"/>
      </w:pPr>
      <w:r>
        <w:rPr>
          <w:b/>
        </w:rPr>
        <w:t>• GE Vernova｜Q2 2026 results</w:t>
      </w:r>
      <w:r>
        <w:t>：燃机订单与产能</w:t>
      </w:r>
      <w:r>
        <w:rPr>
          <w:color w:val="1F4E79"/>
        </w:rPr>
        <w:br/>
        <w:t>https://www.gevernova.com/news/articles/ge-vernova-releases-second-quarter-2026-financial-results</w:t>
      </w:r>
    </w:p>
    <w:p w14:paraId="65713D66" w14:textId="77777777" w:rsidR="007B5C49" w:rsidRDefault="00000000">
      <w:pPr>
        <w:spacing w:after="80"/>
        <w:ind w:left="360" w:hanging="288"/>
      </w:pPr>
      <w:r>
        <w:rPr>
          <w:b/>
        </w:rPr>
        <w:t>• FERC｜Large load integration action</w:t>
      </w:r>
      <w:r>
        <w:t>：六区域规则改革</w:t>
      </w:r>
      <w:r>
        <w:rPr>
          <w:color w:val="1F4E79"/>
        </w:rPr>
        <w:br/>
        <w:t>https://www.ferc.gov/news-events/news/ferc-launches-aggressive-targeted-action-speed-large-load-integration</w:t>
      </w:r>
    </w:p>
    <w:p w14:paraId="444D6AFD" w14:textId="77777777" w:rsidR="007B5C49" w:rsidRDefault="00000000">
      <w:pPr>
        <w:pStyle w:val="Heading1"/>
        <w:pageBreakBefore/>
      </w:pPr>
      <w:r>
        <w:lastRenderedPageBreak/>
        <w:t>Q14</w:t>
      </w:r>
      <w:r>
        <w:t>：数据中心会不会推高居民电价，成本应该由谁承担？</w:t>
      </w:r>
    </w:p>
    <w:p w14:paraId="690E4C31" w14:textId="77777777" w:rsidR="007B5C49" w:rsidRDefault="00000000">
      <w:pPr>
        <w:pStyle w:val="QALabel"/>
      </w:pPr>
      <w:r>
        <w:t>通俗问题</w:t>
      </w:r>
    </w:p>
    <w:p w14:paraId="648DDD4C" w14:textId="77777777" w:rsidR="007B5C49" w:rsidRDefault="00000000">
      <w:r>
        <w:t>大型数据中心承诺带来投资和税收，但电网为它建设的电厂、输电线和变电站，会不会最终由普通家庭买单？</w:t>
      </w:r>
    </w:p>
    <w:p w14:paraId="316FA339" w14:textId="77777777" w:rsidR="007B5C49" w:rsidRDefault="00000000">
      <w:pPr>
        <w:pStyle w:val="QALabel"/>
      </w:pPr>
      <w:r>
        <w:t>主要研究（专业）</w:t>
      </w:r>
    </w:p>
    <w:p w14:paraId="22D589CA" w14:textId="77777777" w:rsidR="007B5C49" w:rsidRDefault="00000000">
      <w:r>
        <w:t>大负荷成本归因、专属费率、最低付款、合同期限、信用担保与居民电价风险。</w:t>
      </w:r>
    </w:p>
    <w:p w14:paraId="7513DA2E" w14:textId="77777777" w:rsidR="007B5C49" w:rsidRDefault="00000000">
      <w:pPr>
        <w:pStyle w:val="QALabel"/>
      </w:pPr>
      <w:r>
        <w:t>研究方向</w:t>
      </w:r>
    </w:p>
    <w:p w14:paraId="15A601B6" w14:textId="77777777" w:rsidR="007B5C49" w:rsidRDefault="00000000">
      <w:pPr>
        <w:pStyle w:val="ListBullet"/>
        <w:spacing w:after="80" w:line="288" w:lineRule="auto"/>
        <w:ind w:left="403" w:hanging="259"/>
      </w:pPr>
      <w:r>
        <w:t>区分能源成本、发电容量、输电、配电和搁浅资产风险。</w:t>
      </w:r>
    </w:p>
    <w:p w14:paraId="1C9C6548" w14:textId="77777777" w:rsidR="007B5C49" w:rsidRDefault="00000000">
      <w:pPr>
        <w:pStyle w:val="ListBullet"/>
        <w:spacing w:after="80" w:line="288" w:lineRule="auto"/>
        <w:ind w:left="403" w:hanging="259"/>
      </w:pPr>
      <w:r>
        <w:t>以Virginia GS-5及PJM共址规则为代表，核对具体保护条款。</w:t>
      </w:r>
    </w:p>
    <w:p w14:paraId="36E63D8B" w14:textId="77777777" w:rsidR="007B5C49" w:rsidRDefault="00000000">
      <w:pPr>
        <w:pStyle w:val="ListBullet"/>
        <w:spacing w:after="80" w:line="288" w:lineRule="auto"/>
        <w:ind w:left="403" w:hanging="259"/>
      </w:pPr>
      <w:r>
        <w:t>解释“数据中心支付自己的成本”为什么仍不是简单结论。</w:t>
      </w:r>
    </w:p>
    <w:p w14:paraId="39D3D4CA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0B4AF964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0E971450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54F30D1D" w14:textId="77777777" w:rsidR="007B5C49" w:rsidRDefault="00000000">
            <w:pPr>
              <w:spacing w:after="0" w:line="288" w:lineRule="auto"/>
            </w:pPr>
            <w:r>
              <w:t>数据中心可能降低单位固定成本，也可能因超前建设、燃料价格和项目取消推高其他用户账单；关键不在于“有没有数据中心”，而在于成本是否可归因、合同是否足够长、最低付款是否覆盖专用资产、客户退出后谁承担搁浅成本。Virginia已把25MW以上客户单列，并设置14年义务和85%输配电最低付款。</w:t>
            </w:r>
          </w:p>
        </w:tc>
      </w:tr>
    </w:tbl>
    <w:p w14:paraId="564E1B5D" w14:textId="77777777" w:rsidR="007B5C49" w:rsidRDefault="007B5C49">
      <w:pPr>
        <w:spacing w:after="40"/>
      </w:pPr>
    </w:p>
    <w:p w14:paraId="0D7C94CE" w14:textId="77777777" w:rsidR="007B5C49" w:rsidRDefault="00000000">
      <w:pPr>
        <w:pStyle w:val="QALabel"/>
      </w:pPr>
      <w:r>
        <w:t>详细支撑</w:t>
      </w:r>
    </w:p>
    <w:p w14:paraId="7F656A64" w14:textId="77777777" w:rsidR="007B5C49" w:rsidRDefault="00000000">
      <w:pPr>
        <w:pStyle w:val="Heading2"/>
      </w:pPr>
      <w:r>
        <w:t xml:space="preserve">1. </w:t>
      </w:r>
      <w:r>
        <w:t>电费争议来自四类成本，而不只是每度电价格</w:t>
      </w:r>
    </w:p>
    <w:p w14:paraId="70AF6A13" w14:textId="77777777" w:rsidR="007B5C49" w:rsidRDefault="00000000">
      <w:r>
        <w:t>第一类是能源：数据中心每小时实际消耗的电量和燃料成本。第二类是发电容量：为高峰和备用准备可用机组。第三类是输配电：新建线路、变电站与配电设施。第四类是搁浅风险：客户项目取消、延迟或技术变化后，专用资产仍需偿还。只有第一类容易按电表直接计费，其余需要费率设计和长期合同分摊。</w:t>
      </w:r>
    </w:p>
    <w:p w14:paraId="14853C63" w14:textId="77777777" w:rsidR="007B5C49" w:rsidRDefault="00000000">
      <w:r>
        <w:t>大型客户负荷率高、用电稳定，理论上可以提高电网资产利用率并扩大税基；但如果预测的GW没有兑现，或公用事业为单一客户提前建设多年资产，居民和小企业可能承担差额。因此监管重点从“给优惠电价招商”转向“先证明客户信用并承担长期最低费用”。</w:t>
      </w:r>
    </w:p>
    <w:p w14:paraId="566A6194" w14:textId="77777777" w:rsidR="007B5C49" w:rsidRDefault="00000000">
      <w:pPr>
        <w:pStyle w:val="Heading2"/>
      </w:pPr>
      <w:r>
        <w:t>2. Virginia GS-5</w:t>
      </w:r>
      <w:r>
        <w:t>把大负荷从普通工商业客户中分离</w:t>
      </w:r>
    </w:p>
    <w:p w14:paraId="4A2E4CC6" w14:textId="77777777" w:rsidR="007B5C49" w:rsidRDefault="00000000">
      <w:r>
        <w:t>Virginia SCC在2025年11月批准新的GS-5费率类别，覆盖需求达到25MW及以上的大用户，2027年1月1日起生效。新签客户至少承担14年取用和付款义务；大负荷每月至少支付合同输电和配电成本的85%，发电需求最低付款为60%；信用不足者可能需要为合同期最低费用最高60%提供担保。</w:t>
      </w:r>
    </w:p>
    <w:p w14:paraId="6D4411E2" w14:textId="77777777" w:rsidR="007B5C49" w:rsidRDefault="00000000">
      <w:r>
        <w:lastRenderedPageBreak/>
        <w:t>这些条款不等于“居民电价永不受影响”。它们解决的是客户使用率低或退出时的成本回收，并要求监管机构单独测算大负荷成本。燃料市场、区域输电和全系统可靠性投资仍可能跨用户发生，因此后续要看实际成本分配和费率案件，而不是只看企业自愿承诺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800"/>
        <w:gridCol w:w="2500"/>
      </w:tblGrid>
      <w:tr w:rsidR="007B5C49" w14:paraId="12727C39" w14:textId="77777777">
        <w:trPr>
          <w:tblHeader/>
          <w:jc w:val="center"/>
        </w:trPr>
        <w:tc>
          <w:tcPr>
            <w:tcW w:w="1900" w:type="dxa"/>
            <w:shd w:val="clear" w:color="auto" w:fill="D9EAF7"/>
          </w:tcPr>
          <w:p w14:paraId="676EEFA7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风险</w:t>
            </w:r>
          </w:p>
        </w:tc>
        <w:tc>
          <w:tcPr>
            <w:tcW w:w="2500" w:type="dxa"/>
            <w:shd w:val="clear" w:color="auto" w:fill="D9EAF7"/>
          </w:tcPr>
          <w:p w14:paraId="25ECD0BB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若无保护条款</w:t>
            </w:r>
          </w:p>
        </w:tc>
        <w:tc>
          <w:tcPr>
            <w:tcW w:w="2800" w:type="dxa"/>
            <w:shd w:val="clear" w:color="auto" w:fill="D9EAF7"/>
          </w:tcPr>
          <w:p w14:paraId="09106177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代表性保护机制</w:t>
            </w:r>
          </w:p>
        </w:tc>
        <w:tc>
          <w:tcPr>
            <w:tcW w:w="2500" w:type="dxa"/>
            <w:shd w:val="clear" w:color="auto" w:fill="D9EAF7"/>
          </w:tcPr>
          <w:p w14:paraId="5477C94D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仍需跟踪</w:t>
            </w:r>
          </w:p>
        </w:tc>
      </w:tr>
      <w:tr w:rsidR="007B5C49" w14:paraId="43156E56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4D1443B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项目取消/缩水</w:t>
            </w:r>
          </w:p>
        </w:tc>
        <w:tc>
          <w:tcPr>
            <w:tcW w:w="2500" w:type="dxa"/>
            <w:vAlign w:val="center"/>
          </w:tcPr>
          <w:p w14:paraId="1D7789D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专用设施成为搁浅资产</w:t>
            </w:r>
          </w:p>
        </w:tc>
        <w:tc>
          <w:tcPr>
            <w:tcW w:w="2800" w:type="dxa"/>
            <w:vAlign w:val="center"/>
          </w:tcPr>
          <w:p w14:paraId="0DF0EC2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14年合同、信用担保</w:t>
            </w:r>
          </w:p>
        </w:tc>
        <w:tc>
          <w:tcPr>
            <w:tcW w:w="2500" w:type="dxa"/>
            <w:vAlign w:val="center"/>
          </w:tcPr>
          <w:p w14:paraId="6EA1751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担保覆盖率与破产执行</w:t>
            </w:r>
          </w:p>
        </w:tc>
      </w:tr>
      <w:tr w:rsidR="007B5C49" w14:paraId="22219C1C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2836ACA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实际用电低于合同</w:t>
            </w:r>
          </w:p>
        </w:tc>
        <w:tc>
          <w:tcPr>
            <w:tcW w:w="2500" w:type="dxa"/>
            <w:vAlign w:val="center"/>
          </w:tcPr>
          <w:p w14:paraId="5489C96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固定网络成本回收不足</w:t>
            </w:r>
          </w:p>
        </w:tc>
        <w:tc>
          <w:tcPr>
            <w:tcW w:w="2800" w:type="dxa"/>
            <w:vAlign w:val="center"/>
          </w:tcPr>
          <w:p w14:paraId="450116C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输配电最低支付85%</w:t>
            </w:r>
          </w:p>
        </w:tc>
        <w:tc>
          <w:tcPr>
            <w:tcW w:w="2500" w:type="dxa"/>
            <w:vAlign w:val="center"/>
          </w:tcPr>
          <w:p w14:paraId="55D3319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合同容量是否真实</w:t>
            </w:r>
          </w:p>
        </w:tc>
      </w:tr>
      <w:tr w:rsidR="007B5C49" w14:paraId="5C41D6CE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7E6EB17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发电容量不足</w:t>
            </w:r>
          </w:p>
        </w:tc>
        <w:tc>
          <w:tcPr>
            <w:tcW w:w="2500" w:type="dxa"/>
            <w:vAlign w:val="center"/>
          </w:tcPr>
          <w:p w14:paraId="779C080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全系统容量价格上升</w:t>
            </w:r>
          </w:p>
        </w:tc>
        <w:tc>
          <w:tcPr>
            <w:tcW w:w="2800" w:type="dxa"/>
            <w:vAlign w:val="center"/>
          </w:tcPr>
          <w:p w14:paraId="37EC41D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发电最低支付60%、自带资源</w:t>
            </w:r>
          </w:p>
        </w:tc>
        <w:tc>
          <w:tcPr>
            <w:tcW w:w="2500" w:type="dxa"/>
            <w:vAlign w:val="center"/>
          </w:tcPr>
          <w:p w14:paraId="7DA5C9F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区域容量市场与退役机组</w:t>
            </w:r>
          </w:p>
        </w:tc>
      </w:tr>
      <w:tr w:rsidR="007B5C49" w14:paraId="5342E5DB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64DA810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共址少付网络费</w:t>
            </w:r>
          </w:p>
        </w:tc>
        <w:tc>
          <w:tcPr>
            <w:tcW w:w="2500" w:type="dxa"/>
            <w:vAlign w:val="center"/>
          </w:tcPr>
          <w:p w14:paraId="2D944AA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其他用户承担公共网络成本</w:t>
            </w:r>
          </w:p>
        </w:tc>
        <w:tc>
          <w:tcPr>
            <w:tcW w:w="2800" w:type="dxa"/>
            <w:vAlign w:val="center"/>
          </w:tcPr>
          <w:p w14:paraId="2D01889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按净取电选择Firm/Non-Firm服务</w:t>
            </w:r>
          </w:p>
        </w:tc>
        <w:tc>
          <w:tcPr>
            <w:tcW w:w="2500" w:type="dxa"/>
            <w:vAlign w:val="center"/>
          </w:tcPr>
          <w:p w14:paraId="2EE2F0F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最低费用与实际可靠性贡献</w:t>
            </w:r>
          </w:p>
        </w:tc>
      </w:tr>
      <w:tr w:rsidR="007B5C49" w14:paraId="17EC38C2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4878F04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燃气价格/排放</w:t>
            </w:r>
          </w:p>
        </w:tc>
        <w:tc>
          <w:tcPr>
            <w:tcW w:w="2500" w:type="dxa"/>
            <w:vAlign w:val="center"/>
          </w:tcPr>
          <w:p w14:paraId="62A5C47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能源与合规成本波动</w:t>
            </w:r>
          </w:p>
        </w:tc>
        <w:tc>
          <w:tcPr>
            <w:tcW w:w="2800" w:type="dxa"/>
            <w:vAlign w:val="center"/>
          </w:tcPr>
          <w:p w14:paraId="0C6E83F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长协、对冲、清洁电源组合</w:t>
            </w:r>
          </w:p>
        </w:tc>
        <w:tc>
          <w:tcPr>
            <w:tcW w:w="2500" w:type="dxa"/>
            <w:vAlign w:val="center"/>
          </w:tcPr>
          <w:p w14:paraId="06CA3F5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成本是否转嫁及环境影响</w:t>
            </w:r>
          </w:p>
        </w:tc>
      </w:tr>
    </w:tbl>
    <w:p w14:paraId="5C4A29A4" w14:textId="77777777" w:rsidR="007B5C49" w:rsidRDefault="007B5C49">
      <w:pPr>
        <w:spacing w:after="40"/>
      </w:pPr>
    </w:p>
    <w:p w14:paraId="242C5724" w14:textId="77777777" w:rsidR="007B5C49" w:rsidRDefault="00000000">
      <w:pPr>
        <w:pStyle w:val="Heading2"/>
      </w:pPr>
      <w:r>
        <w:t xml:space="preserve">3. </w:t>
      </w:r>
      <w:r>
        <w:t>共址可以减少网络升级，也可能造成成本转移争议</w:t>
      </w:r>
    </w:p>
    <w:p w14:paraId="5417BC65" w14:textId="77777777" w:rsidR="007B5C49" w:rsidRDefault="00000000">
      <w:r>
        <w:t>数据中心紧邻核电站或燃气电厂时，可以主要从现场电源取电，只从电网补充一小部分。FERC 2025年12月要求PJM提供Firm和Non-Firm Contract Demand Transmission Service：例如1,000MW数据中心由现场900MW发电支持，可按100MW净取电购买相应输电服务，而不是按全部1,000MW付费。</w:t>
      </w:r>
    </w:p>
    <w:p w14:paraId="2DA35100" w14:textId="77777777" w:rsidR="007B5C49" w:rsidRDefault="00000000">
      <w:r>
        <w:t>这能避免为并不实际使用的1,000MW建设网络，但前提是控制系统保证取电上限，并且数据中心仍为共享网络、备用服务和可靠性贡献支付合理最低费用。若现场机组跳闸后数据中心仍期望电网瞬间补足900MW，按100MW收费显然会转移成本。因此技术运行约束和计费规则必须一致。</w:t>
      </w:r>
    </w:p>
    <w:p w14:paraId="6D672C76" w14:textId="77777777" w:rsidR="007B5C49" w:rsidRDefault="00000000">
      <w:pPr>
        <w:pStyle w:val="Heading2"/>
      </w:pPr>
      <w:r>
        <w:t>4. “</w:t>
      </w:r>
      <w:r>
        <w:t>表后自备电不影响居民账单</w:t>
      </w:r>
      <w:r>
        <w:t>”</w:t>
      </w:r>
      <w:r>
        <w:t>是可检验承诺</w:t>
      </w:r>
    </w:p>
    <w:p w14:paraId="2A21A54D" w14:textId="77777777" w:rsidR="007B5C49" w:rsidRDefault="00000000">
      <w:r>
        <w:t>Oracle称Project Jupiter天然气微网独立于当地电网，全部能源成本由公司承担，因此不会影响居民电费。这是公司承诺，研究时还应检查是否使用公共燃气、道路、水、税收优惠或备用电网服务，以及环境成本是否由社区承担。经济成本不只存在于电费账单。</w:t>
      </w:r>
    </w:p>
    <w:p w14:paraId="67CF4D2B" w14:textId="77777777" w:rsidR="007B5C49" w:rsidRDefault="00000000">
      <w:r>
        <w:t>最稳妥的政策不是禁止一切大负荷，而是五项组合：独立费率类别、长期take-or-pay、网络升级直接归因、信用担保、负荷灵活性奖励。这样既保留新增投资和税基，也降低居民承担客户失败风险。</w:t>
      </w:r>
    </w:p>
    <w:p w14:paraId="16D04E6E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29A26CE0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505D8357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成本分摊判断</w:t>
            </w:r>
          </w:p>
          <w:p w14:paraId="2E846EFB" w14:textId="77777777" w:rsidR="007B5C49" w:rsidRDefault="00000000">
            <w:pPr>
              <w:spacing w:after="0" w:line="288" w:lineRule="auto"/>
            </w:pPr>
            <w:r>
              <w:t>大负荷提出接入 → 公用事业为其规划发电和网络 → 监管机构识别专属与共享成本 → 通过费率、最低付款、期限和担保分配风险 → 项目实际用电兑现则扩大资产利用率；项目取消则由合同和抵押先吸收损失，减少转嫁给居民。</w:t>
            </w:r>
          </w:p>
        </w:tc>
      </w:tr>
    </w:tbl>
    <w:p w14:paraId="5737911C" w14:textId="77777777" w:rsidR="007B5C49" w:rsidRDefault="007B5C49">
      <w:pPr>
        <w:spacing w:after="40"/>
      </w:pPr>
    </w:p>
    <w:p w14:paraId="09C6C0CF" w14:textId="77777777" w:rsidR="007B5C49" w:rsidRDefault="00000000">
      <w:pPr>
        <w:pStyle w:val="QALabel"/>
      </w:pPr>
      <w:r>
        <w:t>来源</w:t>
      </w:r>
    </w:p>
    <w:p w14:paraId="28DF6C50" w14:textId="77777777" w:rsidR="007B5C49" w:rsidRDefault="00000000">
      <w:pPr>
        <w:spacing w:after="80"/>
        <w:ind w:left="360" w:hanging="288"/>
      </w:pPr>
      <w:r>
        <w:rPr>
          <w:b/>
        </w:rPr>
        <w:t>• Virginia SCC｜GS-5 order summary</w:t>
      </w:r>
      <w:r>
        <w:t>：25MW门槛与最低付款</w:t>
      </w:r>
      <w:r>
        <w:rPr>
          <w:color w:val="1F4E79"/>
        </w:rPr>
        <w:br/>
        <w:t>https://www.scc.virginia.gov/about-the-scc/newsreleases/release/scc-issues-order-on-dev-biennial-review-2025/scc-rules-in-dev-biennial-review-case.html</w:t>
      </w:r>
    </w:p>
    <w:p w14:paraId="1E4B0BDC" w14:textId="77777777" w:rsidR="007B5C49" w:rsidRDefault="00000000">
      <w:pPr>
        <w:spacing w:after="80"/>
        <w:ind w:left="360" w:hanging="288"/>
      </w:pPr>
      <w:r>
        <w:rPr>
          <w:b/>
        </w:rPr>
        <w:t>• Virginia SCC｜Data Center Initiatives Q&amp;A</w:t>
      </w:r>
      <w:r>
        <w:t>：14年义务、担保和成本分摊</w:t>
      </w:r>
      <w:r>
        <w:rPr>
          <w:color w:val="1F4E79"/>
        </w:rPr>
        <w:br/>
        <w:t>https://www.scc.virginia.gov/about-the-scc/scc-facts/</w:t>
      </w:r>
    </w:p>
    <w:p w14:paraId="4012C5BF" w14:textId="77777777" w:rsidR="007B5C49" w:rsidRDefault="00000000">
      <w:pPr>
        <w:spacing w:after="80"/>
        <w:ind w:left="360" w:hanging="288"/>
      </w:pPr>
      <w:r>
        <w:rPr>
          <w:b/>
        </w:rPr>
        <w:lastRenderedPageBreak/>
        <w:t>• FERC｜PJM co-location reform</w:t>
      </w:r>
      <w:r>
        <w:t>：共址输电服务原则</w:t>
      </w:r>
      <w:r>
        <w:rPr>
          <w:color w:val="1F4E79"/>
        </w:rPr>
        <w:br/>
        <w:t>https://www.ferc.gov/news-events/news/ferc-directs-nations-largest-grid-operator-create-new-rules-embrace-innovation-and</w:t>
      </w:r>
    </w:p>
    <w:p w14:paraId="2B390D86" w14:textId="77777777" w:rsidR="007B5C49" w:rsidRDefault="00000000">
      <w:pPr>
        <w:spacing w:after="80"/>
        <w:ind w:left="360" w:hanging="288"/>
      </w:pPr>
      <w:r>
        <w:rPr>
          <w:b/>
        </w:rPr>
        <w:t>• FERC｜Commissioner Rosner concurrence</w:t>
      </w:r>
      <w:r>
        <w:t>：1,000MW/900MW示例</w:t>
      </w:r>
      <w:r>
        <w:rPr>
          <w:color w:val="1F4E79"/>
        </w:rPr>
        <w:br/>
        <w:t>https://www.ferc.gov/news-events/news/e-1-commissioner-rosners-concurrence-pjm-co-location</w:t>
      </w:r>
    </w:p>
    <w:p w14:paraId="46C89F0D" w14:textId="77777777" w:rsidR="007B5C49" w:rsidRDefault="00000000">
      <w:pPr>
        <w:spacing w:after="80"/>
        <w:ind w:left="360" w:hanging="288"/>
      </w:pPr>
      <w:r>
        <w:rPr>
          <w:b/>
        </w:rPr>
        <w:t>• Oracle｜Project Jupiter commitment</w:t>
      </w:r>
      <w:r>
        <w:t>：自担能源成本的公司声明</w:t>
      </w:r>
      <w:r>
        <w:rPr>
          <w:color w:val="1F4E79"/>
        </w:rPr>
        <w:br/>
        <w:t>https://www.oracle.com/news/announcement/blog/building-a-sustainable-future-in-new-mexico-2026-03-03/</w:t>
      </w:r>
    </w:p>
    <w:p w14:paraId="198A999B" w14:textId="77777777" w:rsidR="007B5C49" w:rsidRDefault="00000000">
      <w:pPr>
        <w:pStyle w:val="Heading1"/>
        <w:pageBreakBefore/>
      </w:pPr>
      <w:r>
        <w:lastRenderedPageBreak/>
        <w:t>Q15</w:t>
      </w:r>
      <w:r>
        <w:t>：为什么</w:t>
      </w:r>
      <w:r>
        <w:t>time-to-power</w:t>
      </w:r>
      <w:r>
        <w:t>已经成为第一选址因子？</w:t>
      </w:r>
    </w:p>
    <w:p w14:paraId="753387A7" w14:textId="77777777" w:rsidR="007B5C49" w:rsidRDefault="00000000">
      <w:pPr>
        <w:pStyle w:val="QALabel"/>
      </w:pPr>
      <w:r>
        <w:t>通俗问题</w:t>
      </w:r>
    </w:p>
    <w:p w14:paraId="54E80249" w14:textId="77777777" w:rsidR="007B5C49" w:rsidRDefault="00000000">
      <w:r>
        <w:t>过去数据中心强调网络、时延和城市位置，为什么AI时代越来越多项目去Abilene、New Mexico等非传统市场？</w:t>
      </w:r>
    </w:p>
    <w:p w14:paraId="63AC84A8" w14:textId="77777777" w:rsidR="007B5C49" w:rsidRDefault="00000000">
      <w:pPr>
        <w:pStyle w:val="QALabel"/>
      </w:pPr>
      <w:r>
        <w:t>主要研究（专业）</w:t>
      </w:r>
    </w:p>
    <w:p w14:paraId="6C6A0E93" w14:textId="77777777" w:rsidR="007B5C49" w:rsidRDefault="00000000">
      <w:r>
        <w:t>AI训练与推理的区位差异、可交付电力、园区分期、表后发电与商业价值。</w:t>
      </w:r>
    </w:p>
    <w:p w14:paraId="3BBE0CAC" w14:textId="77777777" w:rsidR="007B5C49" w:rsidRDefault="00000000">
      <w:pPr>
        <w:pStyle w:val="QALabel"/>
      </w:pPr>
      <w:r>
        <w:t>研究方向</w:t>
      </w:r>
    </w:p>
    <w:p w14:paraId="04F8F249" w14:textId="77777777" w:rsidR="007B5C49" w:rsidRDefault="00000000">
      <w:pPr>
        <w:pStyle w:val="ListBullet"/>
        <w:spacing w:after="80" w:line="288" w:lineRule="auto"/>
        <w:ind w:left="403" w:hanging="259"/>
      </w:pPr>
      <w:r>
        <w:t>比较传统托管、云区域、AI训练与推理节点对网络和电力的不同权重。</w:t>
      </w:r>
    </w:p>
    <w:p w14:paraId="5D739F27" w14:textId="77777777" w:rsidR="007B5C49" w:rsidRDefault="00000000">
      <w:pPr>
        <w:pStyle w:val="ListBullet"/>
        <w:spacing w:after="80" w:line="288" w:lineRule="auto"/>
        <w:ind w:left="403" w:hanging="259"/>
      </w:pPr>
      <w:r>
        <w:t>用1GW园区的年度电量与延迟成本说明time-to-power的经济性。</w:t>
      </w:r>
    </w:p>
    <w:p w14:paraId="37AD83B2" w14:textId="77777777" w:rsidR="007B5C49" w:rsidRDefault="00000000">
      <w:pPr>
        <w:pStyle w:val="ListBullet"/>
        <w:spacing w:after="80" w:line="288" w:lineRule="auto"/>
        <w:ind w:left="403" w:hanging="259"/>
      </w:pPr>
      <w:r>
        <w:t>建立可用于后续地区筛选的指标体系，而不是只列项目新闻。</w:t>
      </w:r>
    </w:p>
    <w:p w14:paraId="16A2060E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436987A7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60CEF803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7F0D7C61" w14:textId="77777777" w:rsidR="007B5C49" w:rsidRDefault="00000000">
            <w:pPr>
              <w:spacing w:after="0" w:line="288" w:lineRule="auto"/>
            </w:pPr>
            <w:r>
              <w:t>AI训练把单项目负荷从几十MW推到数百MW乃至GW，网络可以通过专线补建，连续电力却必须在当地真实存在。对1GW IT负载，按PUE 1.2计算，满负荷年取电约10.5TWh；推迟一年意味着价值巨大的芯片和云合同无法产生收入。因此可通电日期往往比土地价格和都市距离更重要。</w:t>
            </w:r>
          </w:p>
        </w:tc>
      </w:tr>
    </w:tbl>
    <w:p w14:paraId="4285F998" w14:textId="77777777" w:rsidR="007B5C49" w:rsidRDefault="007B5C49">
      <w:pPr>
        <w:spacing w:after="40"/>
      </w:pPr>
    </w:p>
    <w:p w14:paraId="28C51396" w14:textId="77777777" w:rsidR="007B5C49" w:rsidRDefault="00000000">
      <w:pPr>
        <w:pStyle w:val="QALabel"/>
      </w:pPr>
      <w:r>
        <w:t>详细支撑</w:t>
      </w:r>
    </w:p>
    <w:p w14:paraId="2B8D3364" w14:textId="77777777" w:rsidR="007B5C49" w:rsidRDefault="00000000">
      <w:pPr>
        <w:pStyle w:val="Heading2"/>
      </w:pPr>
      <w:r>
        <w:t>1. 1GW</w:t>
      </w:r>
      <w:r>
        <w:t>不是一个抽象数字，而是大型工业负荷</w:t>
      </w:r>
    </w:p>
    <w:p w14:paraId="62F94B42" w14:textId="77777777" w:rsidR="007B5C49" w:rsidRDefault="00000000">
      <w:r>
        <w:t>1GW IT负载若全年满负荷运行，服务器本身消耗8.76TWh；按PUE 1.2计入冷却和配电损耗，园区总电量约10.51TWh。该计算是工程情景：实际利用率、PUE和分期通电会改变结果，但它说明1GW园区相当于大型工业集群，而不是普通商业建筑。</w:t>
      </w:r>
    </w:p>
    <w:p w14:paraId="10C90B34" w14:textId="77777777" w:rsidR="007B5C49" w:rsidRDefault="00000000">
      <w:r>
        <w:t>IEA称全球数据中心2024年消耗约415TWh，占全球用电1.5%，2030年可能增至945TWh。美国DOE则估计其国内份额由2023年4.4%升至2028年6.7%—12%，对应325—580TWh。全球与美国预测不可相加，但都表明局部市场会先于全国总量出现瓶颈。</w:t>
      </w:r>
    </w:p>
    <w:p w14:paraId="0BBF96C5" w14:textId="77777777" w:rsidR="007B5C49" w:rsidRDefault="00000000">
      <w:pPr>
        <w:pStyle w:val="Heading2"/>
      </w:pPr>
      <w:r>
        <w:t xml:space="preserve">2. </w:t>
      </w:r>
      <w:r>
        <w:t>训练、推理、云区域和企业托管的选址权重不同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300"/>
        <w:gridCol w:w="1900"/>
        <w:gridCol w:w="2400"/>
        <w:gridCol w:w="2100"/>
      </w:tblGrid>
      <w:tr w:rsidR="007B5C49" w14:paraId="6DB31AC9" w14:textId="77777777">
        <w:trPr>
          <w:tblHeader/>
          <w:jc w:val="center"/>
        </w:trPr>
        <w:tc>
          <w:tcPr>
            <w:tcW w:w="1900" w:type="dxa"/>
            <w:shd w:val="clear" w:color="auto" w:fill="D9EAF7"/>
          </w:tcPr>
          <w:p w14:paraId="5007C4FA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工作负载</w:t>
            </w:r>
          </w:p>
        </w:tc>
        <w:tc>
          <w:tcPr>
            <w:tcW w:w="2300" w:type="dxa"/>
            <w:shd w:val="clear" w:color="auto" w:fill="D9EAF7"/>
          </w:tcPr>
          <w:p w14:paraId="551C9A9D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第一约束</w:t>
            </w:r>
          </w:p>
        </w:tc>
        <w:tc>
          <w:tcPr>
            <w:tcW w:w="1900" w:type="dxa"/>
            <w:shd w:val="clear" w:color="auto" w:fill="D9EAF7"/>
          </w:tcPr>
          <w:p w14:paraId="4564532D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网络/时延</w:t>
            </w:r>
          </w:p>
        </w:tc>
        <w:tc>
          <w:tcPr>
            <w:tcW w:w="2400" w:type="dxa"/>
            <w:shd w:val="clear" w:color="auto" w:fill="D9EAF7"/>
          </w:tcPr>
          <w:p w14:paraId="34D7AC88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典型区位</w:t>
            </w:r>
          </w:p>
        </w:tc>
        <w:tc>
          <w:tcPr>
            <w:tcW w:w="2100" w:type="dxa"/>
            <w:shd w:val="clear" w:color="auto" w:fill="D9EAF7"/>
          </w:tcPr>
          <w:p w14:paraId="5102A650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电力策略</w:t>
            </w:r>
          </w:p>
        </w:tc>
      </w:tr>
      <w:tr w:rsidR="007B5C49" w14:paraId="4F02B544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0B17750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前沿AI训练</w:t>
            </w:r>
          </w:p>
        </w:tc>
        <w:tc>
          <w:tcPr>
            <w:tcW w:w="2300" w:type="dxa"/>
            <w:vAlign w:val="center"/>
          </w:tcPr>
          <w:p w14:paraId="1DF23A1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连续大块电力与集群网络</w:t>
            </w:r>
          </w:p>
        </w:tc>
        <w:tc>
          <w:tcPr>
            <w:tcW w:w="1900" w:type="dxa"/>
            <w:vAlign w:val="center"/>
          </w:tcPr>
          <w:p w14:paraId="70AB009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外部用户时延较低权重</w:t>
            </w:r>
          </w:p>
        </w:tc>
        <w:tc>
          <w:tcPr>
            <w:tcW w:w="2400" w:type="dxa"/>
            <w:vAlign w:val="center"/>
          </w:tcPr>
          <w:p w14:paraId="6B43375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能源型偏远大园区</w:t>
            </w:r>
          </w:p>
        </w:tc>
        <w:tc>
          <w:tcPr>
            <w:tcW w:w="2100" w:type="dxa"/>
            <w:vAlign w:val="center"/>
          </w:tcPr>
          <w:p w14:paraId="0CAFCAC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自建变电站、PPA、表后桥接</w:t>
            </w:r>
          </w:p>
        </w:tc>
      </w:tr>
      <w:tr w:rsidR="007B5C49" w14:paraId="1822D262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35F0D96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大规模AI推理</w:t>
            </w:r>
          </w:p>
        </w:tc>
        <w:tc>
          <w:tcPr>
            <w:tcW w:w="2300" w:type="dxa"/>
            <w:vAlign w:val="center"/>
          </w:tcPr>
          <w:p w14:paraId="73D12D3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电力+区域用户时延</w:t>
            </w:r>
          </w:p>
        </w:tc>
        <w:tc>
          <w:tcPr>
            <w:tcW w:w="1900" w:type="dxa"/>
            <w:vAlign w:val="center"/>
          </w:tcPr>
          <w:p w14:paraId="3AC181C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中高权重</w:t>
            </w:r>
          </w:p>
        </w:tc>
        <w:tc>
          <w:tcPr>
            <w:tcW w:w="2400" w:type="dxa"/>
            <w:vAlign w:val="center"/>
          </w:tcPr>
          <w:p w14:paraId="2C9CC2D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区域中心+都市节点</w:t>
            </w:r>
          </w:p>
        </w:tc>
        <w:tc>
          <w:tcPr>
            <w:tcW w:w="2100" w:type="dxa"/>
            <w:vAlign w:val="center"/>
          </w:tcPr>
          <w:p w14:paraId="14EB0B7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区域电网、多站点调度</w:t>
            </w:r>
          </w:p>
        </w:tc>
      </w:tr>
      <w:tr w:rsidR="007B5C49" w14:paraId="226EE323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0AEDB56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传统公有云</w:t>
            </w:r>
          </w:p>
        </w:tc>
        <w:tc>
          <w:tcPr>
            <w:tcW w:w="2300" w:type="dxa"/>
            <w:vAlign w:val="center"/>
          </w:tcPr>
          <w:p w14:paraId="5C54BB9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客户覆盖与可用区</w:t>
            </w:r>
          </w:p>
        </w:tc>
        <w:tc>
          <w:tcPr>
            <w:tcW w:w="1900" w:type="dxa"/>
            <w:vAlign w:val="center"/>
          </w:tcPr>
          <w:p w14:paraId="39AD1F7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高权重</w:t>
            </w:r>
          </w:p>
        </w:tc>
        <w:tc>
          <w:tcPr>
            <w:tcW w:w="2400" w:type="dxa"/>
            <w:vAlign w:val="center"/>
          </w:tcPr>
          <w:p w14:paraId="419C038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成熟核心市场</w:t>
            </w:r>
          </w:p>
        </w:tc>
        <w:tc>
          <w:tcPr>
            <w:tcW w:w="2100" w:type="dxa"/>
            <w:vAlign w:val="center"/>
          </w:tcPr>
          <w:p w14:paraId="193F09F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电网主供、多区域冗余</w:t>
            </w:r>
          </w:p>
        </w:tc>
      </w:tr>
      <w:tr w:rsidR="007B5C49" w14:paraId="70D8F553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130C805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企业托管/互联</w:t>
            </w:r>
          </w:p>
        </w:tc>
        <w:tc>
          <w:tcPr>
            <w:tcW w:w="2300" w:type="dxa"/>
            <w:vAlign w:val="center"/>
          </w:tcPr>
          <w:p w14:paraId="61A4868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运营商与云互联</w:t>
            </w:r>
          </w:p>
        </w:tc>
        <w:tc>
          <w:tcPr>
            <w:tcW w:w="1900" w:type="dxa"/>
            <w:vAlign w:val="center"/>
          </w:tcPr>
          <w:p w14:paraId="7FC9218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最高权重之一</w:t>
            </w:r>
          </w:p>
        </w:tc>
        <w:tc>
          <w:tcPr>
            <w:tcW w:w="2400" w:type="dxa"/>
            <w:vAlign w:val="center"/>
          </w:tcPr>
          <w:p w14:paraId="6219603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都市网络枢纽</w:t>
            </w:r>
          </w:p>
        </w:tc>
        <w:tc>
          <w:tcPr>
            <w:tcW w:w="2100" w:type="dxa"/>
            <w:vAlign w:val="center"/>
          </w:tcPr>
          <w:p w14:paraId="028CDBC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较小功率、可靠性溢价</w:t>
            </w:r>
          </w:p>
        </w:tc>
      </w:tr>
    </w:tbl>
    <w:p w14:paraId="4E4877A7" w14:textId="77777777" w:rsidR="007B5C49" w:rsidRDefault="007B5C49">
      <w:pPr>
        <w:spacing w:after="40"/>
      </w:pPr>
    </w:p>
    <w:p w14:paraId="4D230DDF" w14:textId="77777777" w:rsidR="007B5C49" w:rsidRDefault="00000000">
      <w:r>
        <w:lastRenderedPageBreak/>
        <w:t>训练集群内部需要极强网络，但对最终用户的城际时延相对不敏感，所以可以用长途光纤换取更快通电。推理需要靠近用户、数据和企业系统，仍保留都市与区域节点。结论不是“网络不重要”，而是训练园区的外部区位权重从网络中心转向电力中心。</w:t>
      </w:r>
    </w:p>
    <w:p w14:paraId="54D7F36F" w14:textId="77777777" w:rsidR="007B5C49" w:rsidRDefault="00000000">
      <w:pPr>
        <w:pStyle w:val="Heading2"/>
      </w:pPr>
      <w:r>
        <w:t>3. time-to-power</w:t>
      </w:r>
      <w:r>
        <w:t>必须写成具体日期和可信层级</w:t>
      </w:r>
    </w:p>
    <w:p w14:paraId="7BA2D7D7" w14:textId="77777777" w:rsidR="007B5C49" w:rsidRDefault="00000000">
      <w:r>
        <w:t>研究项目时不能只写“已获得1GW电力”。应依次问：电源是否运行；输电和变电升级是否获批；长周期设备是否下单；公用事业是否给出正式通电日期；是否允许分期；首期MW和远期end-state分别是多少。只有完成调试的energized MW能计入当期供给。</w:t>
      </w:r>
    </w:p>
    <w:p w14:paraId="313F503D" w14:textId="77777777" w:rsidR="007B5C49" w:rsidRDefault="00000000">
      <w:r>
        <w:t>FERC 2026年6月直接把speed-to-power作为六大区域电网规则改革目标；ERCOT引入Batch Zero，也是在项目数量超过逐个研究能力后重新确定可承载地点。监管改革确认了time-to-power的重要性，但不会消除工程约束。</w:t>
      </w:r>
    </w:p>
    <w:p w14:paraId="64F5F4AC" w14:textId="77777777" w:rsidR="007B5C49" w:rsidRDefault="00000000">
      <w:pPr>
        <w:pStyle w:val="Heading2"/>
      </w:pPr>
      <w:r>
        <w:t xml:space="preserve">4. </w:t>
      </w:r>
      <w:r>
        <w:t>表后供电把速度优势变成新的选址变量</w:t>
      </w:r>
    </w:p>
    <w:p w14:paraId="4AB85362" w14:textId="77777777" w:rsidR="007B5C49" w:rsidRDefault="00000000">
      <w:r>
        <w:t>燃料电池可模块化交付，Bloom称Oracle首个系统55天投运；天然气微网可在输电升级前形成桥接。于是开发商除了比较电价，也会比较燃气管道、空气许可和现场发电设备槽位。土地旁有高压线但没有变电容量，不如一块可在两年内获得可靠表后电源的土地。</w:t>
      </w:r>
    </w:p>
    <w:p w14:paraId="1C63BBD5" w14:textId="77777777" w:rsidR="007B5C49" w:rsidRDefault="00000000">
      <w:r>
        <w:t>但表后路线会带来更高资本成本、燃料风险、排放和社区阻力。它适合高价值AI负载的早期阶段，不一定是长期最低成本方案。成熟园区常采用“现场电源先行—电网分期接入—清洁电源逐步替代”的时间组合。</w:t>
      </w:r>
    </w:p>
    <w:p w14:paraId="39299D11" w14:textId="77777777" w:rsidR="007B5C49" w:rsidRDefault="00000000">
      <w:pPr>
        <w:pStyle w:val="Heading2"/>
      </w:pPr>
      <w:r>
        <w:t xml:space="preserve">5. </w:t>
      </w:r>
      <w:r>
        <w:t>区位评价应从静态成本转为交付概率</w:t>
      </w:r>
    </w:p>
    <w:p w14:paraId="0C7B61FB" w14:textId="77777777" w:rsidR="007B5C49" w:rsidRDefault="00000000">
      <w:r>
        <w:t>建议给每个园区建立六项评分：首期可交付MW与日期、远期可扩容性、电源和燃料多样性、输变电设备锁定情况、网络与时延、许可和社区风险。土地价格和税收优惠放在第二层。对高价值GPU，早12个月上线通常比每亩土地便宜多少更重要。</w:t>
      </w:r>
    </w:p>
    <w:p w14:paraId="746A94A0" w14:textId="77777777" w:rsidR="007B5C49" w:rsidRDefault="00000000">
      <w:r>
        <w:t>这也解释新市场兴起：Abilene等地能提供大块土地、燃气与分期电力，适合训练；北弗吉尼亚仍凭网络、客户和生态承载云与推理，但0.3%空置率和输电约束使新增大训练园区更难。未来格局会是能源型训练中心与都市推理/互联中心并存。</w:t>
      </w:r>
    </w:p>
    <w:p w14:paraId="37D4B20A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42A59BE1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75BF0378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区位逻辑变化</w:t>
            </w:r>
          </w:p>
          <w:p w14:paraId="3BF50AA1" w14:textId="77777777" w:rsidR="007B5C49" w:rsidRDefault="00000000">
            <w:pPr>
              <w:spacing w:after="0" w:line="288" w:lineRule="auto"/>
            </w:pPr>
            <w:r>
              <w:t>AI机柜密度和园区规模上升 → 单项目电力从几十MW升至数百MW/GW → 成熟市场无法在同一日期交付连续电力 → 开发商转向能源型地区或表后供电 → 光纤补建连接训练园区 → 推理和企业互联仍留在都市节点 → 全球网络形成“集中训练、区域推理、都市互联”。</w:t>
            </w:r>
          </w:p>
        </w:tc>
      </w:tr>
    </w:tbl>
    <w:p w14:paraId="6659D4F6" w14:textId="77777777" w:rsidR="007B5C49" w:rsidRDefault="007B5C49">
      <w:pPr>
        <w:spacing w:after="40"/>
      </w:pPr>
    </w:p>
    <w:p w14:paraId="1F4BD37C" w14:textId="77777777" w:rsidR="007B5C49" w:rsidRDefault="00000000">
      <w:pPr>
        <w:pStyle w:val="QALabel"/>
      </w:pPr>
      <w:r>
        <w:t>来源</w:t>
      </w:r>
    </w:p>
    <w:p w14:paraId="3AFD0806" w14:textId="77777777" w:rsidR="007B5C49" w:rsidRDefault="00000000">
      <w:pPr>
        <w:spacing w:after="80"/>
        <w:ind w:left="360" w:hanging="288"/>
      </w:pPr>
      <w:r>
        <w:rPr>
          <w:b/>
        </w:rPr>
        <w:t>• IEA｜Energy and AI executive summary</w:t>
      </w:r>
      <w:r>
        <w:t>：415TWh至945TWh</w:t>
      </w:r>
      <w:r>
        <w:rPr>
          <w:color w:val="1F4E79"/>
        </w:rPr>
        <w:br/>
        <w:t>https://www.iea.org/reports/energy-and-ai/executive-summary%C2%A0</w:t>
      </w:r>
    </w:p>
    <w:p w14:paraId="1829AF11" w14:textId="77777777" w:rsidR="007B5C49" w:rsidRDefault="00000000">
      <w:pPr>
        <w:spacing w:after="80"/>
        <w:ind w:left="360" w:hanging="288"/>
      </w:pPr>
      <w:r>
        <w:rPr>
          <w:b/>
        </w:rPr>
        <w:lastRenderedPageBreak/>
        <w:t>• DOE/LBNL｜US Data Center Energy Use</w:t>
      </w:r>
      <w:r>
        <w:t>：176TWh至325—580TWh</w:t>
      </w:r>
      <w:r>
        <w:rPr>
          <w:color w:val="1F4E79"/>
        </w:rPr>
        <w:br/>
        <w:t>https://www.energy.gov/articles/doe-releases-new-report-evaluating-increase-electricity-demand-from-data-centers</w:t>
      </w:r>
    </w:p>
    <w:p w14:paraId="122DCD56" w14:textId="77777777" w:rsidR="007B5C49" w:rsidRDefault="00000000">
      <w:pPr>
        <w:spacing w:after="80"/>
        <w:ind w:left="360" w:hanging="288"/>
      </w:pPr>
      <w:r>
        <w:rPr>
          <w:b/>
        </w:rPr>
        <w:t>• FERC｜Targeted action on large loads</w:t>
      </w:r>
      <w:r>
        <w:t>：speed-to-power与区域改革</w:t>
      </w:r>
      <w:r>
        <w:rPr>
          <w:color w:val="1F4E79"/>
        </w:rPr>
        <w:br/>
        <w:t>https://www.ferc.gov/news-events/news/ferc-launches-aggressive-targeted-action-speed-large-load-integration</w:t>
      </w:r>
    </w:p>
    <w:p w14:paraId="022B0B87" w14:textId="77777777" w:rsidR="007B5C49" w:rsidRDefault="00000000">
      <w:pPr>
        <w:spacing w:after="80"/>
        <w:ind w:left="360" w:hanging="288"/>
      </w:pPr>
      <w:r>
        <w:rPr>
          <w:b/>
        </w:rPr>
        <w:t>• ERCOT/PUCT｜Batch Zero</w:t>
      </w:r>
      <w:r>
        <w:t>：批量确定可承载负荷</w:t>
      </w:r>
      <w:r>
        <w:rPr>
          <w:color w:val="1F4E79"/>
        </w:rPr>
        <w:br/>
        <w:t>https://www.ercot.com/news/release/06182026-puct-approves-ercots</w:t>
      </w:r>
    </w:p>
    <w:p w14:paraId="4865DEC2" w14:textId="77777777" w:rsidR="007B5C49" w:rsidRDefault="00000000">
      <w:pPr>
        <w:spacing w:after="80"/>
        <w:ind w:left="360" w:hanging="288"/>
      </w:pPr>
      <w:r>
        <w:rPr>
          <w:b/>
        </w:rPr>
        <w:t>• Bloom Energy｜Oracle 2.8GW framework</w:t>
      </w:r>
      <w:r>
        <w:t>：55天现场供电实例</w:t>
      </w:r>
      <w:r>
        <w:rPr>
          <w:color w:val="1F4E79"/>
        </w:rPr>
        <w:br/>
        <w:t>https://www.bloomenergy.com/news/bloom-energy-and-oracle-expand-strategic-partnership-to-deploy-up-to-2.8-gw-to-accelerate-ai-infrastructure-build-out/</w:t>
      </w:r>
    </w:p>
    <w:p w14:paraId="071F9279" w14:textId="77777777" w:rsidR="007B5C49" w:rsidRDefault="00000000">
      <w:pPr>
        <w:pStyle w:val="Heading1"/>
        <w:pageBreakBefore/>
      </w:pPr>
      <w:r>
        <w:lastRenderedPageBreak/>
        <w:t>Q16</w:t>
      </w:r>
      <w:r>
        <w:t>：传统数据中心与</w:t>
      </w:r>
      <w:r>
        <w:t>AI</w:t>
      </w:r>
      <w:r>
        <w:t>数据中心为什么选址逻辑不同？</w:t>
      </w:r>
    </w:p>
    <w:p w14:paraId="6142D5D7" w14:textId="77777777" w:rsidR="007B5C49" w:rsidRDefault="00000000">
      <w:pPr>
        <w:pStyle w:val="QALabel"/>
      </w:pPr>
      <w:r>
        <w:t>通俗问题</w:t>
      </w:r>
    </w:p>
    <w:p w14:paraId="5C12878C" w14:textId="77777777" w:rsidR="007B5C49" w:rsidRDefault="00000000">
      <w:r>
        <w:t>过去机房都围着大城市、光纤和客户建，为什么AI训练园区越来越多地出现在Abilene、Richland Parish等非传统地点？</w:t>
      </w:r>
    </w:p>
    <w:p w14:paraId="4DE6FC05" w14:textId="77777777" w:rsidR="007B5C49" w:rsidRDefault="00000000">
      <w:pPr>
        <w:pStyle w:val="QALabel"/>
      </w:pPr>
      <w:r>
        <w:t>主要研究（专业）</w:t>
      </w:r>
    </w:p>
    <w:p w14:paraId="315F36D1" w14:textId="77777777" w:rsidR="007B5C49" w:rsidRDefault="00000000">
      <w:r>
        <w:t>不同工作负载的区位权重、土地与电力耦合、网络时延、园区扩展和社区条件。</w:t>
      </w:r>
    </w:p>
    <w:p w14:paraId="2CC6B217" w14:textId="77777777" w:rsidR="007B5C49" w:rsidRDefault="00000000">
      <w:pPr>
        <w:pStyle w:val="QALabel"/>
      </w:pPr>
      <w:r>
        <w:t>研究方向</w:t>
      </w:r>
    </w:p>
    <w:p w14:paraId="5DAADEBE" w14:textId="77777777" w:rsidR="007B5C49" w:rsidRDefault="00000000">
      <w:pPr>
        <w:pStyle w:val="ListBullet"/>
        <w:spacing w:after="80" w:line="288" w:lineRule="auto"/>
        <w:ind w:left="403" w:hanging="259"/>
      </w:pPr>
      <w:r>
        <w:t>比较企业托管、传统公有云、AI训练和AI推理的区位约束。</w:t>
      </w:r>
    </w:p>
    <w:p w14:paraId="7F2FF650" w14:textId="77777777" w:rsidR="007B5C49" w:rsidRDefault="00000000">
      <w:pPr>
        <w:pStyle w:val="ListBullet"/>
        <w:spacing w:after="80" w:line="288" w:lineRule="auto"/>
        <w:ind w:left="403" w:hanging="259"/>
      </w:pPr>
      <w:r>
        <w:t>核对Abilene、Meta Hyperion与Microsoft Wisconsin的具体规模和交付状态。</w:t>
      </w:r>
    </w:p>
    <w:p w14:paraId="6E094C5A" w14:textId="77777777" w:rsidR="007B5C49" w:rsidRDefault="00000000">
      <w:pPr>
        <w:pStyle w:val="ListBullet"/>
        <w:spacing w:after="80" w:line="288" w:lineRule="auto"/>
        <w:ind w:left="403" w:hanging="259"/>
      </w:pPr>
      <w:r>
        <w:t>解释“电力优先”为什么不等于网络、人才和政策不重要。</w:t>
      </w:r>
    </w:p>
    <w:p w14:paraId="75C30B1C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6B720C8B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568E1919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2465AB86" w14:textId="77777777" w:rsidR="007B5C49" w:rsidRDefault="00000000">
            <w:pPr>
              <w:spacing w:after="0" w:line="288" w:lineRule="auto"/>
            </w:pPr>
            <w:r>
              <w:t>传统托管和云区域首先追求客户、互联与多可用区；前沿训练首先追求某个日期可交付的数百MW/GW电力、可扩土地和许可速度。AI推理介于两者之间。于是训练向能源型大园区迁移，推理和企业互联仍留在都市节点，形成“训练远端集中、推理区域分布、互联都市集聚”。</w:t>
            </w:r>
          </w:p>
        </w:tc>
      </w:tr>
    </w:tbl>
    <w:p w14:paraId="11581AAC" w14:textId="77777777" w:rsidR="007B5C49" w:rsidRDefault="007B5C49">
      <w:pPr>
        <w:spacing w:after="40"/>
      </w:pPr>
    </w:p>
    <w:p w14:paraId="7C03FACB" w14:textId="77777777" w:rsidR="007B5C49" w:rsidRDefault="00000000">
      <w:pPr>
        <w:pStyle w:val="QALabel"/>
      </w:pPr>
      <w:r>
        <w:t>详细支撑</w:t>
      </w:r>
    </w:p>
    <w:p w14:paraId="3FB9346F" w14:textId="77777777" w:rsidR="007B5C49" w:rsidRDefault="00000000">
      <w:pPr>
        <w:pStyle w:val="Heading2"/>
      </w:pPr>
      <w:r>
        <w:t xml:space="preserve">1. </w:t>
      </w:r>
      <w:r>
        <w:t>四类工作负载对应四套区位权重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300"/>
        <w:gridCol w:w="2200"/>
        <w:gridCol w:w="2300"/>
        <w:gridCol w:w="1900"/>
      </w:tblGrid>
      <w:tr w:rsidR="007B5C49" w14:paraId="2B33315D" w14:textId="77777777">
        <w:trPr>
          <w:tblHeader/>
          <w:jc w:val="center"/>
        </w:trPr>
        <w:tc>
          <w:tcPr>
            <w:tcW w:w="1900" w:type="dxa"/>
            <w:shd w:val="clear" w:color="auto" w:fill="D9EAF7"/>
          </w:tcPr>
          <w:p w14:paraId="3F1D5560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工作负载</w:t>
            </w:r>
          </w:p>
        </w:tc>
        <w:tc>
          <w:tcPr>
            <w:tcW w:w="2300" w:type="dxa"/>
            <w:shd w:val="clear" w:color="auto" w:fill="D9EAF7"/>
          </w:tcPr>
          <w:p w14:paraId="63610F8D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第一约束</w:t>
            </w:r>
          </w:p>
        </w:tc>
        <w:tc>
          <w:tcPr>
            <w:tcW w:w="2200" w:type="dxa"/>
            <w:shd w:val="clear" w:color="auto" w:fill="D9EAF7"/>
          </w:tcPr>
          <w:p w14:paraId="1D9E7F99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土地/电力规模</w:t>
            </w:r>
          </w:p>
        </w:tc>
        <w:tc>
          <w:tcPr>
            <w:tcW w:w="2300" w:type="dxa"/>
            <w:shd w:val="clear" w:color="auto" w:fill="D9EAF7"/>
          </w:tcPr>
          <w:p w14:paraId="6491CF38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网络与客户距离</w:t>
            </w:r>
          </w:p>
        </w:tc>
        <w:tc>
          <w:tcPr>
            <w:tcW w:w="1900" w:type="dxa"/>
            <w:shd w:val="clear" w:color="auto" w:fill="D9EAF7"/>
          </w:tcPr>
          <w:p w14:paraId="48C791DA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典型选址</w:t>
            </w:r>
          </w:p>
        </w:tc>
      </w:tr>
      <w:tr w:rsidR="007B5C49" w14:paraId="536C79BC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65F9761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企业托管/互联</w:t>
            </w:r>
          </w:p>
        </w:tc>
        <w:tc>
          <w:tcPr>
            <w:tcW w:w="2300" w:type="dxa"/>
            <w:vAlign w:val="center"/>
          </w:tcPr>
          <w:p w14:paraId="2E34C1E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运营商、云和企业连接</w:t>
            </w:r>
          </w:p>
        </w:tc>
        <w:tc>
          <w:tcPr>
            <w:tcW w:w="2200" w:type="dxa"/>
            <w:vAlign w:val="center"/>
          </w:tcPr>
          <w:p w14:paraId="39006BF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数百kW至数十MW</w:t>
            </w:r>
          </w:p>
        </w:tc>
        <w:tc>
          <w:tcPr>
            <w:tcW w:w="2300" w:type="dxa"/>
            <w:vAlign w:val="center"/>
          </w:tcPr>
          <w:p w14:paraId="603A34B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最高权重</w:t>
            </w:r>
          </w:p>
        </w:tc>
        <w:tc>
          <w:tcPr>
            <w:tcW w:w="1900" w:type="dxa"/>
            <w:vAlign w:val="center"/>
          </w:tcPr>
          <w:p w14:paraId="3405892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都市网络枢纽</w:t>
            </w:r>
          </w:p>
        </w:tc>
      </w:tr>
      <w:tr w:rsidR="007B5C49" w14:paraId="233786AD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0386FAD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传统公有云区域</w:t>
            </w:r>
          </w:p>
        </w:tc>
        <w:tc>
          <w:tcPr>
            <w:tcW w:w="2300" w:type="dxa"/>
            <w:vAlign w:val="center"/>
          </w:tcPr>
          <w:p w14:paraId="6C51BFE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客户覆盖、合规和可用区</w:t>
            </w:r>
          </w:p>
        </w:tc>
        <w:tc>
          <w:tcPr>
            <w:tcW w:w="2200" w:type="dxa"/>
            <w:vAlign w:val="center"/>
          </w:tcPr>
          <w:p w14:paraId="173BEAC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数十至数百MW</w:t>
            </w:r>
          </w:p>
        </w:tc>
        <w:tc>
          <w:tcPr>
            <w:tcW w:w="2300" w:type="dxa"/>
            <w:vAlign w:val="center"/>
          </w:tcPr>
          <w:p w14:paraId="70AB3A8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高权重</w:t>
            </w:r>
          </w:p>
        </w:tc>
        <w:tc>
          <w:tcPr>
            <w:tcW w:w="1900" w:type="dxa"/>
            <w:vAlign w:val="center"/>
          </w:tcPr>
          <w:p w14:paraId="73F1EDA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成熟核心市场周边</w:t>
            </w:r>
          </w:p>
        </w:tc>
      </w:tr>
      <w:tr w:rsidR="007B5C49" w14:paraId="14916BEC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24364E5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前沿AI训练</w:t>
            </w:r>
          </w:p>
        </w:tc>
        <w:tc>
          <w:tcPr>
            <w:tcW w:w="2300" w:type="dxa"/>
            <w:vAlign w:val="center"/>
          </w:tcPr>
          <w:p w14:paraId="526797D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连续大块电力与集群扩展</w:t>
            </w:r>
          </w:p>
        </w:tc>
        <w:tc>
          <w:tcPr>
            <w:tcW w:w="2200" w:type="dxa"/>
            <w:vAlign w:val="center"/>
          </w:tcPr>
          <w:p w14:paraId="6B38530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数百MW至多GW</w:t>
            </w:r>
          </w:p>
        </w:tc>
        <w:tc>
          <w:tcPr>
            <w:tcW w:w="2300" w:type="dxa"/>
            <w:vAlign w:val="center"/>
          </w:tcPr>
          <w:p w14:paraId="6AD69B3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外部时延权重较低</w:t>
            </w:r>
          </w:p>
        </w:tc>
        <w:tc>
          <w:tcPr>
            <w:tcW w:w="1900" w:type="dxa"/>
            <w:vAlign w:val="center"/>
          </w:tcPr>
          <w:p w14:paraId="460DA57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能源型偏远大园区</w:t>
            </w:r>
          </w:p>
        </w:tc>
      </w:tr>
      <w:tr w:rsidR="007B5C49" w14:paraId="6109DE80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29E5FE3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AI推理</w:t>
            </w:r>
          </w:p>
        </w:tc>
        <w:tc>
          <w:tcPr>
            <w:tcW w:w="2300" w:type="dxa"/>
            <w:vAlign w:val="center"/>
          </w:tcPr>
          <w:p w14:paraId="7756A11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电力、时延和数据接入平衡</w:t>
            </w:r>
          </w:p>
        </w:tc>
        <w:tc>
          <w:tcPr>
            <w:tcW w:w="2200" w:type="dxa"/>
            <w:vAlign w:val="center"/>
          </w:tcPr>
          <w:p w14:paraId="516F5ED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区域级数十至数百MW</w:t>
            </w:r>
          </w:p>
        </w:tc>
        <w:tc>
          <w:tcPr>
            <w:tcW w:w="2300" w:type="dxa"/>
            <w:vAlign w:val="center"/>
          </w:tcPr>
          <w:p w14:paraId="3895B29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中高权重</w:t>
            </w:r>
          </w:p>
        </w:tc>
        <w:tc>
          <w:tcPr>
            <w:tcW w:w="1900" w:type="dxa"/>
            <w:vAlign w:val="center"/>
          </w:tcPr>
          <w:p w14:paraId="61F076C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区域中心+都市节点</w:t>
            </w:r>
          </w:p>
        </w:tc>
      </w:tr>
    </w:tbl>
    <w:p w14:paraId="52A9BA67" w14:textId="77777777" w:rsidR="007B5C49" w:rsidRDefault="007B5C49">
      <w:pPr>
        <w:spacing w:after="40"/>
      </w:pPr>
    </w:p>
    <w:p w14:paraId="5460DC74" w14:textId="77777777" w:rsidR="007B5C49" w:rsidRDefault="00000000">
      <w:r>
        <w:t>训练集群内部网络要求极高，但训练任务不需要每次都在几毫秒内响应终端用户，因此可以用长途光纤换取更快通电。企业互联和在线推理必须靠近数据、运营商与用户，不能全部迁往偏远地区。研究时应把“集群内部网络”和“园区到用户的外部时延”分开。</w:t>
      </w:r>
    </w:p>
    <w:p w14:paraId="22F64295" w14:textId="77777777" w:rsidR="007B5C49" w:rsidRDefault="00000000">
      <w:pPr>
        <w:pStyle w:val="Heading2"/>
      </w:pPr>
      <w:r>
        <w:t>2. Abilene</w:t>
      </w:r>
      <w:r>
        <w:t>说明能源型选址如何把项目做到</w:t>
      </w:r>
      <w:r>
        <w:t>GW</w:t>
      </w:r>
      <w:r>
        <w:t>级</w:t>
      </w:r>
    </w:p>
    <w:p w14:paraId="5C650BF1" w14:textId="77777777" w:rsidR="007B5C49" w:rsidRDefault="00000000">
      <w:r>
        <w:t>Crusoe在Abilene的第一套园区由2024年6月开工的两栋、200MW+起步，扩至八栋、约400万平方英尺和1.2GW；相关第二阶段合资规模约150亿美元。2026年3月又宣布为Microsoft开发相邻900MW园区，包含两栋建筑和现场电厂，使整个地点远期合计约2.1GW。1.2GW和900MW是两个相邻项目，不能把后者重复纳入前者。</w:t>
      </w:r>
    </w:p>
    <w:p w14:paraId="2B881723" w14:textId="77777777" w:rsidR="007B5C49" w:rsidRDefault="00000000">
      <w:r>
        <w:lastRenderedPageBreak/>
        <w:t>Abilene的优势不是离用户最近，而是土地可连片开发、能够配置现场电源、许可和施工速度快。第一批两栋已在一年内通电；后续1.2GW分期和Microsoft 900MW仍要按各自交付节点跟踪。媒体常把“全地点2.1GW”写成已运行容量，这会把建设期和远期容量提前确认。</w:t>
      </w:r>
    </w:p>
    <w:p w14:paraId="1EEC537D" w14:textId="77777777" w:rsidR="007B5C49" w:rsidRDefault="00000000">
      <w:pPr>
        <w:pStyle w:val="Heading2"/>
      </w:pPr>
      <w:r>
        <w:t>3. Meta Hyperion</w:t>
      </w:r>
      <w:r>
        <w:t>说明土地、资本和社区基础设施必须同步</w:t>
      </w:r>
    </w:p>
    <w:p w14:paraId="6B4B979B" w14:textId="77777777" w:rsidR="007B5C49" w:rsidRDefault="00000000">
      <w:r>
        <w:t>Meta的Richland Parish园区规划形成5GW计算容量，约400万平方英尺。2025年Meta与Blue Owl设立合资，建筑及长期电力、冷却、连接基础设施总开发成本约270亿美元，Blue Owl基金持有80%、Meta持有20%。截至公告时施工进行中，5GW是远期计算容量，不是运营容量。</w:t>
      </w:r>
    </w:p>
    <w:p w14:paraId="4E041429" w14:textId="77777777" w:rsidR="007B5C49" w:rsidRDefault="00000000">
      <w:r>
        <w:t>Meta称园区已推动3,700名建设人员，峰值计划约5,000人，未来运营岗位500多个；公司还把道路、水和污水基础设施投入提高到3亿美元以上。这表明大园区的选址对象不是一块地，而是一个能够承接住房、道路、施工劳动力、供水和公共服务冲击的区域。</w:t>
      </w:r>
    </w:p>
    <w:p w14:paraId="0D8656AB" w14:textId="77777777" w:rsidR="007B5C49" w:rsidRDefault="00000000">
      <w:pPr>
        <w:pStyle w:val="Heading2"/>
      </w:pPr>
      <w:r>
        <w:t>4. Microsoft Wisconsin</w:t>
      </w:r>
      <w:r>
        <w:t>说明成熟产业区也能成为</w:t>
      </w:r>
      <w:r>
        <w:t>AI</w:t>
      </w:r>
      <w:r>
        <w:t>节点</w:t>
      </w:r>
    </w:p>
    <w:p w14:paraId="75B79591" w14:textId="77777777" w:rsidR="007B5C49" w:rsidRDefault="00000000">
      <w:r>
        <w:t>Microsoft 2024年宣布在Mount Pleasant投入33亿美元建设云和AI基础设施，并配套人才培训。首座Fairwater设施在2026年6月完成并全面运营。该地点利用此前大型工业开发留下的土地和区域基础设施，说明AI园区不一定极端偏远；只要土地、电力、施工队伍和政策可以同步，传统制造业地区也能转为算力节点。</w:t>
      </w:r>
    </w:p>
    <w:p w14:paraId="1EF1C567" w14:textId="77777777" w:rsidR="007B5C49" w:rsidRDefault="00000000">
      <w:r>
        <w:t>最终选址不是单项最低成本，而是交付概率最大化。建议排序：首期通电日期、远期扩容、电源多样性、土地与许可、网络、施工供应链、水与社区接受度、税收优惠。税收优惠只能改善财务，不能替代没有的变压器、输电线或水源。</w:t>
      </w:r>
    </w:p>
    <w:p w14:paraId="3C2EBF49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76B045E4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686D1634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区位重构</w:t>
            </w:r>
          </w:p>
          <w:p w14:paraId="3BF9BC0E" w14:textId="77777777" w:rsidR="007B5C49" w:rsidRDefault="00000000">
            <w:pPr>
              <w:spacing w:after="0" w:line="288" w:lineRule="auto"/>
            </w:pPr>
            <w:r>
              <w:t>AI训练单项目功率升至数百MW/GW → 成熟都市无法快速提供连续大块电力和土地 → 开发商去能源型或工业型区域 → 通过长途光纤接入云骨干 → 推理、企业数据和互联仍需区域/都市节点 → 市场由单一核心城市扩展为分层网络。</w:t>
            </w:r>
          </w:p>
        </w:tc>
      </w:tr>
    </w:tbl>
    <w:p w14:paraId="63762FBE" w14:textId="77777777" w:rsidR="007B5C49" w:rsidRDefault="007B5C49">
      <w:pPr>
        <w:spacing w:after="40"/>
      </w:pPr>
    </w:p>
    <w:p w14:paraId="481265DD" w14:textId="77777777" w:rsidR="007B5C49" w:rsidRDefault="00000000">
      <w:pPr>
        <w:pStyle w:val="QALabel"/>
      </w:pPr>
      <w:r>
        <w:t>来源</w:t>
      </w:r>
    </w:p>
    <w:p w14:paraId="04DAA0F6" w14:textId="77777777" w:rsidR="007B5C49" w:rsidRDefault="00000000">
      <w:pPr>
        <w:spacing w:after="80"/>
        <w:ind w:left="360" w:hanging="288"/>
      </w:pPr>
      <w:r>
        <w:rPr>
          <w:b/>
        </w:rPr>
        <w:t>• Crusoe｜Abilene expands to 1.2GW</w:t>
      </w:r>
      <w:r>
        <w:t>：八栋、400万平方英尺及分期状态</w:t>
      </w:r>
      <w:r>
        <w:rPr>
          <w:color w:val="1F4E79"/>
        </w:rPr>
        <w:br/>
        <w:t>https://crusoe.ai/newsroom/crusoe-expands-ai-data-center-campus-in-abilene-to-1-2-gigawatts</w:t>
      </w:r>
    </w:p>
    <w:p w14:paraId="525DB064" w14:textId="77777777" w:rsidR="007B5C49" w:rsidRDefault="00000000">
      <w:pPr>
        <w:spacing w:after="80"/>
        <w:ind w:left="360" w:hanging="288"/>
      </w:pPr>
      <w:r>
        <w:rPr>
          <w:b/>
        </w:rPr>
        <w:t>• Crusoe｜Microsoft 900MW campus</w:t>
      </w:r>
      <w:r>
        <w:t>：相邻园区与2.1GW地点上限</w:t>
      </w:r>
      <w:r>
        <w:rPr>
          <w:color w:val="1F4E79"/>
        </w:rPr>
        <w:br/>
        <w:t>https://www.crusoe.ai/resources/newsroom/crusoe-announces-new-900-mw-ai-factory-campus-in-abilene-texas-to-support-microsoft-ai-infrastructure</w:t>
      </w:r>
    </w:p>
    <w:p w14:paraId="6F44E0EA" w14:textId="77777777" w:rsidR="007B5C49" w:rsidRDefault="00000000">
      <w:pPr>
        <w:spacing w:after="80"/>
        <w:ind w:left="360" w:hanging="288"/>
      </w:pPr>
      <w:r>
        <w:rPr>
          <w:b/>
        </w:rPr>
        <w:t>• Meta｜Hyperion JV with Blue Owl</w:t>
      </w:r>
      <w:r>
        <w:t>：270亿美元及80/20结构</w:t>
      </w:r>
      <w:r>
        <w:rPr>
          <w:color w:val="1F4E79"/>
        </w:rPr>
        <w:br/>
        <w:t>https://about.fb.com/news/2025/10/meta-blue-owl-capital-develop-hyperion-data-center/</w:t>
      </w:r>
    </w:p>
    <w:p w14:paraId="40756320" w14:textId="77777777" w:rsidR="007B5C49" w:rsidRDefault="00000000">
      <w:pPr>
        <w:spacing w:after="80"/>
        <w:ind w:left="360" w:hanging="288"/>
      </w:pPr>
      <w:r>
        <w:rPr>
          <w:b/>
        </w:rPr>
        <w:lastRenderedPageBreak/>
        <w:t>• Meta｜Richland Parish community update</w:t>
      </w:r>
      <w:r>
        <w:t>：400万平方英尺、就业与公共设施投资</w:t>
      </w:r>
      <w:r>
        <w:rPr>
          <w:color w:val="1F4E79"/>
        </w:rPr>
        <w:br/>
        <w:t>https://about.fb.com/news/2025/12/metas-richland-parish-data-center-supports-louisiana-economy-875-million-in-contracts/</w:t>
      </w:r>
    </w:p>
    <w:p w14:paraId="72688EAD" w14:textId="77777777" w:rsidR="007B5C49" w:rsidRDefault="00000000">
      <w:pPr>
        <w:spacing w:after="80"/>
        <w:ind w:left="360" w:hanging="288"/>
      </w:pPr>
      <w:r>
        <w:rPr>
          <w:b/>
        </w:rPr>
        <w:t>• Microsoft｜Wisconsin investment</w:t>
      </w:r>
      <w:r>
        <w:t>：33亿美元与配套计划</w:t>
      </w:r>
      <w:r>
        <w:rPr>
          <w:color w:val="1F4E79"/>
        </w:rPr>
        <w:br/>
        <w:t>https://news.microsoft.com/source/2024/05/08/microsoft-announces-3-3-billion-investment-in-wisconsin-to-spur-artificial-intelligence-innovation-and-economic-growth/</w:t>
      </w:r>
    </w:p>
    <w:p w14:paraId="30366AB3" w14:textId="77777777" w:rsidR="007B5C49" w:rsidRDefault="00000000">
      <w:pPr>
        <w:spacing w:after="80"/>
        <w:ind w:left="360" w:hanging="288"/>
      </w:pPr>
      <w:r>
        <w:rPr>
          <w:b/>
        </w:rPr>
        <w:t>• Microsoft｜Fairwater operational</w:t>
      </w:r>
      <w:r>
        <w:t>：2026年全面运营</w:t>
      </w:r>
      <w:r>
        <w:rPr>
          <w:color w:val="1F4E79"/>
        </w:rPr>
        <w:br/>
        <w:t>https://news.microsoft.com/source/2026/06/23/microsoft-completes-construction-on-first-datacenter-facility-in-mount-pleasant-wisconsin/</w:t>
      </w:r>
    </w:p>
    <w:p w14:paraId="32A8256D" w14:textId="77777777" w:rsidR="007B5C49" w:rsidRDefault="00000000">
      <w:pPr>
        <w:pStyle w:val="Heading1"/>
        <w:pageBreakBefore/>
      </w:pPr>
      <w:r>
        <w:lastRenderedPageBreak/>
        <w:t>Q17</w:t>
      </w:r>
      <w:r>
        <w:t>：美国税收优惠竞争为什么开始遭遇立法反弹？</w:t>
      </w:r>
    </w:p>
    <w:p w14:paraId="77B09C9D" w14:textId="77777777" w:rsidR="007B5C49" w:rsidRDefault="00000000">
      <w:pPr>
        <w:pStyle w:val="QALabel"/>
      </w:pPr>
      <w:r>
        <w:t>通俗问题</w:t>
      </w:r>
    </w:p>
    <w:p w14:paraId="4D7520F4" w14:textId="77777777" w:rsidR="007B5C49" w:rsidRDefault="00000000">
      <w:r>
        <w:t>各州过去争相免除服务器销售税，为什么2025—2026年又出现取消、限缩或附加能效条件的提案？</w:t>
      </w:r>
    </w:p>
    <w:p w14:paraId="217E1C77" w14:textId="77777777" w:rsidR="007B5C49" w:rsidRDefault="00000000">
      <w:pPr>
        <w:pStyle w:val="QALabel"/>
      </w:pPr>
      <w:r>
        <w:t>主要研究（专业）</w:t>
      </w:r>
    </w:p>
    <w:p w14:paraId="7E16C350" w14:textId="77777777" w:rsidR="007B5C49" w:rsidRDefault="00000000">
      <w:r>
        <w:t>数据中心税式支出、经济回报、能源与社区外部性、政策延续与条件化。</w:t>
      </w:r>
    </w:p>
    <w:p w14:paraId="4A4FDC35" w14:textId="77777777" w:rsidR="007B5C49" w:rsidRDefault="00000000">
      <w:pPr>
        <w:pStyle w:val="QALabel"/>
      </w:pPr>
      <w:r>
        <w:t>研究方向</w:t>
      </w:r>
    </w:p>
    <w:p w14:paraId="74BFB8BD" w14:textId="77777777" w:rsidR="007B5C49" w:rsidRDefault="00000000">
      <w:pPr>
        <w:pStyle w:val="ListBullet"/>
        <w:spacing w:after="80" w:line="288" w:lineRule="auto"/>
        <w:ind w:left="403" w:hanging="259"/>
      </w:pPr>
      <w:r>
        <w:t>以Virginia为主案例核对免税规模、延长期限和取消提案。</w:t>
      </w:r>
    </w:p>
    <w:p w14:paraId="7A1F228B" w14:textId="77777777" w:rsidR="007B5C49" w:rsidRDefault="00000000">
      <w:pPr>
        <w:pStyle w:val="ListBullet"/>
        <w:spacing w:after="80" w:line="288" w:lineRule="auto"/>
        <w:ind w:left="403" w:hanging="259"/>
      </w:pPr>
      <w:r>
        <w:t>区分建设期投资、长期运营岗位、地方税收与州级税收损失。</w:t>
      </w:r>
    </w:p>
    <w:p w14:paraId="177D2051" w14:textId="77777777" w:rsidR="007B5C49" w:rsidRDefault="00000000">
      <w:pPr>
        <w:pStyle w:val="ListBullet"/>
        <w:spacing w:after="80" w:line="288" w:lineRule="auto"/>
        <w:ind w:left="403" w:hanging="259"/>
      </w:pPr>
      <w:r>
        <w:t>判断政策反弹是“停止招商”还是从无条件优惠转向绩效约束。</w:t>
      </w:r>
    </w:p>
    <w:p w14:paraId="364D739B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2DDC3D31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5458D347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6EAE400E" w14:textId="77777777" w:rsidR="007B5C49" w:rsidRDefault="00000000">
            <w:pPr>
              <w:spacing w:after="0" w:line="288" w:lineRule="auto"/>
            </w:pPr>
            <w:r>
              <w:t>反弹并非因为数据中心没有经济价值，而是优惠规模、少量长期岗位、电力和社区成本之间的平衡受到质疑。Virginia FY2023免税价值约9.28亿美元；2025年一边出现延长至2050年的方案，一边出现立即取消并回收数亿美元税收的提案，说明政策正从“是否优惠”转向“优惠多少、在哪些地区、换取什么绩效”。</w:t>
            </w:r>
          </w:p>
        </w:tc>
      </w:tr>
    </w:tbl>
    <w:p w14:paraId="75244E0D" w14:textId="77777777" w:rsidR="007B5C49" w:rsidRDefault="007B5C49">
      <w:pPr>
        <w:spacing w:after="40"/>
      </w:pPr>
    </w:p>
    <w:p w14:paraId="0CD32CFB" w14:textId="77777777" w:rsidR="007B5C49" w:rsidRDefault="00000000">
      <w:pPr>
        <w:pStyle w:val="QALabel"/>
      </w:pPr>
      <w:r>
        <w:t>详细支撑</w:t>
      </w:r>
    </w:p>
    <w:p w14:paraId="1C714E03" w14:textId="77777777" w:rsidR="007B5C49" w:rsidRDefault="00000000">
      <w:pPr>
        <w:pStyle w:val="Heading2"/>
      </w:pPr>
      <w:r>
        <w:t xml:space="preserve">1. </w:t>
      </w:r>
      <w:r>
        <w:t>服务器更新频繁，使销售税豁免成为长期大额税式支出</w:t>
      </w:r>
    </w:p>
    <w:p w14:paraId="41CA7EBD" w14:textId="77777777" w:rsidR="007B5C49" w:rsidRDefault="00000000">
      <w:r>
        <w:t>数据中心的服务器、网络、冷却和发电设备价值高且更新快，销售与使用税豁免不仅发生在首期建设，也可能覆盖后续替换。Virginia JLARC披露FY2023税收优惠约9.28亿美元，约90%的行业使用该优惠。这个数字是未征收税收的估计，不是州政府现金补贴，也不能直接与公司宣布的资本开支相减得出净收益。</w:t>
      </w:r>
    </w:p>
    <w:p w14:paraId="106CF49A" w14:textId="77777777" w:rsidR="007B5C49" w:rsidRDefault="00000000">
      <w:r>
        <w:t>支持者认为免税是跨州竞争的必要条件，并带来建设、财产税和技术生态；反对者则指出长期运营岗位相对资本投入有限，且输电、发电、道路和环境成本可能由社会承担。两边都可能引用“投资数百亿美元”，但投资总额并不能回答州财政每放弃1美元税收获得多少持续公共收益。</w:t>
      </w:r>
    </w:p>
    <w:p w14:paraId="3EF0668D" w14:textId="77777777" w:rsidR="007B5C49" w:rsidRDefault="00000000">
      <w:pPr>
        <w:pStyle w:val="Heading2"/>
      </w:pPr>
      <w:r>
        <w:t>2. Virginia</w:t>
      </w:r>
      <w:r>
        <w:t>在同一时期出现延长、取消和附条件三类方案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900"/>
        <w:gridCol w:w="2500"/>
        <w:gridCol w:w="2500"/>
      </w:tblGrid>
      <w:tr w:rsidR="007B5C49" w14:paraId="3E43C693" w14:textId="77777777">
        <w:trPr>
          <w:tblHeader/>
          <w:jc w:val="center"/>
        </w:trPr>
        <w:tc>
          <w:tcPr>
            <w:tcW w:w="1900" w:type="dxa"/>
            <w:shd w:val="clear" w:color="auto" w:fill="D9EAF7"/>
          </w:tcPr>
          <w:p w14:paraId="279B0850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政策方向</w:t>
            </w:r>
          </w:p>
        </w:tc>
        <w:tc>
          <w:tcPr>
            <w:tcW w:w="2900" w:type="dxa"/>
            <w:shd w:val="clear" w:color="auto" w:fill="D9EAF7"/>
          </w:tcPr>
          <w:p w14:paraId="019ABDC8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具体提案/数据</w:t>
            </w:r>
          </w:p>
        </w:tc>
        <w:tc>
          <w:tcPr>
            <w:tcW w:w="2500" w:type="dxa"/>
            <w:shd w:val="clear" w:color="auto" w:fill="D9EAF7"/>
          </w:tcPr>
          <w:p w14:paraId="286F5788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状态含义</w:t>
            </w:r>
          </w:p>
        </w:tc>
        <w:tc>
          <w:tcPr>
            <w:tcW w:w="2500" w:type="dxa"/>
            <w:shd w:val="clear" w:color="auto" w:fill="D9EAF7"/>
          </w:tcPr>
          <w:p w14:paraId="527DC6E3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不能误读</w:t>
            </w:r>
          </w:p>
        </w:tc>
      </w:tr>
      <w:tr w:rsidR="007B5C49" w14:paraId="57EECE8E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4925B7F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延长</w:t>
            </w:r>
          </w:p>
        </w:tc>
        <w:tc>
          <w:tcPr>
            <w:tcW w:w="2900" w:type="dxa"/>
            <w:vAlign w:val="center"/>
          </w:tcPr>
          <w:p w14:paraId="470E576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将原2035日落期延至2050</w:t>
            </w:r>
          </w:p>
        </w:tc>
        <w:tc>
          <w:tcPr>
            <w:tcW w:w="2500" w:type="dxa"/>
            <w:vAlign w:val="center"/>
          </w:tcPr>
          <w:p w14:paraId="0C3C669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维持长期招商稳定性</w:t>
            </w:r>
          </w:p>
        </w:tc>
        <w:tc>
          <w:tcPr>
            <w:tcW w:w="2500" w:type="dxa"/>
            <w:vAlign w:val="center"/>
          </w:tcPr>
          <w:p w14:paraId="043748C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提案/预算结果需看最终法律</w:t>
            </w:r>
          </w:p>
        </w:tc>
      </w:tr>
      <w:tr w:rsidR="007B5C49" w14:paraId="6CC5EE18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7F77117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取消</w:t>
            </w:r>
          </w:p>
        </w:tc>
        <w:tc>
          <w:tcPr>
            <w:tcW w:w="2900" w:type="dxa"/>
            <w:vAlign w:val="center"/>
          </w:tcPr>
          <w:p w14:paraId="15E7354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2025提案自7月起取消；估算增加一般基金4.71亿美元</w:t>
            </w:r>
          </w:p>
        </w:tc>
        <w:tc>
          <w:tcPr>
            <w:tcW w:w="2500" w:type="dxa"/>
            <w:vAlign w:val="center"/>
          </w:tcPr>
          <w:p w14:paraId="61F33C6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反映财政与能源反弹</w:t>
            </w:r>
          </w:p>
        </w:tc>
        <w:tc>
          <w:tcPr>
            <w:tcW w:w="2500" w:type="dxa"/>
            <w:vAlign w:val="center"/>
          </w:tcPr>
          <w:p w14:paraId="4B613F4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提案不等于已经取消</w:t>
            </w:r>
          </w:p>
        </w:tc>
      </w:tr>
      <w:tr w:rsidR="007B5C49" w14:paraId="477EB983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004C045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2026再取消</w:t>
            </w:r>
          </w:p>
        </w:tc>
        <w:tc>
          <w:tcPr>
            <w:tcW w:w="2900" w:type="dxa"/>
            <w:vAlign w:val="center"/>
          </w:tcPr>
          <w:p w14:paraId="7F4FF7A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预算提案估算两年增加约21亿美元</w:t>
            </w:r>
          </w:p>
        </w:tc>
        <w:tc>
          <w:tcPr>
            <w:tcW w:w="2500" w:type="dxa"/>
            <w:vAlign w:val="center"/>
          </w:tcPr>
          <w:p w14:paraId="39DC2D9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基于更新免税报告</w:t>
            </w:r>
          </w:p>
        </w:tc>
        <w:tc>
          <w:tcPr>
            <w:tcW w:w="2500" w:type="dxa"/>
            <w:vAlign w:val="center"/>
          </w:tcPr>
          <w:p w14:paraId="4ECDC80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仍是member request</w:t>
            </w:r>
          </w:p>
        </w:tc>
      </w:tr>
      <w:tr w:rsidR="007B5C49" w14:paraId="6CC51C67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639FA6B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附能效条件</w:t>
            </w:r>
          </w:p>
        </w:tc>
        <w:tc>
          <w:tcPr>
            <w:tcW w:w="2900" w:type="dxa"/>
            <w:vAlign w:val="center"/>
          </w:tcPr>
          <w:p w14:paraId="7ECA8E7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PUE≤1.2、2028年90%无碳能源等提议</w:t>
            </w:r>
          </w:p>
        </w:tc>
        <w:tc>
          <w:tcPr>
            <w:tcW w:w="2500" w:type="dxa"/>
            <w:vAlign w:val="center"/>
          </w:tcPr>
          <w:p w14:paraId="3BC7837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把优惠与环境绩效绑定</w:t>
            </w:r>
          </w:p>
        </w:tc>
        <w:tc>
          <w:tcPr>
            <w:tcW w:w="2500" w:type="dxa"/>
            <w:vAlign w:val="center"/>
          </w:tcPr>
          <w:p w14:paraId="700AE37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条件提案不等于全州现行标准</w:t>
            </w:r>
          </w:p>
        </w:tc>
      </w:tr>
      <w:tr w:rsidR="007B5C49" w14:paraId="51D604F1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60DF82E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区域化/研究</w:t>
            </w:r>
          </w:p>
        </w:tc>
        <w:tc>
          <w:tcPr>
            <w:tcW w:w="2900" w:type="dxa"/>
            <w:vAlign w:val="center"/>
          </w:tcPr>
          <w:p w14:paraId="79AD5F2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研究引导非都市区、评估Northern Virginia差异</w:t>
            </w:r>
          </w:p>
        </w:tc>
        <w:tc>
          <w:tcPr>
            <w:tcW w:w="2500" w:type="dxa"/>
            <w:vAlign w:val="center"/>
          </w:tcPr>
          <w:p w14:paraId="0B297FA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从总量转向空间政策</w:t>
            </w:r>
          </w:p>
        </w:tc>
        <w:tc>
          <w:tcPr>
            <w:tcW w:w="2500" w:type="dxa"/>
            <w:vAlign w:val="center"/>
          </w:tcPr>
          <w:p w14:paraId="521384A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区域限制可能把负荷迁往州内其他县</w:t>
            </w:r>
          </w:p>
        </w:tc>
      </w:tr>
    </w:tbl>
    <w:p w14:paraId="1A886373" w14:textId="77777777" w:rsidR="007B5C49" w:rsidRDefault="007B5C49">
      <w:pPr>
        <w:spacing w:after="40"/>
      </w:pPr>
    </w:p>
    <w:p w14:paraId="7D5BFAB5" w14:textId="77777777" w:rsidR="007B5C49" w:rsidRDefault="00000000">
      <w:r>
        <w:t>2025年预算材料中，一项修正案提出延长豁免至2050；另一项提议自2025年7月取消，并估计第二年一般基金增加4.71亿美元。2026年又有取消提案，估计两个财年分别增加约10亿和11亿美元。所有这些都是立法过程中的不同方案，报告必须写“提出/批准/最终生效”状态，不能把提案当现行法。</w:t>
      </w:r>
    </w:p>
    <w:p w14:paraId="4CADD9FB" w14:textId="77777777" w:rsidR="007B5C49" w:rsidRDefault="00000000">
      <w:pPr>
        <w:pStyle w:val="Heading2"/>
      </w:pPr>
      <w:r>
        <w:t xml:space="preserve">3. </w:t>
      </w:r>
      <w:r>
        <w:t>最可能的政策方向是条件化，而不是全国统一禁建</w:t>
      </w:r>
    </w:p>
    <w:p w14:paraId="44903F23" w14:textId="77777777" w:rsidR="007B5C49" w:rsidRDefault="00000000">
      <w:r>
        <w:t>JLARC给出的政策选项包括让优惠2035年到期、改为部分豁免，或把能源、自然资源、历史资源和住宅影响纳入资格条件。2025年还安排专门研究竞争力、非都市区引资和经济回报。这说明政策工具正从单纯税率竞争转向空间引导和绩效换优惠。</w:t>
      </w:r>
    </w:p>
    <w:p w14:paraId="6CD2EA18" w14:textId="77777777" w:rsidR="007B5C49" w:rsidRDefault="00000000">
      <w:r>
        <w:t>能效条件也需谨慎设计。PUE低不等于总能耗低，1.2 PUE的1GW园区仍消耗巨大；年度无碳采购不等于当地每小时无碳供电。更完整的条件应包含通电和用水边界、最低投资与就业、社区基础设施出资、长期费率义务、噪声与备用发电管理。</w:t>
      </w:r>
    </w:p>
    <w:p w14:paraId="726B8663" w14:textId="77777777" w:rsidR="007B5C49" w:rsidRDefault="00000000">
      <w:pPr>
        <w:pStyle w:val="Heading2"/>
      </w:pPr>
      <w:r>
        <w:t xml:space="preserve">4. </w:t>
      </w:r>
      <w:r>
        <w:t>评价优惠应采用</w:t>
      </w:r>
      <w:r>
        <w:t>“</w:t>
      </w:r>
      <w:r>
        <w:t>增量情景</w:t>
      </w:r>
      <w:r>
        <w:t>”</w:t>
      </w:r>
      <w:r>
        <w:t>，而不是总量归功</w:t>
      </w:r>
    </w:p>
    <w:p w14:paraId="220F84EB" w14:textId="77777777" w:rsidR="007B5C49" w:rsidRDefault="00000000">
      <w:r>
        <w:t>正确问题是：没有优惠时项目会离开本州、缩小，还是照常建设？只有因政策真正增加的投资和税收，才可归因于优惠。还要扣除电网、道路、教育、消防和行政成本，并把建设期和运营期分开。大园区可能在建设期创造数千岗位，运营期仅数百岗位，但财产税和产业链效应可能持续。</w:t>
      </w:r>
    </w:p>
    <w:p w14:paraId="486AF613" w14:textId="77777777" w:rsidR="007B5C49" w:rsidRDefault="00000000">
      <w:r>
        <w:t>政策反弹也会改变选址：如果成熟核心区优惠减少、接入更严格，项目可能迁往州内非都市县或其他州。全国需求并不会因此消失，只会重新分配。因此单州取消优惠可能缓解本地压力，却未必降低全行业用电和排放。</w:t>
      </w:r>
    </w:p>
    <w:p w14:paraId="4A6F146A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65A2593F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226EF45C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政策竞争演化</w:t>
            </w:r>
          </w:p>
          <w:p w14:paraId="15A13CB3" w14:textId="77777777" w:rsidR="007B5C49" w:rsidRDefault="00000000">
            <w:pPr>
              <w:spacing w:after="0" w:line="288" w:lineRule="auto"/>
            </w:pPr>
            <w:r>
              <w:t>早期用免税吸引资本密集项目 → 集群形成并带来税基与网络生态 → 负荷、免税额和社区成本快速扩大 → 立法者要求证明增量收益 → 优惠被延长、取消、区域化或附能效条件 → 选址从“谁免税最多”转向“谁能提供稳定政策且成本可承担”。</w:t>
            </w:r>
          </w:p>
        </w:tc>
      </w:tr>
    </w:tbl>
    <w:p w14:paraId="2046A4E6" w14:textId="77777777" w:rsidR="007B5C49" w:rsidRDefault="007B5C49">
      <w:pPr>
        <w:spacing w:after="40"/>
      </w:pPr>
    </w:p>
    <w:p w14:paraId="5130CB51" w14:textId="77777777" w:rsidR="007B5C49" w:rsidRDefault="00000000">
      <w:pPr>
        <w:pStyle w:val="QALabel"/>
      </w:pPr>
      <w:r>
        <w:t>来源</w:t>
      </w:r>
    </w:p>
    <w:p w14:paraId="57F4D25E" w14:textId="77777777" w:rsidR="007B5C49" w:rsidRDefault="00000000">
      <w:pPr>
        <w:spacing w:after="80"/>
        <w:ind w:left="360" w:hanging="288"/>
      </w:pPr>
      <w:r>
        <w:rPr>
          <w:b/>
        </w:rPr>
        <w:t>• Virginia JLARC｜Data Centers in Virginia</w:t>
      </w:r>
      <w:r>
        <w:t>：FY2023约9.28亿美元及政策选项</w:t>
      </w:r>
      <w:r>
        <w:rPr>
          <w:color w:val="1F4E79"/>
        </w:rPr>
        <w:br/>
        <w:t>https://jlarc.virginia.gov/landing-2024-data-centers-in-virginia.asp</w:t>
      </w:r>
    </w:p>
    <w:p w14:paraId="66374839" w14:textId="77777777" w:rsidR="007B5C49" w:rsidRDefault="00000000">
      <w:pPr>
        <w:spacing w:after="80"/>
        <w:ind w:left="360" w:hanging="288"/>
      </w:pPr>
      <w:r>
        <w:rPr>
          <w:b/>
        </w:rPr>
        <w:t>• Virginia Budget｜2025 repeal proposal</w:t>
      </w:r>
      <w:r>
        <w:t>：4.71亿美元估算</w:t>
      </w:r>
      <w:r>
        <w:rPr>
          <w:color w:val="1F4E79"/>
        </w:rPr>
        <w:br/>
        <w:t>https://budget.lis.virginia.gov/amendment/2025/1/SB800/Introduced/MR/0/9s/</w:t>
      </w:r>
    </w:p>
    <w:p w14:paraId="71DA9802" w14:textId="77777777" w:rsidR="007B5C49" w:rsidRDefault="00000000">
      <w:pPr>
        <w:spacing w:after="80"/>
        <w:ind w:left="360" w:hanging="288"/>
      </w:pPr>
      <w:r>
        <w:rPr>
          <w:b/>
        </w:rPr>
        <w:t>• Virginia Budget｜Extend exemption to 2050</w:t>
      </w:r>
      <w:r>
        <w:t>：延长方案</w:t>
      </w:r>
      <w:r>
        <w:rPr>
          <w:color w:val="1F4E79"/>
        </w:rPr>
        <w:br/>
        <w:t>https://budget.lis.virginia.gov/amendment/2025/1/HB1600/Introduced/FA/3-5.25/2h/</w:t>
      </w:r>
    </w:p>
    <w:p w14:paraId="6A0674BE" w14:textId="77777777" w:rsidR="007B5C49" w:rsidRDefault="00000000">
      <w:pPr>
        <w:spacing w:after="80"/>
        <w:ind w:left="360" w:hanging="288"/>
      </w:pPr>
      <w:r>
        <w:rPr>
          <w:b/>
        </w:rPr>
        <w:t>• Virginia Budget｜2026 expiration proposal</w:t>
      </w:r>
      <w:r>
        <w:t>：两年约21亿美元估算</w:t>
      </w:r>
      <w:r>
        <w:rPr>
          <w:color w:val="1F4E79"/>
        </w:rPr>
        <w:br/>
        <w:t>https://budget.lis.virginia.gov/amendment/2026/1/SB30/Introduced/MR/0/14s/</w:t>
      </w:r>
    </w:p>
    <w:p w14:paraId="14B98C25" w14:textId="77777777" w:rsidR="007B5C49" w:rsidRDefault="00000000">
      <w:pPr>
        <w:spacing w:after="80"/>
        <w:ind w:left="360" w:hanging="288"/>
      </w:pPr>
      <w:r>
        <w:rPr>
          <w:b/>
        </w:rPr>
        <w:lastRenderedPageBreak/>
        <w:t>• Virginia Budget｜Energy-efficiency conditions</w:t>
      </w:r>
      <w:r>
        <w:t>：PUE与无碳能源条件提议</w:t>
      </w:r>
      <w:r>
        <w:rPr>
          <w:color w:val="1F4E79"/>
        </w:rPr>
        <w:br/>
        <w:t>https://budget.lis.virginia.gov/amendment/2025/1/SB800/Introduced/FA/4-14/7s/</w:t>
      </w:r>
    </w:p>
    <w:p w14:paraId="2D42293B" w14:textId="77777777" w:rsidR="007B5C49" w:rsidRDefault="00000000">
      <w:pPr>
        <w:spacing w:after="80"/>
        <w:ind w:left="360" w:hanging="288"/>
      </w:pPr>
      <w:r>
        <w:rPr>
          <w:b/>
        </w:rPr>
        <w:t>• Virginia Budget｜Tax exemption study</w:t>
      </w:r>
      <w:r>
        <w:t>：竞争力与区域政策研究</w:t>
      </w:r>
      <w:r>
        <w:rPr>
          <w:color w:val="1F4E79"/>
        </w:rPr>
        <w:br/>
        <w:t>https://budget.lis.virginia.gov/amendment/2025/1/HB1600/Introduced/CR/1/1c/</w:t>
      </w:r>
    </w:p>
    <w:p w14:paraId="5E348257" w14:textId="77777777" w:rsidR="007B5C49" w:rsidRDefault="00000000">
      <w:pPr>
        <w:pStyle w:val="Heading1"/>
        <w:pageBreakBefore/>
      </w:pPr>
      <w:r>
        <w:lastRenderedPageBreak/>
        <w:t>Q18</w:t>
      </w:r>
      <w:r>
        <w:t>：新加坡、柔佛与欧洲限制如何重塑亚洲和欧洲布局？</w:t>
      </w:r>
    </w:p>
    <w:p w14:paraId="1F792F81" w14:textId="77777777" w:rsidR="007B5C49" w:rsidRDefault="00000000">
      <w:pPr>
        <w:pStyle w:val="QALabel"/>
      </w:pPr>
      <w:r>
        <w:t>通俗问题</w:t>
      </w:r>
    </w:p>
    <w:p w14:paraId="072030EC" w14:textId="77777777" w:rsidR="007B5C49" w:rsidRDefault="00000000">
      <w:r>
        <w:t>新加坡土地和电力紧张，爱尔兰、荷兰等地也有限制，需求去了哪里？这些市场是真的“禁止数据中心”吗？</w:t>
      </w:r>
    </w:p>
    <w:p w14:paraId="79018507" w14:textId="77777777" w:rsidR="007B5C49" w:rsidRDefault="00000000">
      <w:pPr>
        <w:pStyle w:val="QALabel"/>
      </w:pPr>
      <w:r>
        <w:t>主要研究（专业）</w:t>
      </w:r>
    </w:p>
    <w:p w14:paraId="4A595FB1" w14:textId="77777777" w:rsidR="007B5C49" w:rsidRDefault="00000000">
      <w:r>
        <w:t>容量配额、绿色门槛、跨境区域分工、并网优先级与EU能效披露。</w:t>
      </w:r>
    </w:p>
    <w:p w14:paraId="61B8F6C5" w14:textId="77777777" w:rsidR="007B5C49" w:rsidRDefault="00000000">
      <w:pPr>
        <w:pStyle w:val="QALabel"/>
      </w:pPr>
      <w:r>
        <w:t>研究方向</w:t>
      </w:r>
    </w:p>
    <w:p w14:paraId="0FDFCBDF" w14:textId="77777777" w:rsidR="007B5C49" w:rsidRDefault="00000000">
      <w:pPr>
        <w:pStyle w:val="ListBullet"/>
        <w:spacing w:after="80" w:line="288" w:lineRule="auto"/>
        <w:ind w:left="403" w:hanging="259"/>
      </w:pPr>
      <w:r>
        <w:t>比较新加坡政策容量与柔佛企业园区容量，避免跨口径排名。</w:t>
      </w:r>
    </w:p>
    <w:p w14:paraId="179CD77F" w14:textId="77777777" w:rsidR="007B5C49" w:rsidRDefault="00000000">
      <w:pPr>
        <w:pStyle w:val="ListBullet"/>
        <w:spacing w:after="80" w:line="288" w:lineRule="auto"/>
        <w:ind w:left="403" w:hanging="259"/>
      </w:pPr>
      <w:r>
        <w:t>解释SIJORI模式：新加坡承担互联和高价值节点，柔佛承担大园区。</w:t>
      </w:r>
    </w:p>
    <w:p w14:paraId="7703E06D" w14:textId="77777777" w:rsidR="007B5C49" w:rsidRDefault="00000000">
      <w:pPr>
        <w:pStyle w:val="ListBullet"/>
        <w:spacing w:after="80" w:line="288" w:lineRule="auto"/>
        <w:ind w:left="403" w:hanging="259"/>
      </w:pPr>
      <w:r>
        <w:t>核对爱尔兰连接政策和EU EED 500kW披露门槛。</w:t>
      </w:r>
    </w:p>
    <w:p w14:paraId="6AC5A5C3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02872EFA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3B7526E5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1861FF2D" w14:textId="77777777" w:rsidR="007B5C49" w:rsidRDefault="00000000">
            <w:pPr>
              <w:spacing w:after="0" w:line="288" w:lineRule="auto"/>
            </w:pPr>
            <w:r>
              <w:t>成熟市场正在从自由扩张转向“有限容量给高效率项目”。新加坡2025年第二轮只明确至少200MW政策容量，而柔佛AirTrunk两园区远期超过420MW；爱尔兰并非绝对禁建，而是按位置、现场发电和可削减负荷决定连接。结果是核心城市保留互联与合规节点，周边地区承接大规模云与AI容量。</w:t>
            </w:r>
          </w:p>
        </w:tc>
      </w:tr>
    </w:tbl>
    <w:p w14:paraId="1721E731" w14:textId="77777777" w:rsidR="007B5C49" w:rsidRDefault="007B5C49">
      <w:pPr>
        <w:spacing w:after="40"/>
      </w:pPr>
    </w:p>
    <w:p w14:paraId="0AAF0964" w14:textId="77777777" w:rsidR="007B5C49" w:rsidRDefault="00000000">
      <w:pPr>
        <w:pStyle w:val="QALabel"/>
      </w:pPr>
      <w:r>
        <w:t>详细支撑</w:t>
      </w:r>
    </w:p>
    <w:p w14:paraId="7807E97D" w14:textId="77777777" w:rsidR="007B5C49" w:rsidRDefault="00000000">
      <w:pPr>
        <w:pStyle w:val="Heading2"/>
      </w:pPr>
      <w:r>
        <w:t xml:space="preserve">1. </w:t>
      </w:r>
      <w:r>
        <w:t>新加坡采用竞争性配额，而不是恢复无条件扩张</w:t>
      </w:r>
    </w:p>
    <w:p w14:paraId="62954809" w14:textId="77777777" w:rsidR="007B5C49" w:rsidRDefault="00000000">
      <w:r>
        <w:t>新加坡EDB和IMDA在2025年12月启动第二轮Data Centre Call for Application，至少释放200MW，并表示采用创新绿色能源路径可获得更多。200MW是政策可分配容量，不是单个公司项目，也不是立即运行容量。申请还要经过技术、能源和可持续性评估。</w:t>
      </w:r>
    </w:p>
    <w:p w14:paraId="13F96334" w14:textId="77777777" w:rsidR="007B5C49" w:rsidRDefault="00000000">
      <w:r>
        <w:t>首轮配额项目显示门槛：DayOne新加坡项目20MW、约40,000平方米，计划2026年首期服务，配置混合风冷/液冷并试验现场固体氧化物燃料电池；Equinix新设施同为20MW，预计2027年一季度开放。小而高价值的节点更符合新加坡土地、电网和互联优势。</w:t>
      </w:r>
    </w:p>
    <w:p w14:paraId="615F84E0" w14:textId="77777777" w:rsidR="007B5C49" w:rsidRDefault="00000000">
      <w:pPr>
        <w:pStyle w:val="Heading2"/>
      </w:pPr>
      <w:r>
        <w:t xml:space="preserve">2. </w:t>
      </w:r>
      <w:r>
        <w:t>柔佛承接规模，但规划数字仍需逐期兑现</w:t>
      </w:r>
    </w:p>
    <w:p w14:paraId="28796E0D" w14:textId="77777777" w:rsidR="007B5C49" w:rsidRDefault="00000000">
      <w:r>
        <w:t>AirTrunk JHB1标称150MW，JHB2远期超过270MW，两座合计超过420MW，合计成本约97亿林吉特。这里的MW是企业公布的IT负载/园区能力，与新加坡200MW政策配额不同；JHB2还需分期建设，不能据此说柔佛已运行420MW。</w:t>
      </w:r>
    </w:p>
    <w:p w14:paraId="557FB90B" w14:textId="77777777" w:rsidR="007B5C49" w:rsidRDefault="00000000">
      <w:r>
        <w:t>柔佛的优势是靠近新加坡、土地更充足、可建设更大电力和水系统，并通过跨境光纤服务区域客户。风险则是项目集中后电网、水、审批和施工能力迅速收紧。马来西亚和地方政府已建立指引，要求PUE、WUE和可再生能源实践，说明承接并非无限制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600"/>
        <w:gridCol w:w="3400"/>
      </w:tblGrid>
      <w:tr w:rsidR="007B5C49" w14:paraId="3AA9A333" w14:textId="77777777">
        <w:trPr>
          <w:tblHeader/>
          <w:jc w:val="center"/>
        </w:trPr>
        <w:tc>
          <w:tcPr>
            <w:tcW w:w="1900" w:type="dxa"/>
            <w:shd w:val="clear" w:color="auto" w:fill="D9EAF7"/>
          </w:tcPr>
          <w:p w14:paraId="1FEAD069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lastRenderedPageBreak/>
              <w:t>地区</w:t>
            </w:r>
          </w:p>
        </w:tc>
        <w:tc>
          <w:tcPr>
            <w:tcW w:w="2500" w:type="dxa"/>
            <w:shd w:val="clear" w:color="auto" w:fill="D9EAF7"/>
          </w:tcPr>
          <w:p w14:paraId="0E4A17D3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公开数字</w:t>
            </w:r>
          </w:p>
        </w:tc>
        <w:tc>
          <w:tcPr>
            <w:tcW w:w="2600" w:type="dxa"/>
            <w:shd w:val="clear" w:color="auto" w:fill="D9EAF7"/>
          </w:tcPr>
          <w:p w14:paraId="4B80BEA9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口径/状态</w:t>
            </w:r>
          </w:p>
        </w:tc>
        <w:tc>
          <w:tcPr>
            <w:tcW w:w="3400" w:type="dxa"/>
            <w:shd w:val="clear" w:color="auto" w:fill="D9EAF7"/>
          </w:tcPr>
          <w:p w14:paraId="251F3E66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区域角色</w:t>
            </w:r>
          </w:p>
        </w:tc>
      </w:tr>
      <w:tr w:rsidR="007B5C49" w14:paraId="36BFA032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18E6B4B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新加坡DC-CFA2</w:t>
            </w:r>
          </w:p>
        </w:tc>
        <w:tc>
          <w:tcPr>
            <w:tcW w:w="2500" w:type="dxa"/>
            <w:vAlign w:val="center"/>
          </w:tcPr>
          <w:p w14:paraId="65AEC9F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至少200MW</w:t>
            </w:r>
          </w:p>
        </w:tc>
        <w:tc>
          <w:tcPr>
            <w:tcW w:w="2600" w:type="dxa"/>
            <w:vAlign w:val="center"/>
          </w:tcPr>
          <w:p w14:paraId="7D87A0A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政策分配容量，2025启动</w:t>
            </w:r>
          </w:p>
        </w:tc>
        <w:tc>
          <w:tcPr>
            <w:tcW w:w="3400" w:type="dxa"/>
            <w:vAlign w:val="center"/>
          </w:tcPr>
          <w:p w14:paraId="572B649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高价值互联、合规与区域节点</w:t>
            </w:r>
          </w:p>
        </w:tc>
      </w:tr>
      <w:tr w:rsidR="007B5C49" w14:paraId="05F13019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70716AB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DayOne Singapore</w:t>
            </w:r>
          </w:p>
        </w:tc>
        <w:tc>
          <w:tcPr>
            <w:tcW w:w="2500" w:type="dxa"/>
            <w:vAlign w:val="center"/>
          </w:tcPr>
          <w:p w14:paraId="4A18C6E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20MW/4万平方米</w:t>
            </w:r>
          </w:p>
        </w:tc>
        <w:tc>
          <w:tcPr>
            <w:tcW w:w="2600" w:type="dxa"/>
            <w:vAlign w:val="center"/>
          </w:tcPr>
          <w:p w14:paraId="33944C1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在建，首期目标2026</w:t>
            </w:r>
          </w:p>
        </w:tc>
        <w:tc>
          <w:tcPr>
            <w:tcW w:w="3400" w:type="dxa"/>
            <w:vAlign w:val="center"/>
          </w:tcPr>
          <w:p w14:paraId="5B37C79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高密度GPU与绿色技术示范</w:t>
            </w:r>
          </w:p>
        </w:tc>
      </w:tr>
      <w:tr w:rsidR="007B5C49" w14:paraId="56A8D1F0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10CED7B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Equinix Singapore</w:t>
            </w:r>
          </w:p>
        </w:tc>
        <w:tc>
          <w:tcPr>
            <w:tcW w:w="2500" w:type="dxa"/>
            <w:vAlign w:val="center"/>
          </w:tcPr>
          <w:p w14:paraId="6A358C5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20MW</w:t>
            </w:r>
          </w:p>
        </w:tc>
        <w:tc>
          <w:tcPr>
            <w:tcW w:w="2600" w:type="dxa"/>
            <w:vAlign w:val="center"/>
          </w:tcPr>
          <w:p w14:paraId="2357080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获配/在建，目标2027Q1</w:t>
            </w:r>
          </w:p>
        </w:tc>
        <w:tc>
          <w:tcPr>
            <w:tcW w:w="3400" w:type="dxa"/>
            <w:vAlign w:val="center"/>
          </w:tcPr>
          <w:p w14:paraId="5CDAF2F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互联与AI-ready节点</w:t>
            </w:r>
          </w:p>
        </w:tc>
      </w:tr>
      <w:tr w:rsidR="007B5C49" w14:paraId="688E0B90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258AD1F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AirTrunk Johor</w:t>
            </w:r>
          </w:p>
        </w:tc>
        <w:tc>
          <w:tcPr>
            <w:tcW w:w="2500" w:type="dxa"/>
            <w:vAlign w:val="center"/>
          </w:tcPr>
          <w:p w14:paraId="59A581D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JHB1 150MW；JHB2&gt;270MW</w:t>
            </w:r>
          </w:p>
        </w:tc>
        <w:tc>
          <w:tcPr>
            <w:tcW w:w="2600" w:type="dxa"/>
            <w:vAlign w:val="center"/>
          </w:tcPr>
          <w:p w14:paraId="3D71F24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园区能力/分期，总投资约RM9.7bn</w:t>
            </w:r>
          </w:p>
        </w:tc>
        <w:tc>
          <w:tcPr>
            <w:tcW w:w="3400" w:type="dxa"/>
            <w:vAlign w:val="center"/>
          </w:tcPr>
          <w:p w14:paraId="5768BFA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大规模云与AI承接</w:t>
            </w:r>
          </w:p>
        </w:tc>
      </w:tr>
      <w:tr w:rsidR="007B5C49" w14:paraId="64A0BC8D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2C5E8A9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Ireland</w:t>
            </w:r>
          </w:p>
        </w:tc>
        <w:tc>
          <w:tcPr>
            <w:tcW w:w="2500" w:type="dxa"/>
            <w:vAlign w:val="center"/>
          </w:tcPr>
          <w:p w14:paraId="41F7F00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连接按位置、自备电、灵活性</w:t>
            </w:r>
          </w:p>
        </w:tc>
        <w:tc>
          <w:tcPr>
            <w:tcW w:w="2600" w:type="dxa"/>
            <w:vAlign w:val="center"/>
          </w:tcPr>
          <w:p w14:paraId="5FBF9A8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2025更新政策</w:t>
            </w:r>
          </w:p>
        </w:tc>
        <w:tc>
          <w:tcPr>
            <w:tcW w:w="3400" w:type="dxa"/>
            <w:vAlign w:val="center"/>
          </w:tcPr>
          <w:p w14:paraId="5497F50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电网约束下选择性接入</w:t>
            </w:r>
          </w:p>
        </w:tc>
      </w:tr>
      <w:tr w:rsidR="007B5C49" w14:paraId="32658F6D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056E5C5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EU EED</w:t>
            </w:r>
          </w:p>
        </w:tc>
        <w:tc>
          <w:tcPr>
            <w:tcW w:w="2500" w:type="dxa"/>
            <w:vAlign w:val="center"/>
          </w:tcPr>
          <w:p w14:paraId="75D95DC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IT功率≥500kW需报告</w:t>
            </w:r>
          </w:p>
        </w:tc>
        <w:tc>
          <w:tcPr>
            <w:tcW w:w="2600" w:type="dxa"/>
            <w:vAlign w:val="center"/>
          </w:tcPr>
          <w:p w14:paraId="2EEEA16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绩效披露门槛</w:t>
            </w:r>
          </w:p>
        </w:tc>
        <w:tc>
          <w:tcPr>
            <w:tcW w:w="3400" w:type="dxa"/>
            <w:vAlign w:val="center"/>
          </w:tcPr>
          <w:p w14:paraId="13B2189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统一能效与可持续数据</w:t>
            </w:r>
          </w:p>
        </w:tc>
      </w:tr>
    </w:tbl>
    <w:p w14:paraId="7D3C2222" w14:textId="77777777" w:rsidR="007B5C49" w:rsidRDefault="007B5C49">
      <w:pPr>
        <w:spacing w:after="40"/>
      </w:pPr>
    </w:p>
    <w:p w14:paraId="06F674E1" w14:textId="77777777" w:rsidR="007B5C49" w:rsidRDefault="00000000">
      <w:pPr>
        <w:pStyle w:val="Heading2"/>
      </w:pPr>
      <w:r>
        <w:t xml:space="preserve">3. </w:t>
      </w:r>
      <w:r>
        <w:t>爱尔兰从事实暂停转向有条件连接路径</w:t>
      </w:r>
    </w:p>
    <w:p w14:paraId="37EE9F40" w14:textId="77777777" w:rsidR="007B5C49" w:rsidRDefault="00000000">
      <w:r>
        <w:t>爱尔兰政府2022政策曾指出数据中心约占全国用电14%，并承认短中期电力约束。2025年12月更新的大能源用户连接政策重新提供连接路径，但强调电力安全、网络约束和可再生能源目标；政府偏好带来较高经济活动、有效利用可再生能源和电网、并与可再生电源共址的项目。</w:t>
      </w:r>
    </w:p>
    <w:p w14:paraId="586026FA" w14:textId="77777777" w:rsidR="007B5C49" w:rsidRDefault="00000000">
      <w:r>
        <w:t>这不是“所有项目重新放开”。系统运营商仍会看地点、现场发电以及紧急时能否降低负荷。对开发商而言，拿到土地和规划许可不等于拿到并网；能否灵活运行和带来自备资源，已成为接入资格的一部分。</w:t>
      </w:r>
    </w:p>
    <w:p w14:paraId="7BC41EA8" w14:textId="77777777" w:rsidR="007B5C49" w:rsidRDefault="00000000">
      <w:pPr>
        <w:pStyle w:val="Heading2"/>
      </w:pPr>
      <w:r>
        <w:t>4. EU EED</w:t>
      </w:r>
      <w:r>
        <w:t>把数据中心从自愿披露推向监管数据库</w:t>
      </w:r>
    </w:p>
    <w:p w14:paraId="2DD90B11" w14:textId="77777777" w:rsidR="007B5C49" w:rsidRDefault="00000000">
      <w:r>
        <w:t>欧盟Energy Efficiency Directive相关委托法规要求成员国收集数据中心能耗与可持续性指标。爱尔兰实施页面明确：安装IT功率至少500kW的数据中心运营商需要向欧洲数据库报告。该门槛是披露义务，不是500kW以上禁止建设。</w:t>
      </w:r>
    </w:p>
    <w:p w14:paraId="7A8A6490" w14:textId="77777777" w:rsidR="007B5C49" w:rsidRDefault="00000000">
      <w:r>
        <w:t>欧洲各地约束不同：爱尔兰主要是电网安全，Amsterdam/荷兰曾通过空间规划限制超大园区，Frankfurt和London更多受土地、电网和规划周期影响。报告不应把不同国家政策合并成“欧洲禁建”，而应逐地记录能源、规划、能效披露和热回收要求。</w:t>
      </w:r>
    </w:p>
    <w:p w14:paraId="2A40DCE7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34B056C0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156755AC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区域再分工</w:t>
            </w:r>
          </w:p>
          <w:p w14:paraId="384E7376" w14:textId="77777777" w:rsidR="007B5C49" w:rsidRDefault="00000000">
            <w:pPr>
              <w:spacing w:after="0" w:line="288" w:lineRule="auto"/>
            </w:pPr>
            <w:r>
              <w:t>核心城市土地/电力趋紧 → 政府以配额、连接优先级和能效披露筛选项目 → 小型互联与合规节点留在核心城市 → 大规模云和AI容量转向邻近低成本地区 → 跨境光纤把两类设施连接 → 周边市场随后也开始设置PUE/WUE和电力门槛。</w:t>
            </w:r>
          </w:p>
        </w:tc>
      </w:tr>
    </w:tbl>
    <w:p w14:paraId="6BFCD844" w14:textId="77777777" w:rsidR="007B5C49" w:rsidRDefault="007B5C49">
      <w:pPr>
        <w:spacing w:after="40"/>
      </w:pPr>
    </w:p>
    <w:p w14:paraId="5E01A4B5" w14:textId="77777777" w:rsidR="007B5C49" w:rsidRDefault="00000000">
      <w:pPr>
        <w:pStyle w:val="QALabel"/>
      </w:pPr>
      <w:r>
        <w:t>来源</w:t>
      </w:r>
    </w:p>
    <w:p w14:paraId="0018A546" w14:textId="77777777" w:rsidR="007B5C49" w:rsidRDefault="00000000">
      <w:pPr>
        <w:spacing w:after="80"/>
        <w:ind w:left="360" w:hanging="288"/>
      </w:pPr>
      <w:r>
        <w:rPr>
          <w:b/>
        </w:rPr>
        <w:t>• Singapore EDB｜DC-CFA2</w:t>
      </w:r>
      <w:r>
        <w:t>：至少200MW政策容量</w:t>
      </w:r>
      <w:r>
        <w:rPr>
          <w:color w:val="1F4E79"/>
        </w:rPr>
        <w:br/>
        <w:t>https://www.edb.gov.sg/en/about-edb/media-releases-publications/launch-of-second-data-centre-call-for-application.html</w:t>
      </w:r>
    </w:p>
    <w:p w14:paraId="4C892906" w14:textId="77777777" w:rsidR="007B5C49" w:rsidRDefault="00000000">
      <w:pPr>
        <w:spacing w:after="80"/>
        <w:ind w:left="360" w:hanging="288"/>
      </w:pPr>
      <w:r>
        <w:rPr>
          <w:b/>
        </w:rPr>
        <w:t>• Singapore EDB｜DayOne 20MW</w:t>
      </w:r>
      <w:r>
        <w:t>：面积、状态与技术路线</w:t>
      </w:r>
      <w:r>
        <w:rPr>
          <w:color w:val="1F4E79"/>
        </w:rPr>
        <w:br/>
        <w:t>https://www.edb.gov.sg/en/about-edb/media-releases-publications/dayone-breaks-ground-on-first-singapore-data-center.html</w:t>
      </w:r>
    </w:p>
    <w:p w14:paraId="44F7A6AB" w14:textId="77777777" w:rsidR="007B5C49" w:rsidRDefault="00000000">
      <w:pPr>
        <w:spacing w:after="80"/>
        <w:ind w:left="360" w:hanging="288"/>
      </w:pPr>
      <w:r>
        <w:rPr>
          <w:b/>
        </w:rPr>
        <w:lastRenderedPageBreak/>
        <w:t>• Singapore EDB｜Equinix 20MW</w:t>
      </w:r>
      <w:r>
        <w:t>：预计2027Q1</w:t>
      </w:r>
      <w:r>
        <w:rPr>
          <w:color w:val="1F4E79"/>
        </w:rPr>
        <w:br/>
        <w:t>https://www.edb.gov.sg/en/about-edb/media-releases-publications/equinix-advances-ai-with-high-performance-data-center-in-singapore.html</w:t>
      </w:r>
    </w:p>
    <w:p w14:paraId="6BC1CD47" w14:textId="77777777" w:rsidR="007B5C49" w:rsidRDefault="00000000">
      <w:pPr>
        <w:spacing w:after="80"/>
        <w:ind w:left="360" w:hanging="288"/>
      </w:pPr>
      <w:r>
        <w:rPr>
          <w:b/>
        </w:rPr>
        <w:t>• MIDA｜AirTrunk JHB1/JHB2</w:t>
      </w:r>
      <w:r>
        <w:t>：420MW+与RM9.7bn</w:t>
      </w:r>
      <w:r>
        <w:rPr>
          <w:color w:val="1F4E79"/>
        </w:rPr>
        <w:br/>
        <w:t>https://www.mida.gov.my/mida-news/airtrunk-to-build-second-data-centre-in-johor-combined-cost-of-two-facilities-at-rm9-7bil/</w:t>
      </w:r>
    </w:p>
    <w:p w14:paraId="04ED10DC" w14:textId="77777777" w:rsidR="007B5C49" w:rsidRDefault="00000000">
      <w:pPr>
        <w:spacing w:after="80"/>
        <w:ind w:left="360" w:hanging="288"/>
      </w:pPr>
      <w:r>
        <w:rPr>
          <w:b/>
        </w:rPr>
        <w:t>• Ireland DETE｜Large Energy User Action Plan</w:t>
      </w:r>
      <w:r>
        <w:t>：2025更新连接政策</w:t>
      </w:r>
      <w:r>
        <w:rPr>
          <w:color w:val="1F4E79"/>
        </w:rPr>
        <w:br/>
        <w:t>https://enterprise.gov.ie/en/news-and-events/department-news/2026/january/20260113.html</w:t>
      </w:r>
    </w:p>
    <w:p w14:paraId="15AC8956" w14:textId="77777777" w:rsidR="007B5C49" w:rsidRDefault="00000000">
      <w:pPr>
        <w:spacing w:after="80"/>
        <w:ind w:left="360" w:hanging="288"/>
      </w:pPr>
      <w:r>
        <w:rPr>
          <w:b/>
        </w:rPr>
        <w:t>• Ireland Government｜EED reporting</w:t>
      </w:r>
      <w:r>
        <w:t>：500kW披露门槛</w:t>
      </w:r>
      <w:r>
        <w:rPr>
          <w:color w:val="1F4E79"/>
        </w:rPr>
        <w:br/>
        <w:t>https://www.gov.ie/en/department-of-climate-energy-and-the-environment/publications/data-centre-energy-and-sustainability-performance-reporting-obligations/</w:t>
      </w:r>
    </w:p>
    <w:p w14:paraId="171D71AD" w14:textId="77777777" w:rsidR="007B5C49" w:rsidRDefault="00000000">
      <w:pPr>
        <w:pStyle w:val="Heading1"/>
        <w:pageBreakBefore/>
      </w:pPr>
      <w:r>
        <w:lastRenderedPageBreak/>
        <w:t>Q19</w:t>
      </w:r>
      <w:r>
        <w:t>：中东国家级项目与中国</w:t>
      </w:r>
      <w:r>
        <w:t>“</w:t>
      </w:r>
      <w:r>
        <w:t>东数西算</w:t>
      </w:r>
      <w:r>
        <w:t>”</w:t>
      </w:r>
      <w:r>
        <w:t>分别靠什么推进？</w:t>
      </w:r>
    </w:p>
    <w:p w14:paraId="5F9EAD9F" w14:textId="77777777" w:rsidR="007B5C49" w:rsidRDefault="00000000">
      <w:pPr>
        <w:pStyle w:val="QALabel"/>
      </w:pPr>
      <w:r>
        <w:t>通俗问题</w:t>
      </w:r>
    </w:p>
    <w:p w14:paraId="65779A4E" w14:textId="77777777" w:rsidR="007B5C49" w:rsidRDefault="00000000">
      <w:r>
        <w:t>沙特、阿联酋和中国都在建设国家级算力基础设施，它们的资金、电力、客户和政策逻辑有什么不同？</w:t>
      </w:r>
    </w:p>
    <w:p w14:paraId="3867919B" w14:textId="77777777" w:rsidR="007B5C49" w:rsidRDefault="00000000">
      <w:pPr>
        <w:pStyle w:val="QALabel"/>
      </w:pPr>
      <w:r>
        <w:t>主要研究（专业）</w:t>
      </w:r>
    </w:p>
    <w:p w14:paraId="7849B707" w14:textId="77777777" w:rsidR="007B5C49" w:rsidRDefault="00000000">
      <w:r>
        <w:t>主权资本、国家产业战略、芯片与云伙伴、能源布局、跨区域算力网络。</w:t>
      </w:r>
    </w:p>
    <w:p w14:paraId="3EFF91F0" w14:textId="77777777" w:rsidR="007B5C49" w:rsidRDefault="00000000">
      <w:pPr>
        <w:pStyle w:val="QALabel"/>
      </w:pPr>
      <w:r>
        <w:t>研究方向</w:t>
      </w:r>
    </w:p>
    <w:p w14:paraId="6D8E6A8B" w14:textId="77777777" w:rsidR="007B5C49" w:rsidRDefault="00000000">
      <w:pPr>
        <w:pStyle w:val="ListBullet"/>
        <w:spacing w:after="80" w:line="288" w:lineRule="auto"/>
        <w:ind w:left="403" w:hanging="259"/>
      </w:pPr>
      <w:r>
        <w:t>区分中东运营容量、在建项目和国家远期愿景。</w:t>
      </w:r>
    </w:p>
    <w:p w14:paraId="0B9A45D8" w14:textId="77777777" w:rsidR="007B5C49" w:rsidRDefault="00000000">
      <w:pPr>
        <w:pStyle w:val="ListBullet"/>
        <w:spacing w:after="80" w:line="288" w:lineRule="auto"/>
        <w:ind w:left="403" w:hanging="259"/>
      </w:pPr>
      <w:r>
        <w:t>核对UAE 5GW、Saudi 440/467MW及1.5GW Oxagon等数字状态。</w:t>
      </w:r>
    </w:p>
    <w:p w14:paraId="38761FCC" w14:textId="77777777" w:rsidR="007B5C49" w:rsidRDefault="00000000">
      <w:pPr>
        <w:pStyle w:val="ListBullet"/>
        <w:spacing w:after="80" w:line="288" w:lineRule="auto"/>
        <w:ind w:left="403" w:hanging="259"/>
      </w:pPr>
      <w:r>
        <w:t>解释中国八大枢纽、十个集群和西部智算占比的政策机制。</w:t>
      </w:r>
    </w:p>
    <w:p w14:paraId="26AEB505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31B2DEC6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1763477A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56B9D1CF" w14:textId="77777777" w:rsidR="007B5C49" w:rsidRDefault="00000000">
            <w:pPr>
              <w:spacing w:after="0" w:line="288" w:lineRule="auto"/>
            </w:pPr>
            <w:r>
              <w:t>中东依靠主权资本、低成本能源、土地和国际芯片/云合作建立区域出口型算力；中国通过国家枢纽、跨区网络和算电协同把东部需求引向西部。两者都强调能源换算力，但中东更依赖国际技术许可和锚定客户，中国更依赖国内网络调度、国产供应链与区域产业政策。</w:t>
            </w:r>
          </w:p>
        </w:tc>
      </w:tr>
    </w:tbl>
    <w:p w14:paraId="36190CF9" w14:textId="77777777" w:rsidR="007B5C49" w:rsidRDefault="007B5C49">
      <w:pPr>
        <w:spacing w:after="40"/>
      </w:pPr>
    </w:p>
    <w:p w14:paraId="7A138B63" w14:textId="77777777" w:rsidR="007B5C49" w:rsidRDefault="00000000">
      <w:pPr>
        <w:pStyle w:val="QALabel"/>
      </w:pPr>
      <w:r>
        <w:t>详细支撑</w:t>
      </w:r>
    </w:p>
    <w:p w14:paraId="5AD75A7C" w14:textId="77777777" w:rsidR="007B5C49" w:rsidRDefault="00000000">
      <w:pPr>
        <w:pStyle w:val="Heading2"/>
      </w:pPr>
      <w:r>
        <w:t>1. UAE</w:t>
      </w:r>
      <w:r>
        <w:t>的</w:t>
      </w:r>
      <w:r>
        <w:t>5GW</w:t>
      </w:r>
      <w:r>
        <w:t>是国家级园区上限，首期只占其中一小部分</w:t>
      </w:r>
    </w:p>
    <w:p w14:paraId="12B73B1D" w14:textId="77777777" w:rsidR="007B5C49" w:rsidRDefault="00000000">
      <w:r>
        <w:t>美阿2025年技术合作框架包括在Abu Dhabi启动1GW AI数据中心，作为规划5GW UAE-US AI集群的一部分。UAE官方称5GW园区将由G42建设，与美国企业合作运营，并使用核电、太阳能和天然气。5GW是园区远期规划，不是2025年运营容量。</w:t>
      </w:r>
    </w:p>
    <w:p w14:paraId="1A6388E0" w14:textId="77777777" w:rsidR="007B5C49" w:rsidRDefault="00000000">
      <w:r>
        <w:t>Stargate UAE的可跟踪交付单元是1GW集群中的首个200MW，Cisco公告目标2026年交付。研究数据库应记录：5GW国家园区规划、1GW项目目标、200MW首期交付，三层不得相加。项目还受先进芯片出口许可、数据安全和美国合作伙伴运营条件影响。</w:t>
      </w:r>
    </w:p>
    <w:p w14:paraId="7786BBD5" w14:textId="77777777" w:rsidR="007B5C49" w:rsidRDefault="00000000">
      <w:pPr>
        <w:pStyle w:val="Heading2"/>
      </w:pPr>
      <w:r>
        <w:t>2. Saudi</w:t>
      </w:r>
      <w:r>
        <w:t>的现有容量增长快，但</w:t>
      </w:r>
      <w:r>
        <w:t>GW</w:t>
      </w:r>
      <w:r>
        <w:t>项目主要仍在建设和规划</w:t>
      </w:r>
    </w:p>
    <w:p w14:paraId="06E0DF01" w14:textId="77777777" w:rsidR="007B5C49" w:rsidRDefault="00000000">
      <w:r>
        <w:t>Saudi官方称运营容量由2021年68MW增至2025年超过440MW，2026年一季度约467MW；这是最接近当前供给的国家口径。与之相比，NEOM/DataVolt Oxagon项目远期1.5GW，首阶段投资50亿美元、目标2028年运营；stc与HUMAIN合资目标最高1GW；Riyadh Hexagon政府数据中心规划480MW且已举行奠基。</w:t>
      </w:r>
    </w:p>
    <w:p w14:paraId="7BD7F02B" w14:textId="77777777" w:rsidR="007B5C49" w:rsidRDefault="00000000">
      <w:r>
        <w:t>2026年7月Saudi部长进一步提出2030年建设3GW、2034年6.9GW，并称已有12.8GW可用电力支持。这些是政府发展目标和电力可用性主张，不能与467MW运营容量相加。它们反映国家动员能力，但仍需逐项目核对芯片、客户、冷却、施工和通电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600"/>
        <w:gridCol w:w="2000"/>
        <w:gridCol w:w="3700"/>
      </w:tblGrid>
      <w:tr w:rsidR="007B5C49" w14:paraId="3292B9E9" w14:textId="77777777">
        <w:trPr>
          <w:tblHeader/>
          <w:jc w:val="center"/>
        </w:trPr>
        <w:tc>
          <w:tcPr>
            <w:tcW w:w="1800" w:type="dxa"/>
            <w:shd w:val="clear" w:color="auto" w:fill="D9EAF7"/>
          </w:tcPr>
          <w:p w14:paraId="2625946A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lastRenderedPageBreak/>
              <w:t>国家/项目</w:t>
            </w:r>
          </w:p>
        </w:tc>
        <w:tc>
          <w:tcPr>
            <w:tcW w:w="2600" w:type="dxa"/>
            <w:shd w:val="clear" w:color="auto" w:fill="D9EAF7"/>
          </w:tcPr>
          <w:p w14:paraId="0ABB647A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公开数字</w:t>
            </w:r>
          </w:p>
        </w:tc>
        <w:tc>
          <w:tcPr>
            <w:tcW w:w="2000" w:type="dxa"/>
            <w:shd w:val="clear" w:color="auto" w:fill="D9EAF7"/>
          </w:tcPr>
          <w:p w14:paraId="520A581D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状态</w:t>
            </w:r>
          </w:p>
        </w:tc>
        <w:tc>
          <w:tcPr>
            <w:tcW w:w="3700" w:type="dxa"/>
            <w:shd w:val="clear" w:color="auto" w:fill="D9EAF7"/>
          </w:tcPr>
          <w:p w14:paraId="71E3286C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主要推动力与风险</w:t>
            </w:r>
          </w:p>
        </w:tc>
      </w:tr>
      <w:tr w:rsidR="007B5C49" w14:paraId="6134A79A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1F2F11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UAE-US AI Campus</w:t>
            </w:r>
          </w:p>
        </w:tc>
        <w:tc>
          <w:tcPr>
            <w:tcW w:w="2600" w:type="dxa"/>
            <w:vAlign w:val="center"/>
          </w:tcPr>
          <w:p w14:paraId="2017EA3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5GW</w:t>
            </w:r>
          </w:p>
        </w:tc>
        <w:tc>
          <w:tcPr>
            <w:tcW w:w="2000" w:type="dxa"/>
            <w:vAlign w:val="center"/>
          </w:tcPr>
          <w:p w14:paraId="5080A77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国家园区规划</w:t>
            </w:r>
          </w:p>
        </w:tc>
        <w:tc>
          <w:tcPr>
            <w:tcW w:w="3700" w:type="dxa"/>
            <w:vAlign w:val="center"/>
          </w:tcPr>
          <w:p w14:paraId="72A5E44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主权资本、能源、美国技术；许可与客户风险</w:t>
            </w:r>
          </w:p>
        </w:tc>
      </w:tr>
      <w:tr w:rsidR="007B5C49" w14:paraId="6DAF2858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C0EB75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Stargate UAE</w:t>
            </w:r>
          </w:p>
        </w:tc>
        <w:tc>
          <w:tcPr>
            <w:tcW w:w="2600" w:type="dxa"/>
            <w:vAlign w:val="center"/>
          </w:tcPr>
          <w:p w14:paraId="1B9CF3E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1GW；首期200MW</w:t>
            </w:r>
          </w:p>
        </w:tc>
        <w:tc>
          <w:tcPr>
            <w:tcW w:w="2000" w:type="dxa"/>
            <w:vAlign w:val="center"/>
          </w:tcPr>
          <w:p w14:paraId="6F46AB1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建设/目标2026首期</w:t>
            </w:r>
          </w:p>
        </w:tc>
        <w:tc>
          <w:tcPr>
            <w:tcW w:w="3700" w:type="dxa"/>
            <w:vAlign w:val="center"/>
          </w:tcPr>
          <w:p w14:paraId="051E124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G42+OpenAI/Oracle/NVIDIA/Cisco/SoftBank</w:t>
            </w:r>
          </w:p>
        </w:tc>
      </w:tr>
      <w:tr w:rsidR="007B5C49" w14:paraId="28ED92AE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3ABA4E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Saudi运营市场</w:t>
            </w:r>
          </w:p>
        </w:tc>
        <w:tc>
          <w:tcPr>
            <w:tcW w:w="2600" w:type="dxa"/>
            <w:vAlign w:val="center"/>
          </w:tcPr>
          <w:p w14:paraId="1AE282E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440MW(2025)→467MW(2026Q1)</w:t>
            </w:r>
          </w:p>
        </w:tc>
        <w:tc>
          <w:tcPr>
            <w:tcW w:w="2000" w:type="dxa"/>
            <w:vAlign w:val="center"/>
          </w:tcPr>
          <w:p w14:paraId="7EC4559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运营口径</w:t>
            </w:r>
          </w:p>
        </w:tc>
        <w:tc>
          <w:tcPr>
            <w:tcW w:w="3700" w:type="dxa"/>
            <w:vAlign w:val="center"/>
          </w:tcPr>
          <w:p w14:paraId="4D14903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国内云、政府和区域需求</w:t>
            </w:r>
          </w:p>
        </w:tc>
      </w:tr>
      <w:tr w:rsidR="007B5C49" w14:paraId="409CC8E7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3D20EAF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NEOM/DataVolt Oxagon</w:t>
            </w:r>
          </w:p>
        </w:tc>
        <w:tc>
          <w:tcPr>
            <w:tcW w:w="2600" w:type="dxa"/>
            <w:vAlign w:val="center"/>
          </w:tcPr>
          <w:p w14:paraId="32E3B43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1.5GW；首期$5bn</w:t>
            </w:r>
          </w:p>
        </w:tc>
        <w:tc>
          <w:tcPr>
            <w:tcW w:w="2000" w:type="dxa"/>
            <w:vAlign w:val="center"/>
          </w:tcPr>
          <w:p w14:paraId="648586A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分期开发，首期目标2028</w:t>
            </w:r>
          </w:p>
        </w:tc>
        <w:tc>
          <w:tcPr>
            <w:tcW w:w="3700" w:type="dxa"/>
            <w:vAlign w:val="center"/>
          </w:tcPr>
          <w:p w14:paraId="718CC63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低碳工业区与国家资本</w:t>
            </w:r>
          </w:p>
        </w:tc>
      </w:tr>
      <w:tr w:rsidR="007B5C49" w14:paraId="58FA157B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9D4241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Saudi Hexagon</w:t>
            </w:r>
          </w:p>
        </w:tc>
        <w:tc>
          <w:tcPr>
            <w:tcW w:w="2600" w:type="dxa"/>
            <w:vAlign w:val="center"/>
          </w:tcPr>
          <w:p w14:paraId="3A79DFA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480MW、3000万平方英尺+</w:t>
            </w:r>
          </w:p>
        </w:tc>
        <w:tc>
          <w:tcPr>
            <w:tcW w:w="2000" w:type="dxa"/>
            <w:vAlign w:val="center"/>
          </w:tcPr>
          <w:p w14:paraId="7085B3D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奠基/规划</w:t>
            </w:r>
          </w:p>
        </w:tc>
        <w:tc>
          <w:tcPr>
            <w:tcW w:w="3700" w:type="dxa"/>
            <w:vAlign w:val="center"/>
          </w:tcPr>
          <w:p w14:paraId="5451962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政府数据与AI基础设施</w:t>
            </w:r>
          </w:p>
        </w:tc>
      </w:tr>
      <w:tr w:rsidR="007B5C49" w14:paraId="7E2F59F9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0D16FC2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东数西算</w:t>
            </w:r>
          </w:p>
        </w:tc>
        <w:tc>
          <w:tcPr>
            <w:tcW w:w="2600" w:type="dxa"/>
            <w:vAlign w:val="center"/>
          </w:tcPr>
          <w:p w14:paraId="45D54B2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8枢纽、10集群</w:t>
            </w:r>
          </w:p>
        </w:tc>
        <w:tc>
          <w:tcPr>
            <w:tcW w:w="2000" w:type="dxa"/>
            <w:vAlign w:val="center"/>
          </w:tcPr>
          <w:p w14:paraId="22B0D3D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国家网络持续建设</w:t>
            </w:r>
          </w:p>
        </w:tc>
        <w:tc>
          <w:tcPr>
            <w:tcW w:w="3700" w:type="dxa"/>
            <w:vAlign w:val="center"/>
          </w:tcPr>
          <w:p w14:paraId="74BC7DB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能源地理、算网调度与产业政策</w:t>
            </w:r>
          </w:p>
        </w:tc>
      </w:tr>
    </w:tbl>
    <w:p w14:paraId="799BA1C3" w14:textId="77777777" w:rsidR="007B5C49" w:rsidRDefault="007B5C49">
      <w:pPr>
        <w:spacing w:after="40"/>
      </w:pPr>
    </w:p>
    <w:p w14:paraId="62999CDD" w14:textId="77777777" w:rsidR="007B5C49" w:rsidRDefault="00000000">
      <w:pPr>
        <w:pStyle w:val="Heading2"/>
      </w:pPr>
      <w:r>
        <w:t xml:space="preserve">3. </w:t>
      </w:r>
      <w:r>
        <w:t>中国的核心是把能源地理与算力调度同时重构</w:t>
      </w:r>
    </w:p>
    <w:p w14:paraId="3A23C132" w14:textId="77777777" w:rsidR="007B5C49" w:rsidRDefault="00000000">
      <w:r>
        <w:t>“东数西算”在京津冀、长三角、粤港澳、成渝及贵州、内蒙古、甘肃、宁夏等布局八个国家枢纽和十个数据中心集群。国家数据局称截至2026年一季度，全国智算总规模188万PFLOPS（FP16），八大枢纽已建智算占全国超过80%，137万PFLOPS纳入监测。PFLOPS是计算性能口径，不能换算成数据中心MW。</w:t>
      </w:r>
    </w:p>
    <w:p w14:paraId="08B77F1F" w14:textId="77777777" w:rsidR="007B5C49" w:rsidRDefault="00000000">
      <w:r>
        <w:t>政策目标是把可延迟、可迁移的训练、渲染和离线任务更多放到能源丰富的西部，同时在东部保留低时延业务。到2025年的政策要求包括国家枢纽新增算力占全国新增60%以上、跨枢纽20ms示范网络、新建数据中心绿电占比超过80%。实际效果仍取决于网络价格、芯片供给、客户迁移意愿和利用率。</w:t>
      </w:r>
    </w:p>
    <w:p w14:paraId="02948795" w14:textId="77777777" w:rsidR="007B5C49" w:rsidRDefault="00000000">
      <w:pPr>
        <w:pStyle w:val="Heading2"/>
      </w:pPr>
      <w:r>
        <w:t xml:space="preserve">4. </w:t>
      </w:r>
      <w:r>
        <w:t>两种模式都不能只看</w:t>
      </w:r>
      <w:r>
        <w:t>“</w:t>
      </w:r>
      <w:r>
        <w:t>国家宣布多少</w:t>
      </w:r>
      <w:r>
        <w:t>GW”</w:t>
      </w:r>
    </w:p>
    <w:p w14:paraId="1721FEE7" w14:textId="77777777" w:rsidR="007B5C49" w:rsidRDefault="00000000">
      <w:r>
        <w:t>中东项目容易把国家园区、项目集群、首期和芯片协议重复计算；中国容易把PFLOPS、机架数、投资和MW混成一个规模指标。统一验证方法是：物理设施看IT MW和通电状态；算力服务看可用PFLOPS与利用率；资本看实际投入；政策看配额或目标；芯片看已交付和可用性。</w:t>
      </w:r>
    </w:p>
    <w:p w14:paraId="0E3C9800" w14:textId="77777777" w:rsidR="007B5C49" w:rsidRDefault="00000000">
      <w:r>
        <w:t>中东的优势是土地、能源和资本集中，挑战是本地客户规模、极端气候用水、芯片出口与人才；中国的优势是超大本地需求、完整工程供应链和区域协调，挑战是东西部时延、利用率、先进芯片供给与跨区商业结算。</w:t>
      </w:r>
    </w:p>
    <w:p w14:paraId="459FE555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6160745B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222DC399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国家级算力形成</w:t>
            </w:r>
          </w:p>
          <w:p w14:paraId="50B596A1" w14:textId="77777777" w:rsidR="007B5C49" w:rsidRDefault="00000000">
            <w:pPr>
              <w:spacing w:after="0" w:line="288" w:lineRule="auto"/>
            </w:pPr>
            <w:r>
              <w:t>国家确定AI与数字经济目标 → 提供土地、电力、资本和政策通道 → 引入云、芯片和锚定客户 → 建设首期可交付集群 → 通过网络和平台调度形成区域服务 → 只有持续利用率和客户收入才能把国家规划转为可持续产业。</w:t>
            </w:r>
          </w:p>
        </w:tc>
      </w:tr>
    </w:tbl>
    <w:p w14:paraId="4C5CA70B" w14:textId="77777777" w:rsidR="007B5C49" w:rsidRDefault="007B5C49">
      <w:pPr>
        <w:spacing w:after="40"/>
      </w:pPr>
    </w:p>
    <w:p w14:paraId="19811EA0" w14:textId="77777777" w:rsidR="007B5C49" w:rsidRDefault="00000000">
      <w:pPr>
        <w:pStyle w:val="QALabel"/>
      </w:pPr>
      <w:r>
        <w:t>来源</w:t>
      </w:r>
    </w:p>
    <w:p w14:paraId="09809A7F" w14:textId="77777777" w:rsidR="007B5C49" w:rsidRDefault="00000000">
      <w:pPr>
        <w:spacing w:after="80"/>
        <w:ind w:left="360" w:hanging="288"/>
      </w:pPr>
      <w:r>
        <w:rPr>
          <w:b/>
        </w:rPr>
        <w:t>• US Commerce｜UAE/US framework</w:t>
      </w:r>
      <w:r>
        <w:t>：1GW与5GW层级</w:t>
      </w:r>
      <w:r>
        <w:rPr>
          <w:color w:val="1F4E79"/>
        </w:rPr>
        <w:br/>
        <w:t>https://www.commerce.gov/news/press-releases/2025/05/uae/us-framework-advanced-technology-cooperation</w:t>
      </w:r>
    </w:p>
    <w:p w14:paraId="25B3C0B9" w14:textId="77777777" w:rsidR="007B5C49" w:rsidRDefault="00000000">
      <w:pPr>
        <w:spacing w:after="80"/>
        <w:ind w:left="360" w:hanging="288"/>
      </w:pPr>
      <w:r>
        <w:rPr>
          <w:b/>
        </w:rPr>
        <w:t>• Cisco｜Stargate UAE</w:t>
      </w:r>
      <w:r>
        <w:t>：首期200MW目标2026</w:t>
      </w:r>
      <w:r>
        <w:rPr>
          <w:color w:val="1F4E79"/>
        </w:rPr>
        <w:br/>
        <w:t>https://newsroom.cisco.com/c/r/newsroom/en/us/a/y2025/m05/cisco-joins-stargate-uae-initiative.html</w:t>
      </w:r>
    </w:p>
    <w:p w14:paraId="7BF530BA" w14:textId="77777777" w:rsidR="007B5C49" w:rsidRDefault="00000000">
      <w:pPr>
        <w:spacing w:after="80"/>
        <w:ind w:left="360" w:hanging="288"/>
      </w:pPr>
      <w:r>
        <w:rPr>
          <w:b/>
        </w:rPr>
        <w:lastRenderedPageBreak/>
        <w:t>• Saudi Press Agency｜Operational capacity</w:t>
      </w:r>
      <w:r>
        <w:t>：68MW至440MW</w:t>
      </w:r>
      <w:r>
        <w:rPr>
          <w:color w:val="1F4E79"/>
        </w:rPr>
        <w:br/>
        <w:t>https://www.spa.gov.sa/fa/N2572726</w:t>
      </w:r>
    </w:p>
    <w:p w14:paraId="085B4044" w14:textId="77777777" w:rsidR="007B5C49" w:rsidRDefault="00000000">
      <w:pPr>
        <w:spacing w:after="80"/>
        <w:ind w:left="360" w:hanging="288"/>
      </w:pPr>
      <w:r>
        <w:rPr>
          <w:b/>
        </w:rPr>
        <w:t>• Saudi Press Agency｜NEOM/DataVolt</w:t>
      </w:r>
      <w:r>
        <w:t>：1.5GW与首期50亿美元</w:t>
      </w:r>
      <w:r>
        <w:rPr>
          <w:color w:val="1F4E79"/>
        </w:rPr>
        <w:br/>
        <w:t>https://www.spa.gov.sa/en/N2259124</w:t>
      </w:r>
    </w:p>
    <w:p w14:paraId="2FBD2B60" w14:textId="77777777" w:rsidR="007B5C49" w:rsidRDefault="00000000">
      <w:pPr>
        <w:spacing w:after="80"/>
        <w:ind w:left="360" w:hanging="288"/>
      </w:pPr>
      <w:r>
        <w:rPr>
          <w:b/>
        </w:rPr>
        <w:t>• Saudi Press Agency｜Hexagon</w:t>
      </w:r>
      <w:r>
        <w:t>：480MW与3000万平方英尺+</w:t>
      </w:r>
      <w:r>
        <w:rPr>
          <w:color w:val="1F4E79"/>
        </w:rPr>
        <w:br/>
        <w:t>https://www.spa.gov.sa/en/N2480096</w:t>
      </w:r>
    </w:p>
    <w:p w14:paraId="0735BDF9" w14:textId="77777777" w:rsidR="007B5C49" w:rsidRDefault="00000000">
      <w:pPr>
        <w:spacing w:after="80"/>
        <w:ind w:left="360" w:hanging="288"/>
      </w:pPr>
      <w:r>
        <w:rPr>
          <w:b/>
        </w:rPr>
        <w:t>• Saudi Press Agency｜2030/2034 targets</w:t>
      </w:r>
      <w:r>
        <w:t>：3GW、6.9GW与12.8GW公司/政府口径</w:t>
      </w:r>
      <w:r>
        <w:rPr>
          <w:color w:val="1F4E79"/>
        </w:rPr>
        <w:br/>
        <w:t>https://www.spa.gov.sa/en/N2629757</w:t>
      </w:r>
    </w:p>
    <w:p w14:paraId="33C5A07F" w14:textId="77777777" w:rsidR="007B5C49" w:rsidRDefault="00000000">
      <w:pPr>
        <w:spacing w:after="80"/>
        <w:ind w:left="360" w:hanging="288"/>
      </w:pPr>
      <w:r>
        <w:rPr>
          <w:b/>
        </w:rPr>
        <w:t>• 国家数据局｜2026年东数西算进展</w:t>
      </w:r>
      <w:r>
        <w:t>：188万PFLOPS与80%占比</w:t>
      </w:r>
      <w:r>
        <w:rPr>
          <w:color w:val="1F4E79"/>
        </w:rPr>
        <w:br/>
        <w:t>https://www.nda.gov.cn/sjj/ywpd/sjzg/0429/20260428225238659058846_pc.html</w:t>
      </w:r>
    </w:p>
    <w:p w14:paraId="3FAAF3F7" w14:textId="77777777" w:rsidR="007B5C49" w:rsidRDefault="00000000">
      <w:pPr>
        <w:spacing w:after="80"/>
        <w:ind w:left="360" w:hanging="288"/>
      </w:pPr>
      <w:r>
        <w:rPr>
          <w:b/>
        </w:rPr>
        <w:t>• 国家数据局｜全国一体化算力网实施意见</w:t>
      </w:r>
      <w:r>
        <w:t>：60%、20ms和80%绿电目标</w:t>
      </w:r>
      <w:r>
        <w:rPr>
          <w:color w:val="1F4E79"/>
        </w:rPr>
        <w:br/>
        <w:t>https://www.nda.gov.cn/sjj/swdt/sjdt/0829/20240829161759725818211_pc.html</w:t>
      </w:r>
    </w:p>
    <w:p w14:paraId="1C5E1DAE" w14:textId="77777777" w:rsidR="007B5C49" w:rsidRDefault="00000000">
      <w:pPr>
        <w:pStyle w:val="Heading1"/>
        <w:pageBreakBefore/>
      </w:pPr>
      <w:r>
        <w:lastRenderedPageBreak/>
        <w:t>Q20</w:t>
      </w:r>
      <w:r>
        <w:t>：</w:t>
      </w:r>
      <w:r>
        <w:t>1GW AI</w:t>
      </w:r>
      <w:r>
        <w:t>园区大约需要多少土地、资本和水？</w:t>
      </w:r>
    </w:p>
    <w:p w14:paraId="61A5529B" w14:textId="77777777" w:rsidR="007B5C49" w:rsidRDefault="00000000">
      <w:pPr>
        <w:pStyle w:val="QALabel"/>
      </w:pPr>
      <w:r>
        <w:t>通俗问题</w:t>
      </w:r>
    </w:p>
    <w:p w14:paraId="1E5EFF91" w14:textId="77777777" w:rsidR="007B5C49" w:rsidRDefault="00000000">
      <w:r>
        <w:t>如果计划建设1GW AI园区，应该预留多少土地、准备多少钱、担心多少用水？能不能给一个通用经验值？</w:t>
      </w:r>
    </w:p>
    <w:p w14:paraId="3D7F2FCC" w14:textId="77777777" w:rsidR="007B5C49" w:rsidRDefault="00000000">
      <w:pPr>
        <w:pStyle w:val="QALabel"/>
      </w:pPr>
      <w:r>
        <w:t>主要研究（专业）</w:t>
      </w:r>
    </w:p>
    <w:p w14:paraId="535981F2" w14:textId="77777777" w:rsidR="007B5C49" w:rsidRDefault="00000000">
      <w:r>
        <w:t>基于可核项目的土地/建筑/资本强度区间，水耗情景模型及误差来源。</w:t>
      </w:r>
    </w:p>
    <w:p w14:paraId="2BDAFCC7" w14:textId="77777777" w:rsidR="007B5C49" w:rsidRDefault="00000000">
      <w:pPr>
        <w:pStyle w:val="QALabel"/>
      </w:pPr>
      <w:r>
        <w:t>研究方向</w:t>
      </w:r>
    </w:p>
    <w:p w14:paraId="0B202C4C" w14:textId="77777777" w:rsidR="007B5C49" w:rsidRDefault="00000000">
      <w:pPr>
        <w:pStyle w:val="ListBullet"/>
        <w:spacing w:after="80" w:line="288" w:lineRule="auto"/>
        <w:ind w:left="403" w:hanging="259"/>
      </w:pPr>
      <w:r>
        <w:t>用Abilene、Hyperion、Saudi Hexagon等具体项目建立区间，不用单一项目外推全球。</w:t>
      </w:r>
    </w:p>
    <w:p w14:paraId="6C501674" w14:textId="77777777" w:rsidR="007B5C49" w:rsidRDefault="00000000">
      <w:pPr>
        <w:pStyle w:val="ListBullet"/>
        <w:spacing w:after="80" w:line="288" w:lineRule="auto"/>
        <w:ind w:left="403" w:hanging="259"/>
      </w:pPr>
      <w:r>
        <w:t>把建筑与长期基础设施资本和GPU/服务器资本分开。</w:t>
      </w:r>
    </w:p>
    <w:p w14:paraId="577A5ED8" w14:textId="77777777" w:rsidR="007B5C49" w:rsidRDefault="00000000">
      <w:pPr>
        <w:pStyle w:val="ListBullet"/>
        <w:spacing w:after="80" w:line="288" w:lineRule="auto"/>
        <w:ind w:left="403" w:hanging="259"/>
      </w:pPr>
      <w:r>
        <w:t>用PUE、负荷率和WUE推算水电需求，并明确假设。</w:t>
      </w:r>
    </w:p>
    <w:p w14:paraId="0C95644E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3DBBDB5D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5A35C406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5BAE0327" w14:textId="77777777" w:rsidR="007B5C49" w:rsidRDefault="00000000">
            <w:pPr>
              <w:spacing w:after="0" w:line="288" w:lineRule="auto"/>
            </w:pPr>
            <w:r>
              <w:t>1GW没有唯一模板。高密度AI园区建筑和长期基础设施可粗略落在约125亿—270亿美元/GW，土地从数百至上千英亩；若按PUE 1.2、90%负荷率，年取电约9.46TWh。WUE通常以IT设备电量为分母，按0.2—2.0 L/kWh可对应约15.8亿—157.7亿升/年，跨度十倍，说明冷却路线和气候比“1GW”本身更决定水耗。</w:t>
            </w:r>
          </w:p>
        </w:tc>
      </w:tr>
    </w:tbl>
    <w:p w14:paraId="6ADB63B6" w14:textId="77777777" w:rsidR="007B5C49" w:rsidRDefault="007B5C49">
      <w:pPr>
        <w:spacing w:after="40"/>
      </w:pPr>
    </w:p>
    <w:p w14:paraId="7D8D30A7" w14:textId="77777777" w:rsidR="007B5C49" w:rsidRDefault="00000000">
      <w:pPr>
        <w:pStyle w:val="QALabel"/>
      </w:pPr>
      <w:r>
        <w:t>详细支撑</w:t>
      </w:r>
    </w:p>
    <w:p w14:paraId="2C907A52" w14:textId="77777777" w:rsidR="007B5C49" w:rsidRDefault="00000000">
      <w:pPr>
        <w:pStyle w:val="Heading2"/>
      </w:pPr>
      <w:r>
        <w:t xml:space="preserve">1. </w:t>
      </w:r>
      <w:r>
        <w:t>资本强度：先定义是否包含服务器和芯片</w:t>
      </w:r>
    </w:p>
    <w:p w14:paraId="3DB154CF" w14:textId="77777777" w:rsidR="007B5C49" w:rsidRDefault="00000000">
      <w:r>
        <w:t>Crusoe/Blue Owl在Abilene为1.2GW园区披露约150亿美元合资规模，约合125亿美元/GW；Meta/Blue Owl Hyperion披露建筑及长期电力、冷却、连接基础设施总开发成本约270亿美元，园区远期5GW，但该融资对应的设施范围和阶段并未简单等于完整5GW芯片投入。若把270亿美元全部除以5GW只得到54亿美元/GW，反而会低估分期边界和未纳入的计算设备。</w:t>
      </w:r>
    </w:p>
    <w:p w14:paraId="570F6BCE" w14:textId="77777777" w:rsidR="007B5C49" w:rsidRDefault="00000000">
      <w:r>
        <w:t>因此更稳妥的规划区间是：不含GPU服务器的建筑、供电、冷却和连接基础设施约100亿—200亿美元/GW，高复杂度或首期基础设施前置项目可高于此；完整AI计算资产还可能再增加数百亿美元/GW，取决于芯片代际。这个区间是基于项目的研究估算，不是行业统一报价。</w:t>
      </w:r>
    </w:p>
    <w:p w14:paraId="05A7992D" w14:textId="77777777" w:rsidR="007B5C49" w:rsidRDefault="00000000">
      <w:pPr>
        <w:pStyle w:val="Heading2"/>
      </w:pPr>
      <w:r>
        <w:t xml:space="preserve">2. </w:t>
      </w:r>
      <w:r>
        <w:t>土地：从建筑足迹推导时必须保留公共设施和缓冲区</w:t>
      </w:r>
    </w:p>
    <w:p w14:paraId="09AC16F0" w14:textId="77777777" w:rsidR="007B5C49" w:rsidRDefault="00000000">
      <w:r>
        <w:t>Abilene 1.2GW对应八栋、约400万平方英尺建筑，折合约333万平方英尺/GW；Hyperion同样约400万平方英尺，但远期5GW，显示高密度和分期口径会使“每GW建筑面积”差异巨大。Saudi Hexagon规划480MW却占地超过3000万平方英尺，约689英亩，反映政府Tier IV园区、安保、道路和远期空间并非纯机房面积。</w:t>
      </w:r>
    </w:p>
    <w:p w14:paraId="29F8A285" w14:textId="77777777" w:rsidR="007B5C49" w:rsidRDefault="00000000">
      <w:r>
        <w:lastRenderedPageBreak/>
        <w:t>实务上，1GW绿地园区可先预留约500—1,500英亩作为筛选区间，包含数据楼、变电站、现场电源、冷却、道路、蓄水、仓储和缓冲带；若采用多层建筑、外部电厂或高密度液冷，土地可更少。该范围是估算，项目必须根据建筑覆盖率和电源方案重算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200"/>
        <w:gridCol w:w="3000"/>
        <w:gridCol w:w="3400"/>
      </w:tblGrid>
      <w:tr w:rsidR="007B5C49" w14:paraId="7137840E" w14:textId="77777777">
        <w:trPr>
          <w:tblHeader/>
          <w:jc w:val="center"/>
        </w:trPr>
        <w:tc>
          <w:tcPr>
            <w:tcW w:w="1900" w:type="dxa"/>
            <w:shd w:val="clear" w:color="auto" w:fill="D9EAF7"/>
          </w:tcPr>
          <w:p w14:paraId="427F9E09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项目/情景</w:t>
            </w:r>
          </w:p>
        </w:tc>
        <w:tc>
          <w:tcPr>
            <w:tcW w:w="2200" w:type="dxa"/>
            <w:shd w:val="clear" w:color="auto" w:fill="D9EAF7"/>
          </w:tcPr>
          <w:p w14:paraId="34DE9151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容量口径</w:t>
            </w:r>
          </w:p>
        </w:tc>
        <w:tc>
          <w:tcPr>
            <w:tcW w:w="3000" w:type="dxa"/>
            <w:shd w:val="clear" w:color="auto" w:fill="D9EAF7"/>
          </w:tcPr>
          <w:p w14:paraId="5979A64B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土地/建筑或资本</w:t>
            </w:r>
          </w:p>
        </w:tc>
        <w:tc>
          <w:tcPr>
            <w:tcW w:w="3400" w:type="dxa"/>
            <w:shd w:val="clear" w:color="auto" w:fill="D9EAF7"/>
          </w:tcPr>
          <w:p w14:paraId="2AED6B3B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可用于推导的边界</w:t>
            </w:r>
          </w:p>
        </w:tc>
      </w:tr>
      <w:tr w:rsidR="007B5C49" w14:paraId="29CA0E28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79D2142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Abilene 1.2GW</w:t>
            </w:r>
          </w:p>
        </w:tc>
        <w:tc>
          <w:tcPr>
            <w:tcW w:w="2200" w:type="dxa"/>
            <w:vAlign w:val="center"/>
          </w:tcPr>
          <w:p w14:paraId="0B5D15B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园区总功率/分期交付</w:t>
            </w:r>
          </w:p>
        </w:tc>
        <w:tc>
          <w:tcPr>
            <w:tcW w:w="3000" w:type="dxa"/>
            <w:vAlign w:val="center"/>
          </w:tcPr>
          <w:p w14:paraId="0D178BD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8栋、约400万ft²；JV约$15bn</w:t>
            </w:r>
          </w:p>
        </w:tc>
        <w:tc>
          <w:tcPr>
            <w:tcW w:w="3400" w:type="dxa"/>
            <w:vAlign w:val="center"/>
          </w:tcPr>
          <w:p w14:paraId="5B5D6A7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约$12.5bn/GW，不含所有GPU边界</w:t>
            </w:r>
          </w:p>
        </w:tc>
      </w:tr>
      <w:tr w:rsidR="007B5C49" w14:paraId="2BAAD045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478DCD7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Meta Hyperion</w:t>
            </w:r>
          </w:p>
        </w:tc>
        <w:tc>
          <w:tcPr>
            <w:tcW w:w="2200" w:type="dxa"/>
            <w:vAlign w:val="center"/>
          </w:tcPr>
          <w:p w14:paraId="26109CF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远期5GW计算容量</w:t>
            </w:r>
          </w:p>
        </w:tc>
        <w:tc>
          <w:tcPr>
            <w:tcW w:w="3000" w:type="dxa"/>
            <w:vAlign w:val="center"/>
          </w:tcPr>
          <w:p w14:paraId="6662427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约400万ft²；设施JV约$27bn</w:t>
            </w:r>
          </w:p>
        </w:tc>
        <w:tc>
          <w:tcPr>
            <w:tcW w:w="3400" w:type="dxa"/>
            <w:vAlign w:val="center"/>
          </w:tcPr>
          <w:p w14:paraId="629C927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资本对应分期与长期设施，不宜简单除5</w:t>
            </w:r>
          </w:p>
        </w:tc>
      </w:tr>
      <w:tr w:rsidR="007B5C49" w14:paraId="12605C3B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5304AB0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Saudi Hexagon</w:t>
            </w:r>
          </w:p>
        </w:tc>
        <w:tc>
          <w:tcPr>
            <w:tcW w:w="2200" w:type="dxa"/>
            <w:vAlign w:val="center"/>
          </w:tcPr>
          <w:p w14:paraId="7521FBB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规划480MW</w:t>
            </w:r>
          </w:p>
        </w:tc>
        <w:tc>
          <w:tcPr>
            <w:tcW w:w="3000" w:type="dxa"/>
            <w:vAlign w:val="center"/>
          </w:tcPr>
          <w:p w14:paraId="33C282F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占地&gt;3000万ft²/约689英亩</w:t>
            </w:r>
          </w:p>
        </w:tc>
        <w:tc>
          <w:tcPr>
            <w:tcW w:w="3400" w:type="dxa"/>
            <w:vAlign w:val="center"/>
          </w:tcPr>
          <w:p w14:paraId="4826C50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政府Tier IV与安保园区，非通用密度</w:t>
            </w:r>
          </w:p>
        </w:tc>
      </w:tr>
      <w:tr w:rsidR="007B5C49" w14:paraId="3E51CB4B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15BF050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1GW筛选经验值</w:t>
            </w:r>
          </w:p>
        </w:tc>
        <w:tc>
          <w:tcPr>
            <w:tcW w:w="2200" w:type="dxa"/>
            <w:vAlign w:val="center"/>
          </w:tcPr>
          <w:p w14:paraId="5C2F820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研究估算</w:t>
            </w:r>
          </w:p>
        </w:tc>
        <w:tc>
          <w:tcPr>
            <w:tcW w:w="3000" w:type="dxa"/>
            <w:vAlign w:val="center"/>
          </w:tcPr>
          <w:p w14:paraId="259B324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约500—1,500英亩</w:t>
            </w:r>
          </w:p>
        </w:tc>
        <w:tc>
          <w:tcPr>
            <w:tcW w:w="3400" w:type="dxa"/>
            <w:vAlign w:val="center"/>
          </w:tcPr>
          <w:p w14:paraId="4DE3FC4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取决于多层、现场电源和缓冲</w:t>
            </w:r>
          </w:p>
        </w:tc>
      </w:tr>
      <w:tr w:rsidR="007B5C49" w14:paraId="302465E6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62F0C91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1GW基础设施CapEx</w:t>
            </w:r>
          </w:p>
        </w:tc>
        <w:tc>
          <w:tcPr>
            <w:tcW w:w="2200" w:type="dxa"/>
            <w:vAlign w:val="center"/>
          </w:tcPr>
          <w:p w14:paraId="4A60920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研究估算</w:t>
            </w:r>
          </w:p>
        </w:tc>
        <w:tc>
          <w:tcPr>
            <w:tcW w:w="3000" w:type="dxa"/>
            <w:vAlign w:val="center"/>
          </w:tcPr>
          <w:p w14:paraId="75CF530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约$10bn—$20bn+</w:t>
            </w:r>
          </w:p>
        </w:tc>
        <w:tc>
          <w:tcPr>
            <w:tcW w:w="3400" w:type="dxa"/>
            <w:vAlign w:val="center"/>
          </w:tcPr>
          <w:p w14:paraId="2DB266F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不含或仅部分含GPU/服务器</w:t>
            </w:r>
          </w:p>
        </w:tc>
      </w:tr>
    </w:tbl>
    <w:p w14:paraId="7F65F86D" w14:textId="77777777" w:rsidR="007B5C49" w:rsidRDefault="007B5C49">
      <w:pPr>
        <w:spacing w:after="40"/>
      </w:pPr>
    </w:p>
    <w:p w14:paraId="05F85F91" w14:textId="77777777" w:rsidR="007B5C49" w:rsidRDefault="00000000">
      <w:pPr>
        <w:pStyle w:val="Heading2"/>
      </w:pPr>
      <w:r>
        <w:t xml:space="preserve">3. </w:t>
      </w:r>
      <w:r>
        <w:t>电量：</w:t>
      </w:r>
      <w:r>
        <w:t>1GW IT</w:t>
      </w:r>
      <w:r>
        <w:t>负载不等于</w:t>
      </w:r>
      <w:r>
        <w:t>1GW</w:t>
      </w:r>
      <w:r>
        <w:t>园区总取电</w:t>
      </w:r>
    </w:p>
    <w:p w14:paraId="2476FBCB" w14:textId="77777777" w:rsidR="007B5C49" w:rsidRDefault="00000000">
      <w:r>
        <w:t>情景假设：IT负载1GW、PUE 1.2、平均利用率90%。年取电=1GW×1.2×8,760小时×90%=9.46TWh。若按100%利用率则为10.51TWh。项目分期、服务器利用率和季节PUE会改变结果，所以报告应给公式和区间，而不是只写“1GW每年用电约X”。</w:t>
      </w:r>
    </w:p>
    <w:p w14:paraId="03A6647B" w14:textId="77777777" w:rsidR="007B5C49" w:rsidRDefault="00000000">
      <w:pPr>
        <w:pStyle w:val="Heading2"/>
      </w:pPr>
      <w:r>
        <w:t xml:space="preserve">4. </w:t>
      </w:r>
      <w:r>
        <w:t>水：</w:t>
      </w:r>
      <w:r>
        <w:t>WUE</w:t>
      </w:r>
      <w:r>
        <w:t>边界造成十倍差异</w:t>
      </w:r>
    </w:p>
    <w:p w14:paraId="21696BF9" w14:textId="77777777" w:rsidR="007B5C49" w:rsidRDefault="00000000">
      <w:r>
        <w:t>WUE通常定义为现场年用水量除以IT设备年用电量，而不是除以包含冷却损耗的园区总电量。本情景IT设备年电量为1GW×8,760小时×90%=7.884TWh；按WUE 0.2—2.0 L/kWh，年用水约15.8亿—157.7亿升，即约4.3—43.2百万升/日。这个范围不是预测，而是展示冷却技术差异：闭环干冷或高比例空气冷却接近低端，蒸发冷却和炎热干燥气候可能接近高端。</w:t>
      </w:r>
    </w:p>
    <w:p w14:paraId="645FE627" w14:textId="77777777" w:rsidR="007B5C49" w:rsidRDefault="00000000">
      <w:r>
        <w:t>还需区分取水和消耗水。蒸发水通常离开流域，回用水可能减少饮用水竞争；企业“补水100%”是通过流域项目恢复等量水的承诺，不代表园区现场零用水。电力生产的间接水足迹也可能大于现场冷却用水，但通常不计入设施WUE。</w:t>
      </w:r>
    </w:p>
    <w:p w14:paraId="4E0D56EF" w14:textId="77777777" w:rsidR="007B5C49" w:rsidRDefault="00000000">
      <w:pPr>
        <w:pStyle w:val="Heading2"/>
      </w:pPr>
      <w:r>
        <w:t>5. Johor</w:t>
      </w:r>
      <w:r>
        <w:t>案例说明州级水量充足不等于项目节点无约束</w:t>
      </w:r>
    </w:p>
    <w:p w14:paraId="70CCF6D2" w14:textId="77777777" w:rsidR="007B5C49" w:rsidRDefault="00000000">
      <w:r>
        <w:t>MIDA转载的研究情景假设Johor新增1,500MW、WUE 2.0，对应2028年数据中心增量用水约277亿升/年，约占当地当前用水4%；研究认为州级处理能力足够。但该结论依赖新增水厂按期投运，也不代表每个工业园的管网、旱季和取水许可都充足。</w:t>
      </w:r>
    </w:p>
    <w:p w14:paraId="0225DAFE" w14:textId="77777777" w:rsidR="007B5C49" w:rsidRDefault="00000000">
      <w:r>
        <w:t>1GW园区选址应至少核对：水源与旱年可靠性、管网日峰值、是否可用再生水、排污能力、冷却系统设计、现场WUE和电源间接水耗。只引用企业全球平均WUE无法证明某个具体地点可持续。</w:t>
      </w:r>
    </w:p>
    <w:p w14:paraId="014EE9C4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0DB626BD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4B6AAD1E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1GW工程估算</w:t>
            </w:r>
          </w:p>
          <w:p w14:paraId="5680291D" w14:textId="77777777" w:rsidR="007B5C49" w:rsidRDefault="00000000">
            <w:pPr>
              <w:spacing w:after="0" w:line="288" w:lineRule="auto"/>
            </w:pPr>
            <w:r>
              <w:t>确定IT负载与分期 → 用PUE和利用率换算园区取电 → 用建筑密度和电源方案估算土地 → 区分基础设施与计算设备资本 → 用本地气候和冷却路线估算WUE → 核对水厂、管网、排污和旱年情景 → 形成区间而不是单点经验值。</w:t>
            </w:r>
          </w:p>
        </w:tc>
      </w:tr>
    </w:tbl>
    <w:p w14:paraId="1FF8D50A" w14:textId="77777777" w:rsidR="007B5C49" w:rsidRDefault="007B5C49">
      <w:pPr>
        <w:spacing w:after="40"/>
      </w:pPr>
    </w:p>
    <w:p w14:paraId="281192D6" w14:textId="77777777" w:rsidR="007B5C49" w:rsidRDefault="00000000">
      <w:pPr>
        <w:pStyle w:val="QALabel"/>
      </w:pPr>
      <w:r>
        <w:lastRenderedPageBreak/>
        <w:t>来源</w:t>
      </w:r>
    </w:p>
    <w:p w14:paraId="453AEA0B" w14:textId="77777777" w:rsidR="007B5C49" w:rsidRDefault="00000000">
      <w:pPr>
        <w:spacing w:after="80"/>
        <w:ind w:left="360" w:hanging="288"/>
      </w:pPr>
      <w:r>
        <w:rPr>
          <w:b/>
        </w:rPr>
        <w:t>• Crusoe｜$15bn Abilene JV</w:t>
      </w:r>
      <w:r>
        <w:t>：1.2GW与资本范围</w:t>
      </w:r>
      <w:r>
        <w:rPr>
          <w:color w:val="1F4E79"/>
        </w:rPr>
        <w:br/>
        <w:t>https://www.crusoe.ai/resources/newsroom/crusoe-blue-owl-capital-and-primary-digital-infrastructure-enter-joint-venture</w:t>
      </w:r>
    </w:p>
    <w:p w14:paraId="00317AB9" w14:textId="77777777" w:rsidR="007B5C49" w:rsidRDefault="00000000">
      <w:pPr>
        <w:spacing w:after="80"/>
        <w:ind w:left="360" w:hanging="288"/>
      </w:pPr>
      <w:r>
        <w:rPr>
          <w:b/>
        </w:rPr>
        <w:t>• Meta｜Hyperion JV</w:t>
      </w:r>
      <w:r>
        <w:t>：270亿美元设施开发成本</w:t>
      </w:r>
      <w:r>
        <w:rPr>
          <w:color w:val="1F4E79"/>
        </w:rPr>
        <w:br/>
        <w:t>https://about.fb.com/news/2025/10/meta-blue-owl-capital-develop-hyperion-data-center/</w:t>
      </w:r>
    </w:p>
    <w:p w14:paraId="053DACB4" w14:textId="77777777" w:rsidR="007B5C49" w:rsidRDefault="00000000">
      <w:pPr>
        <w:spacing w:after="80"/>
        <w:ind w:left="360" w:hanging="288"/>
      </w:pPr>
      <w:r>
        <w:rPr>
          <w:b/>
        </w:rPr>
        <w:t>• Meta｜Richland Parish update</w:t>
      </w:r>
      <w:r>
        <w:t>：400万平方英尺与水补充承诺</w:t>
      </w:r>
      <w:r>
        <w:rPr>
          <w:color w:val="1F4E79"/>
        </w:rPr>
        <w:br/>
        <w:t>https://about.fb.com/news/2025/12/metas-richland-parish-data-center-supports-louisiana-economy-875-million-in-contracts/</w:t>
      </w:r>
    </w:p>
    <w:p w14:paraId="2A17304A" w14:textId="77777777" w:rsidR="007B5C49" w:rsidRDefault="00000000">
      <w:pPr>
        <w:spacing w:after="80"/>
        <w:ind w:left="360" w:hanging="288"/>
      </w:pPr>
      <w:r>
        <w:rPr>
          <w:b/>
        </w:rPr>
        <w:t>• Saudi Press Agency｜Hexagon</w:t>
      </w:r>
      <w:r>
        <w:t>：480MW与3000万平方英尺+</w:t>
      </w:r>
      <w:r>
        <w:rPr>
          <w:color w:val="1F4E79"/>
        </w:rPr>
        <w:br/>
        <w:t>https://www.spa.gov.sa/en/N2480096</w:t>
      </w:r>
    </w:p>
    <w:p w14:paraId="56A43FE3" w14:textId="77777777" w:rsidR="007B5C49" w:rsidRDefault="00000000">
      <w:pPr>
        <w:spacing w:after="80"/>
        <w:ind w:left="360" w:hanging="288"/>
      </w:pPr>
      <w:r>
        <w:rPr>
          <w:b/>
        </w:rPr>
        <w:t>• MIDA｜Johor water capacity scenario</w:t>
      </w:r>
      <w:r>
        <w:t>：1,500MW、WUE 2.0与277亿升</w:t>
      </w:r>
      <w:r>
        <w:rPr>
          <w:color w:val="1F4E79"/>
        </w:rPr>
        <w:br/>
        <w:t>https://www.mida.gov.my/mida-news/water-supply-in-johor-ample-for-next-five-years-of-data-centre-builds-jp-morgan/</w:t>
      </w:r>
    </w:p>
    <w:p w14:paraId="7633D98A" w14:textId="77777777" w:rsidR="007B5C49" w:rsidRDefault="00000000">
      <w:pPr>
        <w:pStyle w:val="Heading1"/>
        <w:pageBreakBefore/>
      </w:pPr>
      <w:r>
        <w:lastRenderedPageBreak/>
        <w:t>Q21</w:t>
      </w:r>
      <w:r>
        <w:t>：</w:t>
      </w:r>
      <w:r>
        <w:t>NVIDIA GB200/GB300</w:t>
      </w:r>
      <w:r>
        <w:t>到</w:t>
      </w:r>
      <w:r>
        <w:t>Vera Rubin</w:t>
      </w:r>
      <w:r>
        <w:t>，产品到底如何演进？</w:t>
      </w:r>
    </w:p>
    <w:p w14:paraId="3E2D8535" w14:textId="77777777" w:rsidR="007B5C49" w:rsidRDefault="00000000">
      <w:pPr>
        <w:pStyle w:val="QALabel"/>
      </w:pPr>
      <w:r>
        <w:t>通俗问题</w:t>
      </w:r>
    </w:p>
    <w:p w14:paraId="735C28AE" w14:textId="77777777" w:rsidR="007B5C49" w:rsidRDefault="00000000">
      <w:r>
        <w:t>Blackwell、Blackwell Ultra和Rubin的新闻数字越来越大，客户现在能买到什么，数据中心又要为下一代提前准备什么？</w:t>
      </w:r>
    </w:p>
    <w:p w14:paraId="319180AA" w14:textId="77777777" w:rsidR="007B5C49" w:rsidRDefault="00000000">
      <w:pPr>
        <w:pStyle w:val="QALabel"/>
      </w:pPr>
      <w:r>
        <w:t>主要研究（专业）</w:t>
      </w:r>
    </w:p>
    <w:p w14:paraId="3601D15A" w14:textId="77777777" w:rsidR="007B5C49" w:rsidRDefault="00000000">
      <w:r>
        <w:t>GPU、CPU、HBM、NVLink、机架系统与基础设施代际的状态和可比边界。</w:t>
      </w:r>
    </w:p>
    <w:p w14:paraId="7EC92A21" w14:textId="77777777" w:rsidR="007B5C49" w:rsidRDefault="00000000">
      <w:pPr>
        <w:pStyle w:val="QALabel"/>
      </w:pPr>
      <w:r>
        <w:t>研究方向</w:t>
      </w:r>
    </w:p>
    <w:p w14:paraId="06623C49" w14:textId="77777777" w:rsidR="007B5C49" w:rsidRDefault="00000000">
      <w:pPr>
        <w:pStyle w:val="ListBullet"/>
        <w:spacing w:after="80" w:line="288" w:lineRule="auto"/>
        <w:ind w:left="403" w:hanging="259"/>
      </w:pPr>
      <w:r>
        <w:t>以完整NVL72机架而非单颗GPU作为工程比较单位。</w:t>
      </w:r>
    </w:p>
    <w:p w14:paraId="01AF7F96" w14:textId="77777777" w:rsidR="007B5C49" w:rsidRDefault="00000000">
      <w:pPr>
        <w:pStyle w:val="ListBullet"/>
        <w:spacing w:after="80" w:line="288" w:lineRule="auto"/>
        <w:ind w:left="403" w:hanging="259"/>
      </w:pPr>
      <w:r>
        <w:t>区分GB200、GB300现货与Rubin/Rubin Ultra路线图。</w:t>
      </w:r>
    </w:p>
    <w:p w14:paraId="44BE4069" w14:textId="77777777" w:rsidR="007B5C49" w:rsidRDefault="00000000">
      <w:pPr>
        <w:pStyle w:val="ListBullet"/>
        <w:spacing w:after="80" w:line="288" w:lineRule="auto"/>
        <w:ind w:left="403" w:hanging="259"/>
      </w:pPr>
      <w:r>
        <w:t>解释性能宣传为什么不能直接换算成MW节省或收入。</w:t>
      </w:r>
    </w:p>
    <w:p w14:paraId="51B9C859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32DF410E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5F47E4C2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641FCBED" w14:textId="77777777" w:rsidR="007B5C49" w:rsidRDefault="00000000">
            <w:pPr>
              <w:spacing w:after="0" w:line="288" w:lineRule="auto"/>
            </w:pPr>
            <w:r>
              <w:t>截至2026年8月，GB200 NVL72和GB300 NVL72属于可采购/部署代际；GB300以72颗Blackwell Ultra GPU、36颗Grace CPU、约21TB GPU HBM和130TB/s NVLink带宽强化推理。Rubin则代表下一轮系统级更替，其价值不只是更快芯片，而是把计算、HBM、网络、液冷和供电继续共同设计；路线图性能与MW级机柜不能写成已部署事实。</w:t>
            </w:r>
          </w:p>
        </w:tc>
      </w:tr>
    </w:tbl>
    <w:p w14:paraId="39CF7686" w14:textId="77777777" w:rsidR="007B5C49" w:rsidRDefault="007B5C49">
      <w:pPr>
        <w:spacing w:after="40"/>
      </w:pPr>
    </w:p>
    <w:p w14:paraId="6702D49C" w14:textId="77777777" w:rsidR="007B5C49" w:rsidRDefault="00000000">
      <w:pPr>
        <w:pStyle w:val="QALabel"/>
      </w:pPr>
      <w:r>
        <w:t>详细支撑</w:t>
      </w:r>
    </w:p>
    <w:p w14:paraId="72A34E05" w14:textId="77777777" w:rsidR="007B5C49" w:rsidRDefault="00000000">
      <w:pPr>
        <w:pStyle w:val="Heading2"/>
      </w:pPr>
      <w:r>
        <w:t>1. GB200</w:t>
      </w:r>
      <w:r>
        <w:t>把</w:t>
      </w:r>
      <w:r>
        <w:t>“</w:t>
      </w:r>
      <w:r>
        <w:t>服务器</w:t>
      </w:r>
      <w:r>
        <w:t>”</w:t>
      </w:r>
      <w:r>
        <w:t>升级为</w:t>
      </w:r>
      <w:r>
        <w:t>72 GPU</w:t>
      </w:r>
      <w:r>
        <w:t>的机架级计算机</w:t>
      </w:r>
    </w:p>
    <w:p w14:paraId="7DF4FE7D" w14:textId="77777777" w:rsidR="007B5C49" w:rsidRDefault="00000000">
      <w:r>
        <w:t>GB200 NVL72由36颗Grace CPU和72颗Blackwell GPU组成，GPU HBM约13.4TB、NVLink总带宽130TB/s。它不是72台互不相关的GPU服务器，而是通过NVLink Switch形成统一的scale-up域；训练和大模型推理可减少跨节点通信开销，但故障域、调度和液冷运维也从单机扩大到整柜。</w:t>
      </w:r>
    </w:p>
    <w:p w14:paraId="3AD3F82C" w14:textId="77777777" w:rsidR="007B5C49" w:rsidRDefault="00000000">
      <w:r>
        <w:t>工程上最重要的变化是交付单位：芯片供货只是第一步，客户还需要计算托盘、NVSwitch托盘、液冷分配、母线槽、800G网络和软件验证。即使园区已经通电，也可能因为机架集成、光模块或冷却调试而不能形成可用算力。</w:t>
      </w:r>
    </w:p>
    <w:p w14:paraId="70E48613" w14:textId="77777777" w:rsidR="007B5C49" w:rsidRDefault="00000000">
      <w:pPr>
        <w:pStyle w:val="Heading2"/>
      </w:pPr>
      <w:r>
        <w:t>2. GB300 Blackwell Ultra</w:t>
      </w:r>
      <w:r>
        <w:t>主要针对长上下文和推理扩展</w:t>
      </w:r>
    </w:p>
    <w:p w14:paraId="09F87BCB" w14:textId="77777777" w:rsidR="007B5C49" w:rsidRDefault="00000000">
      <w:r>
        <w:t>NVIDIA页面把GB300 NVL72标为“Available Now”。系统同样配置72 GPU和36 Grace CPU，但单GPU为288GB HBM3e，整柜GPU内存最高约21TB；ConnectX-8为每颗GPU提供800Gb/s网络连接。公司称其相对Blackwell提供1.5倍稠密FP4计算与2倍注意力层性能，面向test-time scaling与reasoning。</w:t>
      </w:r>
    </w:p>
    <w:p w14:paraId="1CB1DC03" w14:textId="77777777" w:rsidR="007B5C49" w:rsidRDefault="00000000">
      <w:r>
        <w:lastRenderedPageBreak/>
        <w:t>这些倍数是NVIDIA定义下的产品或工作负载指标。页面还给出相对Hopper最高50倍“AI factory output”，由10倍用户响应能力和5倍每MW吞吐组合而来，并注明投影性能可能变化。不能把50倍再与GPU数、集群数或利用率相乘，也不能据此认为同一模型的实际电费必然下降50倍。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2400"/>
        <w:gridCol w:w="2600"/>
        <w:gridCol w:w="1900"/>
        <w:gridCol w:w="2800"/>
      </w:tblGrid>
      <w:tr w:rsidR="007B5C49" w14:paraId="7A91E86E" w14:textId="77777777">
        <w:trPr>
          <w:tblHeader/>
          <w:jc w:val="center"/>
        </w:trPr>
        <w:tc>
          <w:tcPr>
            <w:tcW w:w="1700" w:type="dxa"/>
            <w:shd w:val="clear" w:color="auto" w:fill="D9EAF7"/>
          </w:tcPr>
          <w:p w14:paraId="6E521A95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平台</w:t>
            </w:r>
          </w:p>
        </w:tc>
        <w:tc>
          <w:tcPr>
            <w:tcW w:w="2400" w:type="dxa"/>
            <w:shd w:val="clear" w:color="auto" w:fill="D9EAF7"/>
          </w:tcPr>
          <w:p w14:paraId="5ED2A882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系统构成</w:t>
            </w:r>
          </w:p>
        </w:tc>
        <w:tc>
          <w:tcPr>
            <w:tcW w:w="2600" w:type="dxa"/>
            <w:shd w:val="clear" w:color="auto" w:fill="D9EAF7"/>
          </w:tcPr>
          <w:p w14:paraId="52977019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关键公开指标</w:t>
            </w:r>
          </w:p>
        </w:tc>
        <w:tc>
          <w:tcPr>
            <w:tcW w:w="1900" w:type="dxa"/>
            <w:shd w:val="clear" w:color="auto" w:fill="D9EAF7"/>
          </w:tcPr>
          <w:p w14:paraId="16B44600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截至2026-08状态</w:t>
            </w:r>
          </w:p>
        </w:tc>
        <w:tc>
          <w:tcPr>
            <w:tcW w:w="2800" w:type="dxa"/>
            <w:shd w:val="clear" w:color="auto" w:fill="D9EAF7"/>
          </w:tcPr>
          <w:p w14:paraId="1CEE3C74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研究边界</w:t>
            </w:r>
          </w:p>
        </w:tc>
      </w:tr>
      <w:tr w:rsidR="007B5C49" w14:paraId="1179961A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A8ED04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GB200 NVL72</w:t>
            </w:r>
          </w:p>
        </w:tc>
        <w:tc>
          <w:tcPr>
            <w:tcW w:w="2400" w:type="dxa"/>
            <w:vAlign w:val="center"/>
          </w:tcPr>
          <w:p w14:paraId="63D9FC0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72 Blackwell GPU+36 Grace CPU</w:t>
            </w:r>
          </w:p>
        </w:tc>
        <w:tc>
          <w:tcPr>
            <w:tcW w:w="2600" w:type="dxa"/>
            <w:vAlign w:val="center"/>
          </w:tcPr>
          <w:p w14:paraId="3CA7760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13.4TB HBM；130TB/s NVLink</w:t>
            </w:r>
          </w:p>
        </w:tc>
        <w:tc>
          <w:tcPr>
            <w:tcW w:w="1900" w:type="dxa"/>
            <w:vAlign w:val="center"/>
          </w:tcPr>
          <w:p w14:paraId="7F670B2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已上市/客户部署</w:t>
            </w:r>
          </w:p>
        </w:tc>
        <w:tc>
          <w:tcPr>
            <w:tcW w:w="2800" w:type="dxa"/>
            <w:vAlign w:val="center"/>
          </w:tcPr>
          <w:p w14:paraId="2F23F4F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不同精度与软件版本不可混比</w:t>
            </w:r>
          </w:p>
        </w:tc>
      </w:tr>
      <w:tr w:rsidR="007B5C49" w14:paraId="671C4318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0802C4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GB300 NVL72</w:t>
            </w:r>
          </w:p>
        </w:tc>
        <w:tc>
          <w:tcPr>
            <w:tcW w:w="2400" w:type="dxa"/>
            <w:vAlign w:val="center"/>
          </w:tcPr>
          <w:p w14:paraId="502F688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72 Blackwell Ultra+36 Grace CPU</w:t>
            </w:r>
          </w:p>
        </w:tc>
        <w:tc>
          <w:tcPr>
            <w:tcW w:w="2600" w:type="dxa"/>
            <w:vAlign w:val="center"/>
          </w:tcPr>
          <w:p w14:paraId="45CAAB0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最高约21TB HBM；800Gb/s/GPU</w:t>
            </w:r>
          </w:p>
        </w:tc>
        <w:tc>
          <w:tcPr>
            <w:tcW w:w="1900" w:type="dxa"/>
            <w:vAlign w:val="center"/>
          </w:tcPr>
          <w:p w14:paraId="0B0F637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Available Now</w:t>
            </w:r>
          </w:p>
        </w:tc>
        <w:tc>
          <w:tcPr>
            <w:tcW w:w="2800" w:type="dxa"/>
            <w:vAlign w:val="center"/>
          </w:tcPr>
          <w:p w14:paraId="686789B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50倍为特定AI factory公司主张</w:t>
            </w:r>
          </w:p>
        </w:tc>
      </w:tr>
      <w:tr w:rsidR="007B5C49" w14:paraId="7C8B05F2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246E05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Vera Rubin</w:t>
            </w:r>
          </w:p>
        </w:tc>
        <w:tc>
          <w:tcPr>
            <w:tcW w:w="2400" w:type="dxa"/>
            <w:vAlign w:val="center"/>
          </w:tcPr>
          <w:p w14:paraId="34191D4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下一代GPU+Vera CPU+网络/系统</w:t>
            </w:r>
          </w:p>
        </w:tc>
        <w:tc>
          <w:tcPr>
            <w:tcW w:w="2600" w:type="dxa"/>
            <w:vAlign w:val="center"/>
          </w:tcPr>
          <w:p w14:paraId="42861FE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以官方发布规格为准</w:t>
            </w:r>
          </w:p>
        </w:tc>
        <w:tc>
          <w:tcPr>
            <w:tcW w:w="1900" w:type="dxa"/>
            <w:vAlign w:val="center"/>
          </w:tcPr>
          <w:p w14:paraId="2E83210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发布/导入阶段</w:t>
            </w:r>
          </w:p>
        </w:tc>
        <w:tc>
          <w:tcPr>
            <w:tcW w:w="2800" w:type="dxa"/>
            <w:vAlign w:val="center"/>
          </w:tcPr>
          <w:p w14:paraId="7797259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不能当大规模存量部署</w:t>
            </w:r>
          </w:p>
        </w:tc>
      </w:tr>
      <w:tr w:rsidR="007B5C49" w14:paraId="46D0C3EE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C70162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Rubin Ultra及后续</w:t>
            </w:r>
          </w:p>
        </w:tc>
        <w:tc>
          <w:tcPr>
            <w:tcW w:w="2400" w:type="dxa"/>
            <w:vAlign w:val="center"/>
          </w:tcPr>
          <w:p w14:paraId="730F2FD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更高密度机架级系统</w:t>
            </w:r>
          </w:p>
        </w:tc>
        <w:tc>
          <w:tcPr>
            <w:tcW w:w="2600" w:type="dxa"/>
            <w:vAlign w:val="center"/>
          </w:tcPr>
          <w:p w14:paraId="28AAF1D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指向MW级供电与新型机架</w:t>
            </w:r>
          </w:p>
        </w:tc>
        <w:tc>
          <w:tcPr>
            <w:tcW w:w="1900" w:type="dxa"/>
            <w:vAlign w:val="center"/>
          </w:tcPr>
          <w:p w14:paraId="410CC1D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路线图</w:t>
            </w:r>
          </w:p>
        </w:tc>
        <w:tc>
          <w:tcPr>
            <w:tcW w:w="2800" w:type="dxa"/>
            <w:vAlign w:val="center"/>
          </w:tcPr>
          <w:p w14:paraId="2175FF5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2027+基础设施方向</w:t>
            </w:r>
          </w:p>
        </w:tc>
      </w:tr>
    </w:tbl>
    <w:p w14:paraId="51F964D1" w14:textId="77777777" w:rsidR="007B5C49" w:rsidRDefault="007B5C49">
      <w:pPr>
        <w:spacing w:after="40"/>
      </w:pPr>
    </w:p>
    <w:p w14:paraId="679D7A38" w14:textId="77777777" w:rsidR="007B5C49" w:rsidRDefault="00000000">
      <w:pPr>
        <w:pStyle w:val="Heading2"/>
      </w:pPr>
      <w:r>
        <w:t>3. Rubin</w:t>
      </w:r>
      <w:r>
        <w:t>的真正门槛在机房，不只在晶圆</w:t>
      </w:r>
    </w:p>
    <w:p w14:paraId="1F669D73" w14:textId="77777777" w:rsidR="007B5C49" w:rsidRDefault="00000000">
      <w:r>
        <w:t>当系统继续提高GPU数、HBM和互连带宽，机架重量、冷却水流量、快速功率波动、网络端口和维护空间都会同步上升。NVIDIA已把800VDC与2027年起MW级机柜绑定，说明下一代产品的交付约束会向变电、直流保护、储能和液冷基础设施扩散。</w:t>
      </w:r>
    </w:p>
    <w:p w14:paraId="3EB2F5DB" w14:textId="77777777" w:rsidR="007B5C49" w:rsidRDefault="00000000">
      <w:r>
        <w:t>采购应采用“代际闸门”：芯片量产、OEM整机认证、网络与光模块到货、设施设计通过、现场调试、软件达到目标良率，六项都过关才算有效容量。只看GPU发布日期会系统性高估供给速度。</w:t>
      </w:r>
    </w:p>
    <w:p w14:paraId="728EAB6C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3EDB16D4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66533868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产品到容量</w:t>
            </w:r>
          </w:p>
          <w:p w14:paraId="21A7D675" w14:textId="77777777" w:rsidR="007B5C49" w:rsidRDefault="00000000">
            <w:pPr>
              <w:spacing w:after="0" w:line="288" w:lineRule="auto"/>
            </w:pPr>
            <w:r>
              <w:t>GPU/CPU/HBM发布 → NVLink与网络组成机架系统 → OEM/ODM量产集成 → 供电和液冷改造 → 软件与集群验收 → 才形成可用于训练或推理的IT MW。</w:t>
            </w:r>
          </w:p>
        </w:tc>
      </w:tr>
    </w:tbl>
    <w:p w14:paraId="76079210" w14:textId="77777777" w:rsidR="007B5C49" w:rsidRDefault="007B5C49">
      <w:pPr>
        <w:spacing w:after="40"/>
      </w:pPr>
    </w:p>
    <w:p w14:paraId="1B7B61DB" w14:textId="77777777" w:rsidR="007B5C49" w:rsidRDefault="00000000">
      <w:pPr>
        <w:pStyle w:val="QALabel"/>
      </w:pPr>
      <w:r>
        <w:t>来源</w:t>
      </w:r>
    </w:p>
    <w:p w14:paraId="6765D391" w14:textId="77777777" w:rsidR="007B5C49" w:rsidRDefault="00000000">
      <w:pPr>
        <w:spacing w:after="80"/>
        <w:ind w:left="360" w:hanging="288"/>
      </w:pPr>
      <w:r>
        <w:rPr>
          <w:b/>
        </w:rPr>
        <w:t>• NVIDIA｜GB200 NVL72</w:t>
      </w:r>
      <w:r>
        <w:t>：系统构成、HBM与NVLink规格</w:t>
      </w:r>
      <w:r>
        <w:rPr>
          <w:color w:val="1F4E79"/>
        </w:rPr>
        <w:br/>
        <w:t>https://www.nvidia.com/en-us/data-center/gb200-nvl72/</w:t>
      </w:r>
    </w:p>
    <w:p w14:paraId="487246AE" w14:textId="77777777" w:rsidR="007B5C49" w:rsidRDefault="00000000">
      <w:pPr>
        <w:spacing w:after="80"/>
        <w:ind w:left="360" w:hanging="288"/>
      </w:pPr>
      <w:r>
        <w:rPr>
          <w:b/>
        </w:rPr>
        <w:t>• NVIDIA｜GB300 NVL72</w:t>
      </w:r>
      <w:r>
        <w:t>：Available Now、规格及公司性能主张</w:t>
      </w:r>
      <w:r>
        <w:rPr>
          <w:color w:val="1F4E79"/>
        </w:rPr>
        <w:br/>
        <w:t>https://www.nvidia.com/en-us/data-center/gb300-nvl72/</w:t>
      </w:r>
    </w:p>
    <w:p w14:paraId="630E555B" w14:textId="77777777" w:rsidR="007B5C49" w:rsidRDefault="00000000">
      <w:pPr>
        <w:spacing w:after="80"/>
        <w:ind w:left="360" w:hanging="288"/>
      </w:pPr>
      <w:r>
        <w:rPr>
          <w:b/>
        </w:rPr>
        <w:t>• NVIDIA｜800 VDC Architecture</w:t>
      </w:r>
      <w:r>
        <w:t>：下一代供电架构边界</w:t>
      </w:r>
      <w:r>
        <w:rPr>
          <w:color w:val="1F4E79"/>
        </w:rPr>
        <w:br/>
        <w:t>https://www.nvidia.com/en-us/data-center/technologies/800-vdc-architecture/</w:t>
      </w:r>
    </w:p>
    <w:p w14:paraId="37ED5D39" w14:textId="77777777" w:rsidR="007B5C49" w:rsidRDefault="00000000">
      <w:pPr>
        <w:pStyle w:val="Heading1"/>
        <w:pageBreakBefore/>
      </w:pPr>
      <w:r>
        <w:lastRenderedPageBreak/>
        <w:t>Q22</w:t>
      </w:r>
      <w:r>
        <w:t>：</w:t>
      </w:r>
      <w:r>
        <w:t>AMD</w:t>
      </w:r>
      <w:r>
        <w:t>、</w:t>
      </w:r>
      <w:r>
        <w:t>TPU</w:t>
      </w:r>
      <w:r>
        <w:t>、</w:t>
      </w:r>
      <w:r>
        <w:t>Trainium</w:t>
      </w:r>
      <w:r>
        <w:t>和自研芯片能否真正分流</w:t>
      </w:r>
      <w:r>
        <w:t>NVIDIA</w:t>
      </w:r>
      <w:r>
        <w:t>需求？</w:t>
      </w:r>
    </w:p>
    <w:p w14:paraId="281E3364" w14:textId="77777777" w:rsidR="007B5C49" w:rsidRDefault="00000000">
      <w:pPr>
        <w:pStyle w:val="QALabel"/>
      </w:pPr>
      <w:r>
        <w:t>通俗问题</w:t>
      </w:r>
    </w:p>
    <w:p w14:paraId="29A65B72" w14:textId="77777777" w:rsidR="007B5C49" w:rsidRDefault="00000000">
      <w:r>
        <w:t>各大云厂都在做自研芯片，AMD也持续推出Instinct，它们是在替代NVIDIA，还是只给少数内部任务使用？</w:t>
      </w:r>
    </w:p>
    <w:p w14:paraId="6E0EEF44" w14:textId="77777777" w:rsidR="007B5C49" w:rsidRDefault="00000000">
      <w:pPr>
        <w:pStyle w:val="QALabel"/>
      </w:pPr>
      <w:r>
        <w:t>主要研究（专业）</w:t>
      </w:r>
    </w:p>
    <w:p w14:paraId="4DFDEF26" w14:textId="77777777" w:rsidR="007B5C49" w:rsidRDefault="00000000">
      <w:r>
        <w:t>通用GPU、云内ASIC、模型公司定制芯片的可获得性、软件锁定与工作负载适配。</w:t>
      </w:r>
    </w:p>
    <w:p w14:paraId="21CC70C7" w14:textId="77777777" w:rsidR="007B5C49" w:rsidRDefault="00000000">
      <w:pPr>
        <w:pStyle w:val="QALabel"/>
      </w:pPr>
      <w:r>
        <w:t>研究方向</w:t>
      </w:r>
    </w:p>
    <w:p w14:paraId="3B0F5251" w14:textId="77777777" w:rsidR="007B5C49" w:rsidRDefault="00000000">
      <w:pPr>
        <w:pStyle w:val="ListBullet"/>
        <w:spacing w:after="80" w:line="288" w:lineRule="auto"/>
        <w:ind w:left="403" w:hanging="259"/>
      </w:pPr>
      <w:r>
        <w:t>比较AMD MI350/MI450 Helios、Google Ironwood与AWS Trainium的系统路径。</w:t>
      </w:r>
    </w:p>
    <w:p w14:paraId="55D5C6F7" w14:textId="77777777" w:rsidR="007B5C49" w:rsidRDefault="00000000">
      <w:pPr>
        <w:pStyle w:val="ListBullet"/>
        <w:spacing w:after="80" w:line="288" w:lineRule="auto"/>
        <w:ind w:left="403" w:hanging="259"/>
      </w:pPr>
      <w:r>
        <w:t>把内部部署、对云客户开放和多年采购协议分开。</w:t>
      </w:r>
    </w:p>
    <w:p w14:paraId="053ECDE5" w14:textId="77777777" w:rsidR="007B5C49" w:rsidRDefault="00000000">
      <w:pPr>
        <w:pStyle w:val="ListBullet"/>
        <w:spacing w:after="80" w:line="288" w:lineRule="auto"/>
        <w:ind w:left="403" w:hanging="259"/>
      </w:pPr>
      <w:r>
        <w:t>判断替代发生在训练、推理还是特定模型的稳定大批量负载。</w:t>
      </w:r>
    </w:p>
    <w:p w14:paraId="556D8DB3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653A5354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66E1FF1D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0704FBBE" w14:textId="77777777" w:rsidR="007B5C49" w:rsidRDefault="00000000">
            <w:pPr>
              <w:spacing w:after="0" w:line="288" w:lineRule="auto"/>
            </w:pPr>
            <w:r>
              <w:t>替代会发生，但不是一个芯片全面取代另一个芯片。AMD用开放标准和机架级Helios争取通用训练/推理；Google TPU、AWS Trainium及Microsoft Maia优先服务各自云和稳定工作负载；模型公司定制ASIC适合规模极大、模型较稳定的阶段。NVIDIA仍凭CUDA、NVLink与完整系统占据最广泛的可移植生态。</w:t>
            </w:r>
          </w:p>
        </w:tc>
      </w:tr>
    </w:tbl>
    <w:p w14:paraId="099BBD46" w14:textId="77777777" w:rsidR="007B5C49" w:rsidRDefault="007B5C49">
      <w:pPr>
        <w:spacing w:after="40"/>
      </w:pPr>
    </w:p>
    <w:p w14:paraId="36B8CE4B" w14:textId="77777777" w:rsidR="007B5C49" w:rsidRDefault="00000000">
      <w:pPr>
        <w:pStyle w:val="QALabel"/>
      </w:pPr>
      <w:r>
        <w:t>详细支撑</w:t>
      </w:r>
    </w:p>
    <w:p w14:paraId="6ACEDEFF" w14:textId="77777777" w:rsidR="007B5C49" w:rsidRDefault="00000000">
      <w:pPr>
        <w:pStyle w:val="Heading2"/>
      </w:pPr>
      <w:r>
        <w:t>1. AMD</w:t>
      </w:r>
      <w:r>
        <w:t>已从单卡竞争转向</w:t>
      </w:r>
      <w:r>
        <w:t>Helios</w:t>
      </w:r>
      <w:r>
        <w:t>机架级竞争</w:t>
      </w:r>
    </w:p>
    <w:p w14:paraId="1D4DCEFB" w14:textId="77777777" w:rsidR="007B5C49" w:rsidRDefault="00000000">
      <w:r>
        <w:t>MI350系列由MI350X和MI355X组成，AMD在2025年发布时称代际AI计算最高提升3.9倍、推理最高提升35倍；后者是公司选定基准，不代表所有模型。到2025年末，AMD称MI350成为公司史上爬坡最快产品并已被OCI等部署。</w:t>
      </w:r>
    </w:p>
    <w:p w14:paraId="4D0A2DB4" w14:textId="77777777" w:rsidR="007B5C49" w:rsidRDefault="00000000">
      <w:r>
        <w:t>2026年的Helios以MI450/MI455X、EPYC Venice、Pensando网络和ROCm组成开放机架方案。AMD与Celestica公告称采用OCP Open-Rack-Wide和UALoE，计划2026年末向客户提供；Meta协议进一步规定首个1GW相关出货在2026年下半年开始、远期最高6GW。1GW是出货支持的协议里程碑，不是已经运行的AMD设施容量。</w:t>
      </w:r>
    </w:p>
    <w:p w14:paraId="1A8826EA" w14:textId="77777777" w:rsidR="007B5C49" w:rsidRDefault="00000000">
      <w:pPr>
        <w:pStyle w:val="Heading2"/>
      </w:pPr>
      <w:r>
        <w:t>2. Google Ironwood</w:t>
      </w:r>
      <w:r>
        <w:t>显示自研</w:t>
      </w:r>
      <w:r>
        <w:t>ASIC</w:t>
      </w:r>
      <w:r>
        <w:t>可以做到完整</w:t>
      </w:r>
      <w:r>
        <w:t>Pod</w:t>
      </w:r>
      <w:r>
        <w:t>规模</w:t>
      </w:r>
    </w:p>
    <w:p w14:paraId="74498E49" w14:textId="77777777" w:rsidR="007B5C49" w:rsidRDefault="00000000">
      <w:r>
        <w:t>Google第七代TPU Ironwood面向推理与thinking models，可组成256芯片或9,216芯片配置。Google披露最大Pod为42.5 Exaflops、单芯片192GB HBM、7.37TB/s HBM带宽和1.2TB/s双向ICI；与第一代Cloud TPU相比能效近30倍。所有计算性能均应保留其精度和峰值定义，不能与GB300稀疏FP4数字直接排名。</w:t>
      </w:r>
    </w:p>
    <w:p w14:paraId="44E477F6" w14:textId="77777777" w:rsidR="007B5C49" w:rsidRDefault="00000000">
      <w:r>
        <w:lastRenderedPageBreak/>
        <w:t>TPU的优势是Google可以把芯片、编译器、模型与Cloud调度共同优化，并将内部Gemini需求变成稳定负载；局限是客户的软件迁移、框架支持和跨云可移植性。它更可能在Google内部和Google Cloud规模化，而不是作为全球通用可购买服务器。</w:t>
      </w:r>
    </w:p>
    <w:p w14:paraId="0BDAF25C" w14:textId="77777777" w:rsidR="007B5C49" w:rsidRDefault="00000000">
      <w:pPr>
        <w:pStyle w:val="Heading2"/>
      </w:pPr>
      <w:r>
        <w:t>3. Trainium</w:t>
      </w:r>
      <w:r>
        <w:t>和</w:t>
      </w:r>
      <w:r>
        <w:t>Maia</w:t>
      </w:r>
      <w:r>
        <w:t>的经济目标是降低云厂商对外部</w:t>
      </w:r>
      <w:r>
        <w:t>GPU</w:t>
      </w:r>
      <w:r>
        <w:t>的边际依赖</w:t>
      </w:r>
    </w:p>
    <w:p w14:paraId="69906CAA" w14:textId="77777777" w:rsidR="007B5C49" w:rsidRDefault="00000000">
      <w:r>
        <w:t>AWS用Trainium与Neuron软件形成自有训练/推理平台，并通过Project Rainier为Anthropic构建超大集群。芯片数量披露证明部署强度，但没有完整功耗、冗余和设施边界时不能换算MW。Microsoft Maia同理：首先服务Azure与内部模型栈，其战略价值在于给云厂商增加价格、供给与产品路线控制权。</w:t>
      </w:r>
    </w:p>
    <w:p w14:paraId="64A5AD44" w14:textId="77777777" w:rsidR="007B5C49" w:rsidRDefault="00000000">
      <w:r>
        <w:t>OpenAI等模型公司与半导体伙伴推进定制加速器，也不代表短期放弃GPU。ASIC从架构定义到流片、封装、软件和量产通常跨多年，且模型结构快速变化会增加设计过时风险；最合理的组合是GPU承担前沿探索和通用训练，ASIC承担成熟、重复、规模极大的推理或特定训练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200"/>
        <w:gridCol w:w="2800"/>
        <w:gridCol w:w="2100"/>
        <w:gridCol w:w="2400"/>
      </w:tblGrid>
      <w:tr w:rsidR="007B5C49" w14:paraId="6F409B59" w14:textId="77777777">
        <w:trPr>
          <w:tblHeader/>
          <w:jc w:val="center"/>
        </w:trPr>
        <w:tc>
          <w:tcPr>
            <w:tcW w:w="1900" w:type="dxa"/>
            <w:shd w:val="clear" w:color="auto" w:fill="D9EAF7"/>
          </w:tcPr>
          <w:p w14:paraId="42F4FF0A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路线</w:t>
            </w:r>
          </w:p>
        </w:tc>
        <w:tc>
          <w:tcPr>
            <w:tcW w:w="2200" w:type="dxa"/>
            <w:shd w:val="clear" w:color="auto" w:fill="D9EAF7"/>
          </w:tcPr>
          <w:p w14:paraId="4BE90DB4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主要使用者</w:t>
            </w:r>
          </w:p>
        </w:tc>
        <w:tc>
          <w:tcPr>
            <w:tcW w:w="2800" w:type="dxa"/>
            <w:shd w:val="clear" w:color="auto" w:fill="D9EAF7"/>
          </w:tcPr>
          <w:p w14:paraId="46BFA1E2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最适合</w:t>
            </w:r>
          </w:p>
        </w:tc>
        <w:tc>
          <w:tcPr>
            <w:tcW w:w="2100" w:type="dxa"/>
            <w:shd w:val="clear" w:color="auto" w:fill="D9EAF7"/>
          </w:tcPr>
          <w:p w14:paraId="40B23FBB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商业可获得性</w:t>
            </w:r>
          </w:p>
        </w:tc>
        <w:tc>
          <w:tcPr>
            <w:tcW w:w="2400" w:type="dxa"/>
            <w:shd w:val="clear" w:color="auto" w:fill="D9EAF7"/>
          </w:tcPr>
          <w:p w14:paraId="1143C09A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主要约束</w:t>
            </w:r>
          </w:p>
        </w:tc>
      </w:tr>
      <w:tr w:rsidR="007B5C49" w14:paraId="45D3AAE1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1C94A98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NVIDIA GPU/NVL</w:t>
            </w:r>
          </w:p>
        </w:tc>
        <w:tc>
          <w:tcPr>
            <w:tcW w:w="2200" w:type="dxa"/>
            <w:vAlign w:val="center"/>
          </w:tcPr>
          <w:p w14:paraId="0E37A39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多云、模型公司、企业</w:t>
            </w:r>
          </w:p>
        </w:tc>
        <w:tc>
          <w:tcPr>
            <w:tcW w:w="2800" w:type="dxa"/>
            <w:vAlign w:val="center"/>
          </w:tcPr>
          <w:p w14:paraId="078B96A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通用训练与推理</w:t>
            </w:r>
          </w:p>
        </w:tc>
        <w:tc>
          <w:tcPr>
            <w:tcW w:w="2100" w:type="dxa"/>
            <w:vAlign w:val="center"/>
          </w:tcPr>
          <w:p w14:paraId="111F1A0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跨OEM/多云最广</w:t>
            </w:r>
          </w:p>
        </w:tc>
        <w:tc>
          <w:tcPr>
            <w:tcW w:w="2400" w:type="dxa"/>
            <w:vAlign w:val="center"/>
          </w:tcPr>
          <w:p w14:paraId="7136291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价格、供给、专有生态</w:t>
            </w:r>
          </w:p>
        </w:tc>
      </w:tr>
      <w:tr w:rsidR="007B5C49" w14:paraId="106EB3E0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644F4AE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AMD Instinct/Helios</w:t>
            </w:r>
          </w:p>
        </w:tc>
        <w:tc>
          <w:tcPr>
            <w:tcW w:w="2200" w:type="dxa"/>
            <w:vAlign w:val="center"/>
          </w:tcPr>
          <w:p w14:paraId="50F8B57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云厂、超大客户</w:t>
            </w:r>
          </w:p>
        </w:tc>
        <w:tc>
          <w:tcPr>
            <w:tcW w:w="2800" w:type="dxa"/>
            <w:vAlign w:val="center"/>
          </w:tcPr>
          <w:p w14:paraId="705574C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通用训练/推理与开放机架</w:t>
            </w:r>
          </w:p>
        </w:tc>
        <w:tc>
          <w:tcPr>
            <w:tcW w:w="2100" w:type="dxa"/>
            <w:vAlign w:val="center"/>
          </w:tcPr>
          <w:p w14:paraId="196D25F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MI350在用；Helios 2026H2导入</w:t>
            </w:r>
          </w:p>
        </w:tc>
        <w:tc>
          <w:tcPr>
            <w:tcW w:w="2400" w:type="dxa"/>
            <w:vAlign w:val="center"/>
          </w:tcPr>
          <w:p w14:paraId="0B567FB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ROCm成熟度、集成规模</w:t>
            </w:r>
          </w:p>
        </w:tc>
      </w:tr>
      <w:tr w:rsidR="007B5C49" w14:paraId="1E15E630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01F75FC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Google Ironwood TPU</w:t>
            </w:r>
          </w:p>
        </w:tc>
        <w:tc>
          <w:tcPr>
            <w:tcW w:w="2200" w:type="dxa"/>
            <w:vAlign w:val="center"/>
          </w:tcPr>
          <w:p w14:paraId="0A22597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Google及Cloud客户</w:t>
            </w:r>
          </w:p>
        </w:tc>
        <w:tc>
          <w:tcPr>
            <w:tcW w:w="2800" w:type="dxa"/>
            <w:vAlign w:val="center"/>
          </w:tcPr>
          <w:p w14:paraId="62CF13F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大规模推理/特定训练</w:t>
            </w:r>
          </w:p>
        </w:tc>
        <w:tc>
          <w:tcPr>
            <w:tcW w:w="2100" w:type="dxa"/>
            <w:vAlign w:val="center"/>
          </w:tcPr>
          <w:p w14:paraId="3D3D73C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Cloud内提供</w:t>
            </w:r>
          </w:p>
        </w:tc>
        <w:tc>
          <w:tcPr>
            <w:tcW w:w="2400" w:type="dxa"/>
            <w:vAlign w:val="center"/>
          </w:tcPr>
          <w:p w14:paraId="798FD61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跨云迁移与生态</w:t>
            </w:r>
          </w:p>
        </w:tc>
      </w:tr>
      <w:tr w:rsidR="007B5C49" w14:paraId="3685AF86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492C763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AWS Trainium</w:t>
            </w:r>
          </w:p>
        </w:tc>
        <w:tc>
          <w:tcPr>
            <w:tcW w:w="2200" w:type="dxa"/>
            <w:vAlign w:val="center"/>
          </w:tcPr>
          <w:p w14:paraId="49BFC6F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AWS及Anthropic等客户</w:t>
            </w:r>
          </w:p>
        </w:tc>
        <w:tc>
          <w:tcPr>
            <w:tcW w:w="2800" w:type="dxa"/>
            <w:vAlign w:val="center"/>
          </w:tcPr>
          <w:p w14:paraId="5D41BBC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云内训练/推理</w:t>
            </w:r>
          </w:p>
        </w:tc>
        <w:tc>
          <w:tcPr>
            <w:tcW w:w="2100" w:type="dxa"/>
            <w:vAlign w:val="center"/>
          </w:tcPr>
          <w:p w14:paraId="3DCE131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AWS内提供</w:t>
            </w:r>
          </w:p>
        </w:tc>
        <w:tc>
          <w:tcPr>
            <w:tcW w:w="2400" w:type="dxa"/>
            <w:vAlign w:val="center"/>
          </w:tcPr>
          <w:p w14:paraId="25BF49F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Neuron软件与云锁定</w:t>
            </w:r>
          </w:p>
        </w:tc>
      </w:tr>
      <w:tr w:rsidR="007B5C49" w14:paraId="31092722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41AB67E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Maia/模型定制ASIC</w:t>
            </w:r>
          </w:p>
        </w:tc>
        <w:tc>
          <w:tcPr>
            <w:tcW w:w="2200" w:type="dxa"/>
            <w:vAlign w:val="center"/>
          </w:tcPr>
          <w:p w14:paraId="67BD893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云厂/单一大客户</w:t>
            </w:r>
          </w:p>
        </w:tc>
        <w:tc>
          <w:tcPr>
            <w:tcW w:w="2800" w:type="dxa"/>
            <w:vAlign w:val="center"/>
          </w:tcPr>
          <w:p w14:paraId="6D45F8B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稳定高批量负载</w:t>
            </w:r>
          </w:p>
        </w:tc>
        <w:tc>
          <w:tcPr>
            <w:tcW w:w="2100" w:type="dxa"/>
            <w:vAlign w:val="center"/>
          </w:tcPr>
          <w:p w14:paraId="306285D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内部或伙伴专用</w:t>
            </w:r>
          </w:p>
        </w:tc>
        <w:tc>
          <w:tcPr>
            <w:tcW w:w="2400" w:type="dxa"/>
            <w:vAlign w:val="center"/>
          </w:tcPr>
          <w:p w14:paraId="4EB5D71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研发周期和模型变化</w:t>
            </w:r>
          </w:p>
        </w:tc>
      </w:tr>
    </w:tbl>
    <w:p w14:paraId="472F0969" w14:textId="77777777" w:rsidR="007B5C49" w:rsidRDefault="007B5C49">
      <w:pPr>
        <w:spacing w:after="40"/>
      </w:pPr>
    </w:p>
    <w:p w14:paraId="7288D49D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334EA129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06517237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分流机制</w:t>
            </w:r>
          </w:p>
          <w:p w14:paraId="7D976019" w14:textId="77777777" w:rsidR="007B5C49" w:rsidRDefault="00000000">
            <w:pPr>
              <w:spacing w:after="0" w:line="288" w:lineRule="auto"/>
            </w:pPr>
            <w:r>
              <w:t>GPU供给与成本压力 → 云厂把稳定大负载迁往自研ASIC → 通用和快速变化任务继续用GPU → AMD以开放机架争取第二来源 → 软件与模型适配决定真实利用率 → 市场形成多芯片并存而非单一替代。</w:t>
            </w:r>
          </w:p>
        </w:tc>
      </w:tr>
    </w:tbl>
    <w:p w14:paraId="6A8961F5" w14:textId="77777777" w:rsidR="007B5C49" w:rsidRDefault="007B5C49">
      <w:pPr>
        <w:spacing w:after="40"/>
      </w:pPr>
    </w:p>
    <w:p w14:paraId="337FD975" w14:textId="77777777" w:rsidR="007B5C49" w:rsidRDefault="00000000">
      <w:pPr>
        <w:pStyle w:val="QALabel"/>
      </w:pPr>
      <w:r>
        <w:t>来源</w:t>
      </w:r>
    </w:p>
    <w:p w14:paraId="4AC63518" w14:textId="77777777" w:rsidR="007B5C49" w:rsidRDefault="00000000">
      <w:pPr>
        <w:spacing w:after="80"/>
        <w:ind w:left="360" w:hanging="288"/>
      </w:pPr>
      <w:r>
        <w:rPr>
          <w:b/>
        </w:rPr>
        <w:t>• AMD｜Advancing AI 2025</w:t>
      </w:r>
      <w:r>
        <w:t>：MI350系列及公司基准</w:t>
      </w:r>
      <w:r>
        <w:rPr>
          <w:color w:val="1F4E79"/>
        </w:rPr>
        <w:br/>
        <w:t>https://www.amd.com/en/newsroom/press-releases/2025-6-12-amd-unveils-vision-for-an-open-ai-ecosystem-detai.html</w:t>
      </w:r>
    </w:p>
    <w:p w14:paraId="30EFC086" w14:textId="77777777" w:rsidR="007B5C49" w:rsidRDefault="00000000">
      <w:pPr>
        <w:spacing w:after="80"/>
        <w:ind w:left="360" w:hanging="288"/>
      </w:pPr>
      <w:r>
        <w:rPr>
          <w:b/>
        </w:rPr>
        <w:t>• AMD｜Helios and Celestica</w:t>
      </w:r>
      <w:r>
        <w:t>：ORW、UALoE与2026年末可用计划</w:t>
      </w:r>
      <w:r>
        <w:rPr>
          <w:color w:val="1F4E79"/>
        </w:rPr>
        <w:br/>
        <w:t>https://www.amd.com/en/newsroom/press-releases/2026-3-16-amd-and-celestica-announce-collaboration-to-a.html</w:t>
      </w:r>
    </w:p>
    <w:p w14:paraId="78B9903F" w14:textId="77777777" w:rsidR="007B5C49" w:rsidRDefault="00000000">
      <w:pPr>
        <w:spacing w:after="80"/>
        <w:ind w:left="360" w:hanging="288"/>
      </w:pPr>
      <w:r>
        <w:rPr>
          <w:b/>
        </w:rPr>
        <w:t>• AMD｜Meta 6GW agreement</w:t>
      </w:r>
      <w:r>
        <w:t>：首1GW出货和6GW协议边界</w:t>
      </w:r>
      <w:r>
        <w:rPr>
          <w:color w:val="1F4E79"/>
        </w:rPr>
        <w:br/>
        <w:t>https://www.amd.com/en/newsroom/press-releases/2026-2-24-amd-and-meta-announce-expanded-strategic-partnersh.html</w:t>
      </w:r>
    </w:p>
    <w:p w14:paraId="01DFAA3D" w14:textId="77777777" w:rsidR="007B5C49" w:rsidRDefault="00000000">
      <w:pPr>
        <w:spacing w:after="80"/>
        <w:ind w:left="360" w:hanging="288"/>
      </w:pPr>
      <w:r>
        <w:rPr>
          <w:b/>
        </w:rPr>
        <w:t>• Google｜Ironwood TPU</w:t>
      </w:r>
      <w:r>
        <w:t>：Pod、HBM、ICI与能效指标</w:t>
      </w:r>
      <w:r>
        <w:rPr>
          <w:color w:val="1F4E79"/>
        </w:rPr>
        <w:br/>
        <w:t>https://blog.google/innovation-and-ai/infrastructure-and-cloud/google-cloud/ironwood-tpu-age-of-inference/</w:t>
      </w:r>
    </w:p>
    <w:p w14:paraId="7C92A878" w14:textId="77777777" w:rsidR="007B5C49" w:rsidRDefault="00000000">
      <w:pPr>
        <w:pStyle w:val="Heading1"/>
        <w:pageBreakBefore/>
      </w:pPr>
      <w:r>
        <w:lastRenderedPageBreak/>
        <w:t>Q23</w:t>
      </w:r>
      <w:r>
        <w:t>：</w:t>
      </w:r>
      <w:r>
        <w:t>AI</w:t>
      </w:r>
      <w:r>
        <w:t>机柜为什么从</w:t>
      </w:r>
      <w:r>
        <w:t>5—10kW</w:t>
      </w:r>
      <w:r>
        <w:t>跃升到</w:t>
      </w:r>
      <w:r>
        <w:t>130kW</w:t>
      </w:r>
      <w:r>
        <w:t>以上？</w:t>
      </w:r>
    </w:p>
    <w:p w14:paraId="2155FA49" w14:textId="77777777" w:rsidR="007B5C49" w:rsidRDefault="00000000">
      <w:pPr>
        <w:pStyle w:val="QALabel"/>
      </w:pPr>
      <w:r>
        <w:t>通俗问题</w:t>
      </w:r>
    </w:p>
    <w:p w14:paraId="7A6F8221" w14:textId="77777777" w:rsidR="007B5C49" w:rsidRDefault="00000000">
      <w:r>
        <w:t>过去一个机柜十几千瓦已经算高密度，为什么现在AI机柜动辄上百千瓦，未来甚至讨论1MW？</w:t>
      </w:r>
    </w:p>
    <w:p w14:paraId="22E0345C" w14:textId="77777777" w:rsidR="007B5C49" w:rsidRDefault="00000000">
      <w:pPr>
        <w:pStyle w:val="QALabel"/>
      </w:pPr>
      <w:r>
        <w:t>主要研究（专业）</w:t>
      </w:r>
    </w:p>
    <w:p w14:paraId="0E457761" w14:textId="77777777" w:rsidR="007B5C49" w:rsidRDefault="00000000">
      <w:r>
        <w:t>芯片TDP、每柜加速器数量、scale-up互连、液冷与配电密度的共同演进。</w:t>
      </w:r>
    </w:p>
    <w:p w14:paraId="1A01826E" w14:textId="77777777" w:rsidR="007B5C49" w:rsidRDefault="00000000">
      <w:pPr>
        <w:pStyle w:val="QALabel"/>
      </w:pPr>
      <w:r>
        <w:t>研究方向</w:t>
      </w:r>
    </w:p>
    <w:p w14:paraId="46F586A9" w14:textId="77777777" w:rsidR="007B5C49" w:rsidRDefault="00000000">
      <w:pPr>
        <w:pStyle w:val="ListBullet"/>
        <w:spacing w:after="80" w:line="288" w:lineRule="auto"/>
        <w:ind w:left="403" w:hanging="259"/>
      </w:pPr>
      <w:r>
        <w:t>区分传统企业柜、GPU服务器柜、NVL72整柜和未来MW级机柜。</w:t>
      </w:r>
    </w:p>
    <w:p w14:paraId="543BCCEC" w14:textId="77777777" w:rsidR="007B5C49" w:rsidRDefault="00000000">
      <w:pPr>
        <w:pStyle w:val="ListBullet"/>
        <w:spacing w:after="80" w:line="288" w:lineRule="auto"/>
        <w:ind w:left="403" w:hanging="259"/>
      </w:pPr>
      <w:r>
        <w:t>解释铭牌功率、设计功率、平均IT负荷和设施输入功率。</w:t>
      </w:r>
    </w:p>
    <w:p w14:paraId="1531572C" w14:textId="77777777" w:rsidR="007B5C49" w:rsidRDefault="00000000">
      <w:pPr>
        <w:pStyle w:val="ListBullet"/>
        <w:spacing w:after="80" w:line="288" w:lineRule="auto"/>
        <w:ind w:left="403" w:hanging="259"/>
      </w:pPr>
      <w:r>
        <w:t>量化铜排、电流和冷却为何成为物理瓶颈。</w:t>
      </w:r>
    </w:p>
    <w:p w14:paraId="20E9F9DE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0842106D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4B238D0B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2DE6BF35" w14:textId="77777777" w:rsidR="007B5C49" w:rsidRDefault="00000000">
            <w:pPr>
              <w:spacing w:after="0" w:line="288" w:lineRule="auto"/>
            </w:pPr>
            <w:r>
              <w:t>功率密度跃升来自“单芯片功耗上升×每柜芯片更多×机架内高速互连与CPU共同耗电”。传统5—10kW空气冷却柜并非消失，但NVL72类系统已把设计带到约120—140kW级；2027年后的MW级柜是下一代路线图。密度越高，占地越省，却把热、母线、电缆、重量和维护压力集中到更小空间。</w:t>
            </w:r>
          </w:p>
        </w:tc>
      </w:tr>
    </w:tbl>
    <w:p w14:paraId="697CD39A" w14:textId="77777777" w:rsidR="007B5C49" w:rsidRDefault="007B5C49">
      <w:pPr>
        <w:spacing w:after="40"/>
      </w:pPr>
    </w:p>
    <w:p w14:paraId="74CEA903" w14:textId="77777777" w:rsidR="007B5C49" w:rsidRDefault="00000000">
      <w:pPr>
        <w:pStyle w:val="QALabel"/>
      </w:pPr>
      <w:r>
        <w:t>详细支撑</w:t>
      </w:r>
    </w:p>
    <w:p w14:paraId="3736D1C6" w14:textId="77777777" w:rsidR="007B5C49" w:rsidRDefault="00000000">
      <w:pPr>
        <w:pStyle w:val="Heading2"/>
      </w:pPr>
      <w:r>
        <w:t xml:space="preserve">1. </w:t>
      </w:r>
      <w:r>
        <w:t>四种机柜不能混成一个平均值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200"/>
        <w:gridCol w:w="2300"/>
        <w:gridCol w:w="2500"/>
        <w:gridCol w:w="2300"/>
      </w:tblGrid>
      <w:tr w:rsidR="007B5C49" w14:paraId="6ED4CA21" w14:textId="77777777">
        <w:trPr>
          <w:tblHeader/>
          <w:jc w:val="center"/>
        </w:trPr>
        <w:tc>
          <w:tcPr>
            <w:tcW w:w="2100" w:type="dxa"/>
            <w:shd w:val="clear" w:color="auto" w:fill="D9EAF7"/>
          </w:tcPr>
          <w:p w14:paraId="4D1A722B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机柜类型</w:t>
            </w:r>
          </w:p>
        </w:tc>
        <w:tc>
          <w:tcPr>
            <w:tcW w:w="2200" w:type="dxa"/>
            <w:shd w:val="clear" w:color="auto" w:fill="D9EAF7"/>
          </w:tcPr>
          <w:p w14:paraId="0A9AC247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典型设计区间</w:t>
            </w:r>
          </w:p>
        </w:tc>
        <w:tc>
          <w:tcPr>
            <w:tcW w:w="2300" w:type="dxa"/>
            <w:shd w:val="clear" w:color="auto" w:fill="D9EAF7"/>
          </w:tcPr>
          <w:p w14:paraId="6E1BCB6C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冷却形态</w:t>
            </w:r>
          </w:p>
        </w:tc>
        <w:tc>
          <w:tcPr>
            <w:tcW w:w="2500" w:type="dxa"/>
            <w:shd w:val="clear" w:color="auto" w:fill="D9EAF7"/>
          </w:tcPr>
          <w:p w14:paraId="3B57DFD4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主要工作负载</w:t>
            </w:r>
          </w:p>
        </w:tc>
        <w:tc>
          <w:tcPr>
            <w:tcW w:w="2300" w:type="dxa"/>
            <w:shd w:val="clear" w:color="auto" w:fill="D9EAF7"/>
          </w:tcPr>
          <w:p w14:paraId="35328994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状态解释</w:t>
            </w:r>
          </w:p>
        </w:tc>
      </w:tr>
      <w:tr w:rsidR="007B5C49" w14:paraId="4FE6BFBF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745B4C3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传统企业/存储</w:t>
            </w:r>
          </w:p>
        </w:tc>
        <w:tc>
          <w:tcPr>
            <w:tcW w:w="2200" w:type="dxa"/>
            <w:vAlign w:val="center"/>
          </w:tcPr>
          <w:p w14:paraId="6D88FB4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约5—15kW</w:t>
            </w:r>
          </w:p>
        </w:tc>
        <w:tc>
          <w:tcPr>
            <w:tcW w:w="2300" w:type="dxa"/>
            <w:vAlign w:val="center"/>
          </w:tcPr>
          <w:p w14:paraId="3B1BDBE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风冷</w:t>
            </w:r>
          </w:p>
        </w:tc>
        <w:tc>
          <w:tcPr>
            <w:tcW w:w="2500" w:type="dxa"/>
            <w:vAlign w:val="center"/>
          </w:tcPr>
          <w:p w14:paraId="36CF3CE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数据库、存储、网络</w:t>
            </w:r>
          </w:p>
        </w:tc>
        <w:tc>
          <w:tcPr>
            <w:tcW w:w="2300" w:type="dxa"/>
            <w:vAlign w:val="center"/>
          </w:tcPr>
          <w:p w14:paraId="47602E8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仍大量存在</w:t>
            </w:r>
          </w:p>
        </w:tc>
      </w:tr>
      <w:tr w:rsidR="007B5C49" w14:paraId="626A7114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6256EB2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高密GPU服务器柜</w:t>
            </w:r>
          </w:p>
        </w:tc>
        <w:tc>
          <w:tcPr>
            <w:tcW w:w="2200" w:type="dxa"/>
            <w:vAlign w:val="center"/>
          </w:tcPr>
          <w:p w14:paraId="3B87750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约30—80kW</w:t>
            </w:r>
          </w:p>
        </w:tc>
        <w:tc>
          <w:tcPr>
            <w:tcW w:w="2300" w:type="dxa"/>
            <w:vAlign w:val="center"/>
          </w:tcPr>
          <w:p w14:paraId="56A098A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强化风冷或液冷</w:t>
            </w:r>
          </w:p>
        </w:tc>
        <w:tc>
          <w:tcPr>
            <w:tcW w:w="2500" w:type="dxa"/>
            <w:vAlign w:val="center"/>
          </w:tcPr>
          <w:p w14:paraId="6A0D311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训练、推理/HPC</w:t>
            </w:r>
          </w:p>
        </w:tc>
        <w:tc>
          <w:tcPr>
            <w:tcW w:w="2300" w:type="dxa"/>
            <w:vAlign w:val="center"/>
          </w:tcPr>
          <w:p w14:paraId="1720DA7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配置差异很大</w:t>
            </w:r>
          </w:p>
        </w:tc>
      </w:tr>
      <w:tr w:rsidR="007B5C49" w14:paraId="272D4BDF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288108A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GB200/GB300 NVL72</w:t>
            </w:r>
          </w:p>
        </w:tc>
        <w:tc>
          <w:tcPr>
            <w:tcW w:w="2200" w:type="dxa"/>
            <w:vAlign w:val="center"/>
          </w:tcPr>
          <w:p w14:paraId="79358FD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约120—140kW级</w:t>
            </w:r>
          </w:p>
        </w:tc>
        <w:tc>
          <w:tcPr>
            <w:tcW w:w="2300" w:type="dxa"/>
            <w:vAlign w:val="center"/>
          </w:tcPr>
          <w:p w14:paraId="16DCD6A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直接液冷为主</w:t>
            </w:r>
          </w:p>
        </w:tc>
        <w:tc>
          <w:tcPr>
            <w:tcW w:w="2500" w:type="dxa"/>
            <w:vAlign w:val="center"/>
          </w:tcPr>
          <w:p w14:paraId="31243F9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机架级训练与推理</w:t>
            </w:r>
          </w:p>
        </w:tc>
        <w:tc>
          <w:tcPr>
            <w:tcW w:w="2300" w:type="dxa"/>
            <w:vAlign w:val="center"/>
          </w:tcPr>
          <w:p w14:paraId="56A8DCD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当前高密主流前沿</w:t>
            </w:r>
          </w:p>
        </w:tc>
      </w:tr>
      <w:tr w:rsidR="007B5C49" w14:paraId="58931583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0FC4781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未来Kyber/MW级</w:t>
            </w:r>
          </w:p>
        </w:tc>
        <w:tc>
          <w:tcPr>
            <w:tcW w:w="2200" w:type="dxa"/>
            <w:vAlign w:val="center"/>
          </w:tcPr>
          <w:p w14:paraId="7F3FC82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1MW及以上目标</w:t>
            </w:r>
          </w:p>
        </w:tc>
        <w:tc>
          <w:tcPr>
            <w:tcW w:w="2300" w:type="dxa"/>
            <w:vAlign w:val="center"/>
          </w:tcPr>
          <w:p w14:paraId="4CEF143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液冷+800VDC</w:t>
            </w:r>
          </w:p>
        </w:tc>
        <w:tc>
          <w:tcPr>
            <w:tcW w:w="2500" w:type="dxa"/>
            <w:vAlign w:val="center"/>
          </w:tcPr>
          <w:p w14:paraId="0AE6EF0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下一代超高密系统</w:t>
            </w:r>
          </w:p>
        </w:tc>
        <w:tc>
          <w:tcPr>
            <w:tcW w:w="2300" w:type="dxa"/>
            <w:vAlign w:val="center"/>
          </w:tcPr>
          <w:p w14:paraId="586C94B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2027+路线图</w:t>
            </w:r>
          </w:p>
        </w:tc>
      </w:tr>
    </w:tbl>
    <w:p w14:paraId="1DAD304A" w14:textId="77777777" w:rsidR="007B5C49" w:rsidRDefault="007B5C49">
      <w:pPr>
        <w:spacing w:after="40"/>
      </w:pPr>
    </w:p>
    <w:p w14:paraId="1822375D" w14:textId="77777777" w:rsidR="007B5C49" w:rsidRDefault="00000000">
      <w:r>
        <w:t>区间用于工程筛选，不是每个OEM的统一铭牌。完整机柜还包含CPU、NVSwitch、NIC、泵和电源损耗；运行中的平均功率取决于模型、调度和功率封顶。研究园区容量时，应以计量IT负载或合同可用MW为准，不能简单用机柜数乘峰值铭牌。</w:t>
      </w:r>
    </w:p>
    <w:p w14:paraId="73B2B244" w14:textId="77777777" w:rsidR="007B5C49" w:rsidRDefault="00000000">
      <w:pPr>
        <w:pStyle w:val="Heading2"/>
      </w:pPr>
      <w:r>
        <w:t xml:space="preserve">2. </w:t>
      </w:r>
      <w:r>
        <w:t>电流解释了为什么低压配电很快碰壁</w:t>
      </w:r>
    </w:p>
    <w:p w14:paraId="296DBF7C" w14:textId="77777777" w:rsidR="007B5C49" w:rsidRDefault="00000000">
      <w:r>
        <w:t>理想直流下，130kW在54V约需2,407A，在800V约需163A；1MW在54V约18,519A，在800V约1,250A。实际还要考虑效率、冗余和安全裕度。电压提高可显著降低同功率电流，减少铜截面和I²R损耗，这正是800VDC路线的物理动因。</w:t>
      </w:r>
    </w:p>
    <w:p w14:paraId="7257B75C" w14:textId="77777777" w:rsidR="007B5C49" w:rsidRDefault="00000000">
      <w:r>
        <w:t>但电压更高不等于设计更简单：直流电弧不经过交流过零点，保护、连接器、绝缘、检修和消防规范都要重新验证。短期内大量GB200/GB300设施仍采用中压到低压交流、再在机柜附近转换的架构。</w:t>
      </w:r>
    </w:p>
    <w:p w14:paraId="2A2230EB" w14:textId="77777777" w:rsidR="007B5C49" w:rsidRDefault="00000000">
      <w:pPr>
        <w:pStyle w:val="Heading2"/>
      </w:pPr>
      <w:r>
        <w:lastRenderedPageBreak/>
        <w:t xml:space="preserve">3. </w:t>
      </w:r>
      <w:r>
        <w:t>热量必须通过液体更靠近芯片带走</w:t>
      </w:r>
    </w:p>
    <w:p w14:paraId="7CBB81CE" w14:textId="77777777" w:rsidR="007B5C49" w:rsidRDefault="00000000">
      <w:r>
        <w:t>130kW持续负荷几乎全部最终转化为热。单柜若依靠空气，需要极大风量、风机功率和地板/风道面积；直接液冷把冷板贴近GPU/CPU，通过CDU和设施水回路传热，能支持更高热流密度。残余热仍需风冷处理，液冷并不等于机房无需空气系统。</w:t>
      </w:r>
    </w:p>
    <w:p w14:paraId="406FC541" w14:textId="77777777" w:rsidR="007B5C49" w:rsidRDefault="00000000">
      <w:r>
        <w:t>改造旧机房时，瓶颈往往不是能否放入一柜，而是整排母线容量、楼板承重、供回水管径、CDU位置、漏液检测、维修通道和冷却塔/干冷器能力。把十个10kW柜换成一个130kW柜，会释放白空间，却不自动创造变电和排热能力。</w:t>
      </w:r>
    </w:p>
    <w:p w14:paraId="1AEF2D66" w14:textId="77777777" w:rsidR="007B5C49" w:rsidRDefault="00000000">
      <w:pPr>
        <w:pStyle w:val="Heading2"/>
      </w:pPr>
      <w:r>
        <w:t xml:space="preserve">4. </w:t>
      </w:r>
      <w:r>
        <w:t>更高密度改变的是故障经济性</w:t>
      </w:r>
    </w:p>
    <w:p w14:paraId="64AD7346" w14:textId="77777777" w:rsidR="007B5C49" w:rsidRDefault="00000000">
      <w:r>
        <w:t>一个高密机柜故障会同时影响更多GPU，网络或冷却中断的损失更集中。运营指标应从“单台服务器可用性”升级为机架级功率、供水温度、流量、压差、GPU降频和网络拥塞的联合监控。高密度的真正收益只有在高利用率下兑现；若软件调度或供应链使机柜闲置，昂贵电力与液冷资产会降低资本回报。</w:t>
      </w:r>
    </w:p>
    <w:p w14:paraId="6D2C40BC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0BAED839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55BC533F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密度上升</w:t>
            </w:r>
          </w:p>
          <w:p w14:paraId="34D287C1" w14:textId="77777777" w:rsidR="007B5C49" w:rsidRDefault="00000000">
            <w:pPr>
              <w:spacing w:after="0" w:line="288" w:lineRule="auto"/>
            </w:pPr>
            <w:r>
              <w:t>模型规模与通信需求上升 → 单柜集成更多高功耗加速器 → 机柜功率超过空气和低压铜排经济区间 → 直接液冷与更高电压配电导入 → 白空间缩小但电力/热/故障集中 → 设施设计从房间平均密度转向逐排、逐柜动态管理。</w:t>
            </w:r>
          </w:p>
        </w:tc>
      </w:tr>
    </w:tbl>
    <w:p w14:paraId="4DA9C5C4" w14:textId="77777777" w:rsidR="007B5C49" w:rsidRDefault="007B5C49">
      <w:pPr>
        <w:spacing w:after="40"/>
      </w:pPr>
    </w:p>
    <w:p w14:paraId="0514DFDA" w14:textId="77777777" w:rsidR="007B5C49" w:rsidRDefault="00000000">
      <w:pPr>
        <w:pStyle w:val="QALabel"/>
      </w:pPr>
      <w:r>
        <w:t>来源</w:t>
      </w:r>
    </w:p>
    <w:p w14:paraId="0CDC540A" w14:textId="77777777" w:rsidR="007B5C49" w:rsidRDefault="00000000">
      <w:pPr>
        <w:spacing w:after="80"/>
        <w:ind w:left="360" w:hanging="288"/>
      </w:pPr>
      <w:r>
        <w:rPr>
          <w:b/>
        </w:rPr>
        <w:t>• NVIDIA｜GB300 NVL72</w:t>
      </w:r>
      <w:r>
        <w:t>：完全液冷的72 GPU机架级架构</w:t>
      </w:r>
      <w:r>
        <w:rPr>
          <w:color w:val="1F4E79"/>
        </w:rPr>
        <w:br/>
        <w:t>https://www.nvidia.com/en-us/data-center/gb300-nvl72/</w:t>
      </w:r>
    </w:p>
    <w:p w14:paraId="7B90ACB1" w14:textId="77777777" w:rsidR="007B5C49" w:rsidRDefault="00000000">
      <w:pPr>
        <w:spacing w:after="80"/>
        <w:ind w:left="360" w:hanging="288"/>
      </w:pPr>
      <w:r>
        <w:rPr>
          <w:b/>
        </w:rPr>
        <w:t>• NVIDIA｜MGX and 800 VDC</w:t>
      </w:r>
      <w:r>
        <w:t>：2027年起MW级机柜方向</w:t>
      </w:r>
      <w:r>
        <w:rPr>
          <w:color w:val="1F4E79"/>
        </w:rPr>
        <w:br/>
        <w:t>https://www.nvidia.com/en-us/data-center/products/mgx/</w:t>
      </w:r>
    </w:p>
    <w:p w14:paraId="783DF0D1" w14:textId="77777777" w:rsidR="007B5C49" w:rsidRDefault="00000000">
      <w:pPr>
        <w:spacing w:after="80"/>
        <w:ind w:left="360" w:hanging="288"/>
      </w:pPr>
      <w:r>
        <w:rPr>
          <w:b/>
        </w:rPr>
        <w:t>• Eaton｜800 VDC reference architecture</w:t>
      </w:r>
      <w:r>
        <w:t>：MW级机柜、母线、储能与连接器</w:t>
      </w:r>
      <w:r>
        <w:rPr>
          <w:color w:val="1F4E79"/>
        </w:rPr>
        <w:br/>
        <w:t>https://www.eaton.com/gb/en-gb/company/news-insights/news-releases/2025/eaton-unveils-next-generation-architecture.html</w:t>
      </w:r>
    </w:p>
    <w:p w14:paraId="7B4C7F21" w14:textId="77777777" w:rsidR="007B5C49" w:rsidRDefault="00000000">
      <w:pPr>
        <w:pStyle w:val="Heading1"/>
        <w:pageBreakBefore/>
      </w:pPr>
      <w:r>
        <w:lastRenderedPageBreak/>
        <w:t>Q24</w:t>
      </w:r>
      <w:r>
        <w:t>：变压器、发电机、</w:t>
      </w:r>
      <w:r>
        <w:t>UPS</w:t>
      </w:r>
      <w:r>
        <w:t>和开关柜谁在供货，真正瓶颈在哪里？</w:t>
      </w:r>
    </w:p>
    <w:p w14:paraId="40B602E9" w14:textId="77777777" w:rsidR="007B5C49" w:rsidRDefault="00000000">
      <w:pPr>
        <w:pStyle w:val="QALabel"/>
      </w:pPr>
      <w:r>
        <w:t>通俗问题</w:t>
      </w:r>
    </w:p>
    <w:p w14:paraId="219A6A1B" w14:textId="77777777" w:rsidR="007B5C49" w:rsidRDefault="00000000">
      <w:r>
        <w:t>GPU已经订到了，为什么数据中心仍可能晚两三年投运？电气设备链里哪些公司和环节最关键？</w:t>
      </w:r>
    </w:p>
    <w:p w14:paraId="3BE54FE5" w14:textId="77777777" w:rsidR="007B5C49" w:rsidRDefault="00000000">
      <w:pPr>
        <w:pStyle w:val="QALabel"/>
      </w:pPr>
      <w:r>
        <w:t>主要研究（专业）</w:t>
      </w:r>
    </w:p>
    <w:p w14:paraId="6736E5F9" w14:textId="77777777" w:rsidR="007B5C49" w:rsidRDefault="00000000">
      <w:r>
        <w:t>从电网到芯片的变压、开断、备用发电、UPS/储能和末端配电供应链。</w:t>
      </w:r>
    </w:p>
    <w:p w14:paraId="40215CDF" w14:textId="77777777" w:rsidR="007B5C49" w:rsidRDefault="00000000">
      <w:pPr>
        <w:pStyle w:val="QALabel"/>
      </w:pPr>
      <w:r>
        <w:t>研究方向</w:t>
      </w:r>
    </w:p>
    <w:p w14:paraId="5AF4A190" w14:textId="77777777" w:rsidR="007B5C49" w:rsidRDefault="00000000">
      <w:pPr>
        <w:pStyle w:val="ListBullet"/>
        <w:spacing w:after="80" w:line="288" w:lineRule="auto"/>
        <w:ind w:left="403" w:hanging="259"/>
      </w:pPr>
      <w:r>
        <w:t>按设备功能列主要全球供应商，不用不可比收入编造份额。</w:t>
      </w:r>
    </w:p>
    <w:p w14:paraId="75E7073F" w14:textId="77777777" w:rsidR="007B5C49" w:rsidRDefault="00000000">
      <w:pPr>
        <w:pStyle w:val="ListBullet"/>
        <w:spacing w:after="80" w:line="288" w:lineRule="auto"/>
        <w:ind w:left="403" w:hanging="259"/>
      </w:pPr>
      <w:r>
        <w:t>区分公用事业侧大型变压器和设施侧配电变压器。</w:t>
      </w:r>
    </w:p>
    <w:p w14:paraId="3B0DF858" w14:textId="77777777" w:rsidR="007B5C49" w:rsidRDefault="00000000">
      <w:pPr>
        <w:pStyle w:val="ListBullet"/>
        <w:spacing w:after="80" w:line="288" w:lineRule="auto"/>
        <w:ind w:left="403" w:hanging="259"/>
      </w:pPr>
      <w:r>
        <w:t>解释交期、工厂槽位、工程认证和现场调试的链式约束。</w:t>
      </w:r>
    </w:p>
    <w:p w14:paraId="21FD1692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656E9E3A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0557A746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0EB8DFCE" w14:textId="77777777" w:rsidR="007B5C49" w:rsidRDefault="00000000">
            <w:pPr>
              <w:spacing w:after="0" w:line="288" w:lineRule="auto"/>
            </w:pPr>
            <w:r>
              <w:t>长交期设备而非GPU经常决定“何时通电”。大型电力变压器、发电机组、中压开关设备、UPS和母线必须按保护方案联合设计；任何一个环节晚到都可能推迟整个数据厅。供货商包括Hitachi Energy、Siemens Energy、GE Vernova、Schneider Electric、Eaton、ABB、Vertiv、Caterpillar、Cummins、Rolls-Royce mtu等，但实际瓶颈是经认证的产能槽位和完整系统交付，不只是品牌数量。</w:t>
            </w:r>
          </w:p>
        </w:tc>
      </w:tr>
    </w:tbl>
    <w:p w14:paraId="5FB90058" w14:textId="77777777" w:rsidR="007B5C49" w:rsidRDefault="007B5C49">
      <w:pPr>
        <w:spacing w:after="40"/>
      </w:pPr>
    </w:p>
    <w:p w14:paraId="574F11AD" w14:textId="77777777" w:rsidR="007B5C49" w:rsidRDefault="00000000">
      <w:pPr>
        <w:pStyle w:val="QALabel"/>
      </w:pPr>
      <w:r>
        <w:t>详细支撑</w:t>
      </w:r>
    </w:p>
    <w:p w14:paraId="0F65EE4C" w14:textId="77777777" w:rsidR="007B5C49" w:rsidRDefault="00000000">
      <w:pPr>
        <w:pStyle w:val="Heading2"/>
      </w:pPr>
      <w:r>
        <w:t xml:space="preserve">1. </w:t>
      </w:r>
      <w:r>
        <w:t>从电网到机柜是一串互锁设备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2500"/>
        <w:gridCol w:w="3000"/>
        <w:gridCol w:w="2800"/>
      </w:tblGrid>
      <w:tr w:rsidR="007B5C49" w14:paraId="7290FDC0" w14:textId="77777777">
        <w:trPr>
          <w:tblHeader/>
          <w:jc w:val="center"/>
        </w:trPr>
        <w:tc>
          <w:tcPr>
            <w:tcW w:w="1700" w:type="dxa"/>
            <w:shd w:val="clear" w:color="auto" w:fill="D9EAF7"/>
          </w:tcPr>
          <w:p w14:paraId="547381EB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环节</w:t>
            </w:r>
          </w:p>
        </w:tc>
        <w:tc>
          <w:tcPr>
            <w:tcW w:w="2500" w:type="dxa"/>
            <w:shd w:val="clear" w:color="auto" w:fill="D9EAF7"/>
          </w:tcPr>
          <w:p w14:paraId="6E4C09EE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设备作用</w:t>
            </w:r>
          </w:p>
        </w:tc>
        <w:tc>
          <w:tcPr>
            <w:tcW w:w="3000" w:type="dxa"/>
            <w:shd w:val="clear" w:color="auto" w:fill="D9EAF7"/>
          </w:tcPr>
          <w:p w14:paraId="7625EF6F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代表供应商（非排名）</w:t>
            </w:r>
          </w:p>
        </w:tc>
        <w:tc>
          <w:tcPr>
            <w:tcW w:w="2800" w:type="dxa"/>
            <w:shd w:val="clear" w:color="auto" w:fill="D9EAF7"/>
          </w:tcPr>
          <w:p w14:paraId="285F7ED2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常见约束</w:t>
            </w:r>
          </w:p>
        </w:tc>
      </w:tr>
      <w:tr w:rsidR="007B5C49" w14:paraId="3639887D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F63A92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并网/高压变电</w:t>
            </w:r>
          </w:p>
        </w:tc>
        <w:tc>
          <w:tcPr>
            <w:tcW w:w="2500" w:type="dxa"/>
            <w:vAlign w:val="center"/>
          </w:tcPr>
          <w:p w14:paraId="6D5E424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降压、隔离和系统保护</w:t>
            </w:r>
          </w:p>
        </w:tc>
        <w:tc>
          <w:tcPr>
            <w:tcW w:w="3000" w:type="dxa"/>
            <w:vAlign w:val="center"/>
          </w:tcPr>
          <w:p w14:paraId="542134D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Hitachi Energy、Siemens Energy、GE Vernova、Hyosung</w:t>
            </w:r>
          </w:p>
        </w:tc>
        <w:tc>
          <w:tcPr>
            <w:tcW w:w="2800" w:type="dxa"/>
            <w:vAlign w:val="center"/>
          </w:tcPr>
          <w:p w14:paraId="18F626C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大型变压器、套管、钢材、运输</w:t>
            </w:r>
          </w:p>
        </w:tc>
      </w:tr>
      <w:tr w:rsidR="007B5C49" w14:paraId="180B2136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5835FD1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中低压配电</w:t>
            </w:r>
          </w:p>
        </w:tc>
        <w:tc>
          <w:tcPr>
            <w:tcW w:w="2500" w:type="dxa"/>
            <w:vAlign w:val="center"/>
          </w:tcPr>
          <w:p w14:paraId="2A3B922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开关柜、断路器、母线、PDU</w:t>
            </w:r>
          </w:p>
        </w:tc>
        <w:tc>
          <w:tcPr>
            <w:tcW w:w="3000" w:type="dxa"/>
            <w:vAlign w:val="center"/>
          </w:tcPr>
          <w:p w14:paraId="4A63D05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Schneider、Eaton、ABB、Siemens、Vertiv</w:t>
            </w:r>
          </w:p>
        </w:tc>
        <w:tc>
          <w:tcPr>
            <w:tcW w:w="2800" w:type="dxa"/>
            <w:vAlign w:val="center"/>
          </w:tcPr>
          <w:p w14:paraId="723C8D7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认证柜型、铜、开断能力与工厂槽位</w:t>
            </w:r>
          </w:p>
        </w:tc>
      </w:tr>
      <w:tr w:rsidR="007B5C49" w14:paraId="1F823B5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E05E38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备用电源</w:t>
            </w:r>
          </w:p>
        </w:tc>
        <w:tc>
          <w:tcPr>
            <w:tcW w:w="2500" w:type="dxa"/>
            <w:vAlign w:val="center"/>
          </w:tcPr>
          <w:p w14:paraId="42F6230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停电时维持负荷/黑启动</w:t>
            </w:r>
          </w:p>
        </w:tc>
        <w:tc>
          <w:tcPr>
            <w:tcW w:w="3000" w:type="dxa"/>
            <w:vAlign w:val="center"/>
          </w:tcPr>
          <w:p w14:paraId="77ABC3B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Caterpillar、Cummins、Rolls-Royce mtu、Wärtsilä</w:t>
            </w:r>
          </w:p>
        </w:tc>
        <w:tc>
          <w:tcPr>
            <w:tcW w:w="2800" w:type="dxa"/>
            <w:vAlign w:val="center"/>
          </w:tcPr>
          <w:p w14:paraId="137F8E4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发动机、发电机、排放许可与燃料</w:t>
            </w:r>
          </w:p>
        </w:tc>
      </w:tr>
      <w:tr w:rsidR="007B5C49" w14:paraId="6D059E64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22B7AF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UPS/短时储能</w:t>
            </w:r>
          </w:p>
        </w:tc>
        <w:tc>
          <w:tcPr>
            <w:tcW w:w="2500" w:type="dxa"/>
            <w:vAlign w:val="center"/>
          </w:tcPr>
          <w:p w14:paraId="3919CB1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跨越切换、改善电能质量</w:t>
            </w:r>
          </w:p>
        </w:tc>
        <w:tc>
          <w:tcPr>
            <w:tcW w:w="3000" w:type="dxa"/>
            <w:vAlign w:val="center"/>
          </w:tcPr>
          <w:p w14:paraId="2D92393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Schneider/APC、Vertiv、Eaton、ABB</w:t>
            </w:r>
          </w:p>
        </w:tc>
        <w:tc>
          <w:tcPr>
            <w:tcW w:w="2800" w:type="dxa"/>
            <w:vAlign w:val="center"/>
          </w:tcPr>
          <w:p w14:paraId="5DAA658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功率模块、电池、控制与并机验证</w:t>
            </w:r>
          </w:p>
        </w:tc>
      </w:tr>
      <w:tr w:rsidR="007B5C49" w14:paraId="636AB3BD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0B9A64E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机柜末端</w:t>
            </w:r>
          </w:p>
        </w:tc>
        <w:tc>
          <w:tcPr>
            <w:tcW w:w="2500" w:type="dxa"/>
            <w:vAlign w:val="center"/>
          </w:tcPr>
          <w:p w14:paraId="3D1EC90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PSU、母线、连接器与液冷供电</w:t>
            </w:r>
          </w:p>
        </w:tc>
        <w:tc>
          <w:tcPr>
            <w:tcW w:w="3000" w:type="dxa"/>
            <w:vAlign w:val="center"/>
          </w:tcPr>
          <w:p w14:paraId="61126E0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Vertiv、Eaton、Schneider及OEM生态</w:t>
            </w:r>
          </w:p>
        </w:tc>
        <w:tc>
          <w:tcPr>
            <w:tcW w:w="2800" w:type="dxa"/>
            <w:vAlign w:val="center"/>
          </w:tcPr>
          <w:p w14:paraId="1B13D8A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高电流、直流保护、空间与热</w:t>
            </w:r>
          </w:p>
        </w:tc>
      </w:tr>
    </w:tbl>
    <w:p w14:paraId="0F7E414A" w14:textId="77777777" w:rsidR="007B5C49" w:rsidRDefault="007B5C49">
      <w:pPr>
        <w:spacing w:after="40"/>
      </w:pPr>
    </w:p>
    <w:p w14:paraId="799B6F5F" w14:textId="77777777" w:rsidR="007B5C49" w:rsidRDefault="00000000">
      <w:r>
        <w:t>名单表示可参与相应产品链，不代表每家公司在所有电压等级、地区和项目中都具备相同能力。采购还受当地标准、短路容量、服务网络、既有控制系统和客户白名单约束，因此“全球有很多供应商”不等于某项目可以立即替换。</w:t>
      </w:r>
    </w:p>
    <w:p w14:paraId="5B0C9841" w14:textId="77777777" w:rsidR="007B5C49" w:rsidRDefault="00000000">
      <w:pPr>
        <w:pStyle w:val="Heading2"/>
      </w:pPr>
      <w:r>
        <w:lastRenderedPageBreak/>
        <w:t xml:space="preserve">2. </w:t>
      </w:r>
      <w:r>
        <w:t>变压器是典型的不可压缩长周期设备</w:t>
      </w:r>
    </w:p>
    <w:p w14:paraId="0D39E27D" w14:textId="77777777" w:rsidR="007B5C49" w:rsidRDefault="00000000">
      <w:r>
        <w:t>大型变压器需要定制电压、容量、阻抗、冷却和运输方案，生产涉及取向硅钢、铜、绝缘和大型试验能力。超限设备还要协调铁路、公路、桥梁和吊装。分配变压器虽更标准化，但当公用事业和数据中心同时扩建时也会排队。</w:t>
      </w:r>
    </w:p>
    <w:p w14:paraId="00B285F8" w14:textId="77777777" w:rsidR="007B5C49" w:rsidRDefault="00000000">
      <w:r>
        <w:t>项目常犯的错误是把“公用事业批准供电”理解为“设备已存在”。真正可交付日期需要把输电线路、变电站土建、高压变压器、保护继电、通信、系统研究和带电试验放进同一关键路径。现场自备发电可以缓解并网等待，但不能自动替代输电许可、燃料供应和排放批准。</w:t>
      </w:r>
    </w:p>
    <w:p w14:paraId="5BCA232E" w14:textId="77777777" w:rsidR="007B5C49" w:rsidRDefault="00000000">
      <w:pPr>
        <w:pStyle w:val="Heading2"/>
      </w:pPr>
      <w:r>
        <w:t xml:space="preserve">3. </w:t>
      </w:r>
      <w:r>
        <w:t>备用发电与</w:t>
      </w:r>
      <w:r>
        <w:t>UPS</w:t>
      </w:r>
      <w:r>
        <w:t>正从静态保险变成动态电力系统</w:t>
      </w:r>
    </w:p>
    <w:p w14:paraId="74B47C5E" w14:textId="77777777" w:rsidR="007B5C49" w:rsidRDefault="00000000">
      <w:r>
        <w:t>传统柴油发电机为低频停电设计，AI负载则可能产生快速功率波动。UPS、电池或超级电容需要跨越发电机启动、抑制功率阶跃，并与公用电网保护协调。Eaton的800VDC参考架构明确纳入快速循环超级电容、ORV3母线和直流连接器，说明储能正靠近负载。</w:t>
      </w:r>
    </w:p>
    <w:p w14:paraId="4B141397" w14:textId="77777777" w:rsidR="007B5C49" w:rsidRDefault="00000000">
      <w:r>
        <w:t>若园区采用燃气轮机、燃气内燃机或燃料电池长期供电，设备角色从“备用”变为“主电源”，燃料管线、排放、噪声、维护停机和并网控制都需按电厂标准评估。设备采购金额不能与数据中心建筑CapEx简单相加，除非项目披露边界一致。</w:t>
      </w:r>
    </w:p>
    <w:p w14:paraId="5C4061D8" w14:textId="77777777" w:rsidR="007B5C49" w:rsidRDefault="00000000">
      <w:pPr>
        <w:pStyle w:val="Heading2"/>
      </w:pPr>
      <w:r>
        <w:t xml:space="preserve">4. </w:t>
      </w:r>
      <w:r>
        <w:t>供应链管理要锁定接口而不仅是下订单</w:t>
      </w:r>
    </w:p>
    <w:p w14:paraId="2CF67B14" w14:textId="77777777" w:rsidR="007B5C49" w:rsidRDefault="00000000">
      <w:r>
        <w:t>最佳做法是先冻结单线图、短路电流、保护逻辑、冗余等级和机架爬坡曲线，再预订长交期槽位；对变压器、开关柜、发电机、UPS和CDU建立接口控制文件。设备提前到场也有风险：存储、保修起算、潮气、软件版本和现场土建延误都会产生损失。</w:t>
      </w:r>
    </w:p>
    <w:p w14:paraId="06DC7F6B" w14:textId="77777777" w:rsidR="007B5C49" w:rsidRDefault="00000000">
      <w:r>
        <w:t>对投资者，应跟踪“已下单、工厂开工、完成FAT、到场、通电、负载验收”六个状态。合同金额只能证明采购承诺，FAT通过也不代表电网已经允许带负荷；只有最终集成测试完成，才接近可用IT容量。</w:t>
      </w:r>
    </w:p>
    <w:p w14:paraId="5410D47B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0D20B2F1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24B45DC2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长交期传导</w:t>
            </w:r>
          </w:p>
          <w:p w14:paraId="367DA49C" w14:textId="77777777" w:rsidR="007B5C49" w:rsidRDefault="00000000">
            <w:pPr>
              <w:spacing w:after="0" w:line="288" w:lineRule="auto"/>
            </w:pPr>
            <w:r>
              <w:t>AI园区锁定客户和GPU → 电力方案确定电压与故障电流 → 定制变压器/开关柜/发电机排产 → 土建和线路并行 → FAT、运输和安装 → 保护与负载联调 → 最晚一个关键设备决定首批可用MW。</w:t>
            </w:r>
          </w:p>
        </w:tc>
      </w:tr>
    </w:tbl>
    <w:p w14:paraId="3A7D78DB" w14:textId="77777777" w:rsidR="007B5C49" w:rsidRDefault="007B5C49">
      <w:pPr>
        <w:spacing w:after="40"/>
      </w:pPr>
    </w:p>
    <w:p w14:paraId="7A9230F6" w14:textId="77777777" w:rsidR="007B5C49" w:rsidRDefault="00000000">
      <w:pPr>
        <w:pStyle w:val="QALabel"/>
      </w:pPr>
      <w:r>
        <w:t>来源</w:t>
      </w:r>
    </w:p>
    <w:p w14:paraId="556D518A" w14:textId="77777777" w:rsidR="007B5C49" w:rsidRDefault="00000000">
      <w:pPr>
        <w:spacing w:after="80"/>
        <w:ind w:left="360" w:hanging="288"/>
      </w:pPr>
      <w:r>
        <w:rPr>
          <w:b/>
        </w:rPr>
        <w:t>• Eaton｜800 VDC reference architecture</w:t>
      </w:r>
      <w:r>
        <w:t>：超级电容、母线和直流连接器</w:t>
      </w:r>
      <w:r>
        <w:rPr>
          <w:color w:val="1F4E79"/>
        </w:rPr>
        <w:br/>
        <w:t>https://www.eaton.com/gb/en-gb/company/news-insights/news-releases/2025/eaton-unveils-next-generation-architecture.html</w:t>
      </w:r>
    </w:p>
    <w:p w14:paraId="5DDE04DB" w14:textId="77777777" w:rsidR="007B5C49" w:rsidRDefault="00000000">
      <w:pPr>
        <w:spacing w:after="80"/>
        <w:ind w:left="360" w:hanging="288"/>
      </w:pPr>
      <w:r>
        <w:rPr>
          <w:b/>
        </w:rPr>
        <w:t>• NVIDIA｜800 VDC ecosystem</w:t>
      </w:r>
      <w:r>
        <w:t>：电气生态与架构转型</w:t>
      </w:r>
      <w:r>
        <w:rPr>
          <w:color w:val="1F4E79"/>
        </w:rPr>
        <w:br/>
        <w:t>https://www.nvidia.com/en-us/data-center/technologies/800-vdc-architecture/</w:t>
      </w:r>
    </w:p>
    <w:p w14:paraId="296D2AB7" w14:textId="77777777" w:rsidR="007B5C49" w:rsidRDefault="00000000">
      <w:pPr>
        <w:spacing w:after="80"/>
        <w:ind w:left="360" w:hanging="288"/>
      </w:pPr>
      <w:r>
        <w:rPr>
          <w:b/>
        </w:rPr>
        <w:lastRenderedPageBreak/>
        <w:t>• U.S. DOE｜Transformer supply chain review</w:t>
      </w:r>
      <w:r>
        <w:t>：变压器供应链约束与政策背景</w:t>
      </w:r>
      <w:r>
        <w:rPr>
          <w:color w:val="1F4E79"/>
        </w:rPr>
        <w:br/>
        <w:t>https://www.energy.gov/oe/articles/doe-releases-new-report-evaluating-transformer-supply-chain-issues-and-identifying</w:t>
      </w:r>
    </w:p>
    <w:p w14:paraId="5C0C6A32" w14:textId="77777777" w:rsidR="007B5C49" w:rsidRDefault="00000000">
      <w:pPr>
        <w:pStyle w:val="Heading1"/>
        <w:pageBreakBefore/>
      </w:pPr>
      <w:r>
        <w:lastRenderedPageBreak/>
        <w:t>Q25</w:t>
      </w:r>
      <w:r>
        <w:t>：</w:t>
      </w:r>
      <w:r>
        <w:t>800VDC</w:t>
      </w:r>
      <w:r>
        <w:t>、</w:t>
      </w:r>
      <w:r>
        <w:t>InfiniBand</w:t>
      </w:r>
      <w:r>
        <w:t>、</w:t>
      </w:r>
      <w:r>
        <w:t>Ethernet</w:t>
      </w:r>
      <w:r>
        <w:t>和光互连将如何改变机房？</w:t>
      </w:r>
    </w:p>
    <w:p w14:paraId="6352F773" w14:textId="77777777" w:rsidR="007B5C49" w:rsidRDefault="00000000">
      <w:pPr>
        <w:pStyle w:val="QALabel"/>
      </w:pPr>
      <w:r>
        <w:t>通俗问题</w:t>
      </w:r>
    </w:p>
    <w:p w14:paraId="00EBD737" w14:textId="77777777" w:rsidR="007B5C49" w:rsidRDefault="00000000">
      <w:r>
        <w:t>下一代AI数据中心为什么既要改电，又要改网？InfiniBand和Ethernet谁会赢，光模块又为什么越来越重要？</w:t>
      </w:r>
    </w:p>
    <w:p w14:paraId="72AC03B0" w14:textId="77777777" w:rsidR="007B5C49" w:rsidRDefault="00000000">
      <w:pPr>
        <w:pStyle w:val="QALabel"/>
      </w:pPr>
      <w:r>
        <w:t>主要研究（专业）</w:t>
      </w:r>
    </w:p>
    <w:p w14:paraId="4C16654F" w14:textId="77777777" w:rsidR="007B5C49" w:rsidRDefault="00000000">
      <w:r>
        <w:t>scale-up/scale-out网络、RDMA、拥塞控制、800G/1.6T光互连和高压直流配电的协同。</w:t>
      </w:r>
    </w:p>
    <w:p w14:paraId="12395BFF" w14:textId="77777777" w:rsidR="007B5C49" w:rsidRDefault="00000000">
      <w:pPr>
        <w:pStyle w:val="QALabel"/>
      </w:pPr>
      <w:r>
        <w:t>研究方向</w:t>
      </w:r>
    </w:p>
    <w:p w14:paraId="3D8B0660" w14:textId="77777777" w:rsidR="007B5C49" w:rsidRDefault="00000000">
      <w:pPr>
        <w:pStyle w:val="ListBullet"/>
        <w:spacing w:after="80" w:line="288" w:lineRule="auto"/>
        <w:ind w:left="403" w:hanging="259"/>
      </w:pPr>
      <w:r>
        <w:t>区分机架内scale-up与跨机架scale-out，避免把NVLink、InfiniBand和Ethernet视为同一层。</w:t>
      </w:r>
    </w:p>
    <w:p w14:paraId="19806852" w14:textId="77777777" w:rsidR="007B5C49" w:rsidRDefault="00000000">
      <w:pPr>
        <w:pStyle w:val="ListBullet"/>
        <w:spacing w:after="80" w:line="288" w:lineRule="auto"/>
        <w:ind w:left="403" w:hanging="259"/>
      </w:pPr>
      <w:r>
        <w:t>核对Quantum-X800与Tomahawk 6的端口和交换容量。</w:t>
      </w:r>
    </w:p>
    <w:p w14:paraId="6E2EC44A" w14:textId="77777777" w:rsidR="007B5C49" w:rsidRDefault="00000000">
      <w:pPr>
        <w:pStyle w:val="ListBullet"/>
        <w:spacing w:after="80" w:line="288" w:lineRule="auto"/>
        <w:ind w:left="403" w:hanging="259"/>
      </w:pPr>
      <w:r>
        <w:t>解释光电转换、网络功耗与800VDC为什么共同影响PUE和可用算力。</w:t>
      </w:r>
    </w:p>
    <w:p w14:paraId="132D350F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287D314F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485942C3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2363032A" w14:textId="77777777" w:rsidR="007B5C49" w:rsidRDefault="00000000">
            <w:pPr>
              <w:spacing w:after="0" w:line="288" w:lineRule="auto"/>
            </w:pPr>
            <w:r>
              <w:t>不会出现单一网络“通吃”。NVLink/UALoE等解决机架或小域内scale-up，InfiniBand凭成熟RDMA和在网计算服务极致同步训练，Ethernet凭开放生态和可运营性快速扩张scale-out。端口从400G走向800G/1.6T后，光模块和交换芯片本身成为巨大的功耗与可靠性系统；800VDC则从电力侧减少高密机柜的铜和转换级数。</w:t>
            </w:r>
          </w:p>
        </w:tc>
      </w:tr>
    </w:tbl>
    <w:p w14:paraId="65D96F60" w14:textId="77777777" w:rsidR="007B5C49" w:rsidRDefault="007B5C49">
      <w:pPr>
        <w:spacing w:after="40"/>
      </w:pPr>
    </w:p>
    <w:p w14:paraId="6192A13F" w14:textId="77777777" w:rsidR="007B5C49" w:rsidRDefault="00000000">
      <w:pPr>
        <w:pStyle w:val="QALabel"/>
      </w:pPr>
      <w:r>
        <w:t>详细支撑</w:t>
      </w:r>
    </w:p>
    <w:p w14:paraId="5140D2E4" w14:textId="77777777" w:rsidR="007B5C49" w:rsidRDefault="00000000">
      <w:pPr>
        <w:pStyle w:val="Heading2"/>
      </w:pPr>
      <w:r>
        <w:t xml:space="preserve">1. </w:t>
      </w:r>
      <w:r>
        <w:t>先分清三层网络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600"/>
        <w:gridCol w:w="2800"/>
        <w:gridCol w:w="2400"/>
        <w:gridCol w:w="2600"/>
      </w:tblGrid>
      <w:tr w:rsidR="007B5C49" w14:paraId="5C23806C" w14:textId="77777777">
        <w:trPr>
          <w:tblHeader/>
          <w:jc w:val="center"/>
        </w:trPr>
        <w:tc>
          <w:tcPr>
            <w:tcW w:w="1800" w:type="dxa"/>
            <w:shd w:val="clear" w:color="auto" w:fill="D9EAF7"/>
          </w:tcPr>
          <w:p w14:paraId="3EE748F9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层级</w:t>
            </w:r>
          </w:p>
        </w:tc>
        <w:tc>
          <w:tcPr>
            <w:tcW w:w="2600" w:type="dxa"/>
            <w:shd w:val="clear" w:color="auto" w:fill="D9EAF7"/>
          </w:tcPr>
          <w:p w14:paraId="49E7519F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主要任务</w:t>
            </w:r>
          </w:p>
        </w:tc>
        <w:tc>
          <w:tcPr>
            <w:tcW w:w="2800" w:type="dxa"/>
            <w:shd w:val="clear" w:color="auto" w:fill="D9EAF7"/>
          </w:tcPr>
          <w:p w14:paraId="4A332072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代表技术</w:t>
            </w:r>
          </w:p>
        </w:tc>
        <w:tc>
          <w:tcPr>
            <w:tcW w:w="2400" w:type="dxa"/>
            <w:shd w:val="clear" w:color="auto" w:fill="D9EAF7"/>
          </w:tcPr>
          <w:p w14:paraId="26708D88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核心指标</w:t>
            </w:r>
          </w:p>
        </w:tc>
        <w:tc>
          <w:tcPr>
            <w:tcW w:w="2600" w:type="dxa"/>
            <w:shd w:val="clear" w:color="auto" w:fill="D9EAF7"/>
          </w:tcPr>
          <w:p w14:paraId="46F26542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错误理解</w:t>
            </w:r>
          </w:p>
        </w:tc>
      </w:tr>
      <w:tr w:rsidR="007B5C49" w14:paraId="0FF40EF5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9029B3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Scale-up</w:t>
            </w:r>
          </w:p>
        </w:tc>
        <w:tc>
          <w:tcPr>
            <w:tcW w:w="2600" w:type="dxa"/>
            <w:vAlign w:val="center"/>
          </w:tcPr>
          <w:p w14:paraId="5409104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让一组加速器像一个大系统</w:t>
            </w:r>
          </w:p>
        </w:tc>
        <w:tc>
          <w:tcPr>
            <w:tcW w:w="2800" w:type="dxa"/>
            <w:vAlign w:val="center"/>
          </w:tcPr>
          <w:p w14:paraId="7AC24D5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NVLink、UALink/UALoE等</w:t>
            </w:r>
          </w:p>
        </w:tc>
        <w:tc>
          <w:tcPr>
            <w:tcW w:w="2400" w:type="dxa"/>
            <w:vAlign w:val="center"/>
          </w:tcPr>
          <w:p w14:paraId="0B1D920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超低时延、全互连带宽</w:t>
            </w:r>
          </w:p>
        </w:tc>
        <w:tc>
          <w:tcPr>
            <w:tcW w:w="2600" w:type="dxa"/>
            <w:vAlign w:val="center"/>
          </w:tcPr>
          <w:p w14:paraId="0878738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不是园区所有服务器的通用网络</w:t>
            </w:r>
          </w:p>
        </w:tc>
      </w:tr>
      <w:tr w:rsidR="007B5C49" w14:paraId="7D63A4C3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0EE807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Scale-out后端</w:t>
            </w:r>
          </w:p>
        </w:tc>
        <w:tc>
          <w:tcPr>
            <w:tcW w:w="2600" w:type="dxa"/>
            <w:vAlign w:val="center"/>
          </w:tcPr>
          <w:p w14:paraId="78C3C05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跨机架同步训练/分布推理</w:t>
            </w:r>
          </w:p>
        </w:tc>
        <w:tc>
          <w:tcPr>
            <w:tcW w:w="2800" w:type="dxa"/>
            <w:vAlign w:val="center"/>
          </w:tcPr>
          <w:p w14:paraId="08B73C7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InfiniBand、AI Ethernet</w:t>
            </w:r>
          </w:p>
        </w:tc>
        <w:tc>
          <w:tcPr>
            <w:tcW w:w="2400" w:type="dxa"/>
            <w:vAlign w:val="center"/>
          </w:tcPr>
          <w:p w14:paraId="7896D61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RDMA、拥塞控制、尾延迟</w:t>
            </w:r>
          </w:p>
        </w:tc>
        <w:tc>
          <w:tcPr>
            <w:tcW w:w="2600" w:type="dxa"/>
            <w:vAlign w:val="center"/>
          </w:tcPr>
          <w:p w14:paraId="4D9F8FF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端口速率不等于应用线性加速</w:t>
            </w:r>
          </w:p>
        </w:tc>
      </w:tr>
      <w:tr w:rsidR="007B5C49" w14:paraId="00A40C22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72B4D47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前端/存储/管理</w:t>
            </w:r>
          </w:p>
        </w:tc>
        <w:tc>
          <w:tcPr>
            <w:tcW w:w="2600" w:type="dxa"/>
            <w:vAlign w:val="center"/>
          </w:tcPr>
          <w:p w14:paraId="1E4783D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数据接入、存储和多租户</w:t>
            </w:r>
          </w:p>
        </w:tc>
        <w:tc>
          <w:tcPr>
            <w:tcW w:w="2800" w:type="dxa"/>
            <w:vAlign w:val="center"/>
          </w:tcPr>
          <w:p w14:paraId="389A9CC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Ethernet/IP</w:t>
            </w:r>
          </w:p>
        </w:tc>
        <w:tc>
          <w:tcPr>
            <w:tcW w:w="2400" w:type="dxa"/>
            <w:vAlign w:val="center"/>
          </w:tcPr>
          <w:p w14:paraId="1E7CB8C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可运营性、隔离、成本</w:t>
            </w:r>
          </w:p>
        </w:tc>
        <w:tc>
          <w:tcPr>
            <w:tcW w:w="2600" w:type="dxa"/>
            <w:vAlign w:val="center"/>
          </w:tcPr>
          <w:p w14:paraId="31C8D51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不能用前端平均流量代替后端峰值</w:t>
            </w:r>
          </w:p>
        </w:tc>
      </w:tr>
    </w:tbl>
    <w:p w14:paraId="307224FB" w14:textId="77777777" w:rsidR="007B5C49" w:rsidRDefault="007B5C49">
      <w:pPr>
        <w:spacing w:after="40"/>
      </w:pPr>
    </w:p>
    <w:p w14:paraId="2601869B" w14:textId="77777777" w:rsidR="007B5C49" w:rsidRDefault="00000000">
      <w:r>
        <w:t>同一AI工厂可同时拥有三张网：机架内NVLink，跨机架InfiniBand或Ethernet，前端再用传统Ethernet。新闻中的“800Gb/s”可能指单端口单向线速、NIC聚合或交换机端口，必须保存定义。</w:t>
      </w:r>
    </w:p>
    <w:p w14:paraId="2395A9FC" w14:textId="77777777" w:rsidR="007B5C49" w:rsidRDefault="00000000">
      <w:pPr>
        <w:pStyle w:val="Heading2"/>
      </w:pPr>
      <w:r>
        <w:t>2. InfiniBand</w:t>
      </w:r>
      <w:r>
        <w:t>的优势是端到端共同设计</w:t>
      </w:r>
    </w:p>
    <w:p w14:paraId="3FA6F72F" w14:textId="77777777" w:rsidR="007B5C49" w:rsidRDefault="00000000">
      <w:r>
        <w:t>NVIDIA Quantum-X800由Quantum-X800交换机、ConnectX-8/9 SuperNIC与LinkX线缆/收发器构成，提供800Gb/s端到端网络。公开规格称交换机有144个800Gb/s端口，并提供SHARP v4、适应性路由和基于遥测的拥塞控制。它把部分集合通信放到网络内处理，适合大量GPU同步。</w:t>
      </w:r>
    </w:p>
    <w:p w14:paraId="0365A4FA" w14:textId="77777777" w:rsidR="007B5C49" w:rsidRDefault="00000000">
      <w:r>
        <w:lastRenderedPageBreak/>
        <w:t>优势也带来生态集中：计算、NIC、交换和管理软件高度协同，部署和调优路径清晰，但客户对单一供应体系依赖更高。对已经使用CUDA/NVLink的集群，这种集成往往降低上线风险；对希望跨芯片、多厂商运营的云厂，开放Ethernet更具战略吸引力。</w:t>
      </w:r>
    </w:p>
    <w:p w14:paraId="6D76ACFC" w14:textId="77777777" w:rsidR="007B5C49" w:rsidRDefault="00000000">
      <w:pPr>
        <w:pStyle w:val="Heading2"/>
      </w:pPr>
      <w:r>
        <w:t>3. Ethernet</w:t>
      </w:r>
      <w:r>
        <w:t>正用更高带宽和</w:t>
      </w:r>
      <w:r>
        <w:t>AI</w:t>
      </w:r>
      <w:r>
        <w:t>拥塞控制追赶</w:t>
      </w:r>
    </w:p>
    <w:p w14:paraId="7CD73927" w14:textId="77777777" w:rsidR="007B5C49" w:rsidRDefault="00000000">
      <w:r>
        <w:t>Broadcom Tomahawk 6单芯片交换容量102.4Tb/s，支持100G/200G SerDes、scale-up与scale-out，并可选共封装光学。2025年为出货/采样阶段，2026年3月公司宣布生产批量出货。其目标包括512 XPU scale-up和两层网络10万以上XPU；这些是产品能力或计划部署尺度，不等于已经形成同规模客户集群。</w:t>
      </w:r>
    </w:p>
    <w:p w14:paraId="67B885E0" w14:textId="77777777" w:rsidR="007B5C49" w:rsidRDefault="00000000">
      <w:r>
        <w:t>Ultra Ethernet和开放scale-up规范试图把RDMA、拥塞控制、遥测和故障恢复标准化。Ethernet的核心价值不是“普通办公网也能训练”，而是云厂可复用既有IP运营、采购多家交换/NIC/光学产品，并在多租户环境中保持一致工具链。</w:t>
      </w:r>
    </w:p>
    <w:p w14:paraId="2CF4D431" w14:textId="77777777" w:rsidR="007B5C49" w:rsidRDefault="00000000">
      <w:pPr>
        <w:pStyle w:val="Heading2"/>
      </w:pPr>
      <w:r>
        <w:t xml:space="preserve">4. </w:t>
      </w:r>
      <w:r>
        <w:t>光互连从附件变成系统瓶颈</w:t>
      </w:r>
    </w:p>
    <w:p w14:paraId="477D3245" w14:textId="77777777" w:rsidR="007B5C49" w:rsidRDefault="00000000">
      <w:r>
        <w:t>当每颗GPU配置800Gb/s、交换芯片达到102.4Tb/s，短距离铜缆的距离和功耗边界迅速显现，800G和1.6T可插拔光模块、硅光和共封装光学需求上升。光模块数量巨大，任何良率、激光器寿命、连接器污染或散热问题都会转化为集群作业中断。</w:t>
      </w:r>
    </w:p>
    <w:p w14:paraId="28FE4C12" w14:textId="77777777" w:rsidR="007B5C49" w:rsidRDefault="00000000">
      <w:r>
        <w:t>共封装光学可减少高速电信号在板上的距离并降低每比特功耗，但维修模式从“拔一个光模块”变成更复杂的光引擎/激光维护，生态和现场服务仍在演进。采购不能只看Tb/s，还要看每比特瓦数、端口可用率、可更换性和遥测。</w:t>
      </w:r>
    </w:p>
    <w:p w14:paraId="3EB9218F" w14:textId="77777777" w:rsidR="007B5C49" w:rsidRDefault="00000000">
      <w:pPr>
        <w:pStyle w:val="Heading2"/>
      </w:pPr>
      <w:r>
        <w:t>5. 800VDC</w:t>
      </w:r>
      <w:r>
        <w:t>与高速网络最终在</w:t>
      </w:r>
      <w:r>
        <w:t>“</w:t>
      </w:r>
      <w:r>
        <w:t>每个</w:t>
      </w:r>
      <w:r>
        <w:t>token</w:t>
      </w:r>
      <w:r>
        <w:t>的设施成本</w:t>
      </w:r>
      <w:r>
        <w:t>”</w:t>
      </w:r>
      <w:r>
        <w:t>汇合</w:t>
      </w:r>
    </w:p>
    <w:p w14:paraId="5F494EAD" w14:textId="77777777" w:rsidR="007B5C49" w:rsidRDefault="00000000">
      <w:r>
        <w:t>NVIDIA的800VDC架构把今日多级AC转换简化为集中AC到800VDC，再把直流送至机柜，并集成多时间尺度储能。目标是为2027年起MW级机柜降低铜材、设备占地和转换损耗。它兼容渐进迁移，不意味着现有交流数据中心立即淘汰。</w:t>
      </w:r>
    </w:p>
    <w:p w14:paraId="1A5C39FC" w14:textId="77777777" w:rsidR="007B5C49" w:rsidRDefault="00000000">
      <w:r>
        <w:t>网络每增加一瓦，也会增加供电和制冷负担；网络拥塞使GPU等待，则昂贵IT MW不能产出token。因此最优设计不是分别追求最高GPU、最低PUE或最快端口，而是比较完成同一训练任务或输出同等质量token所需的总电量、时间和资本。</w:t>
      </w:r>
    </w:p>
    <w:p w14:paraId="5F294B0B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42BB7BAA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4E30BE4F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电网共同演进</w:t>
            </w:r>
          </w:p>
          <w:p w14:paraId="3F01CA52" w14:textId="77777777" w:rsidR="007B5C49" w:rsidRDefault="00000000">
            <w:pPr>
              <w:spacing w:after="0" w:line="288" w:lineRule="auto"/>
            </w:pPr>
            <w:r>
              <w:t>GPU规模和通信量上升 → 800G/1.6T网络与更多光学器件 → 网络功耗和故障面扩大 → 机柜总功率进入百kW/MW → 54V高电流和多级转换不经济 → 800VDC、储能、液冷与光网络成为共同设计对象。</w:t>
            </w:r>
          </w:p>
        </w:tc>
      </w:tr>
    </w:tbl>
    <w:p w14:paraId="2D83F45D" w14:textId="77777777" w:rsidR="007B5C49" w:rsidRDefault="007B5C49">
      <w:pPr>
        <w:spacing w:after="40"/>
      </w:pPr>
    </w:p>
    <w:p w14:paraId="3A4251D4" w14:textId="77777777" w:rsidR="007B5C49" w:rsidRDefault="00000000">
      <w:pPr>
        <w:pStyle w:val="QALabel"/>
      </w:pPr>
      <w:r>
        <w:t>来源</w:t>
      </w:r>
    </w:p>
    <w:p w14:paraId="1D49F4C7" w14:textId="77777777" w:rsidR="007B5C49" w:rsidRDefault="00000000">
      <w:pPr>
        <w:spacing w:after="80"/>
        <w:ind w:left="360" w:hanging="288"/>
      </w:pPr>
      <w:r>
        <w:rPr>
          <w:b/>
        </w:rPr>
        <w:t>• NVIDIA｜Quantum-X800</w:t>
      </w:r>
      <w:r>
        <w:t>：144端口、800Gb/s、SHARP与拥塞控制</w:t>
      </w:r>
      <w:r>
        <w:rPr>
          <w:color w:val="1F4E79"/>
        </w:rPr>
        <w:br/>
        <w:t>https://www.nvidia.com/en-us/networking/products/infiniband/quantum-x800/</w:t>
      </w:r>
    </w:p>
    <w:p w14:paraId="39404A10" w14:textId="77777777" w:rsidR="007B5C49" w:rsidRDefault="00000000">
      <w:pPr>
        <w:spacing w:after="80"/>
        <w:ind w:left="360" w:hanging="288"/>
      </w:pPr>
      <w:r>
        <w:rPr>
          <w:b/>
        </w:rPr>
        <w:lastRenderedPageBreak/>
        <w:t>• Broadcom｜Tomahawk 6 launch</w:t>
      </w:r>
      <w:r>
        <w:t>：102.4Tb/s、SerDes、CPO与目标规模</w:t>
      </w:r>
      <w:r>
        <w:rPr>
          <w:color w:val="1F4E79"/>
        </w:rPr>
        <w:br/>
        <w:t>https://www.broadcom.com/company/news/product-releases/63146</w:t>
      </w:r>
    </w:p>
    <w:p w14:paraId="7266247F" w14:textId="77777777" w:rsidR="007B5C49" w:rsidRDefault="00000000">
      <w:pPr>
        <w:spacing w:after="80"/>
        <w:ind w:left="360" w:hanging="288"/>
      </w:pPr>
      <w:r>
        <w:rPr>
          <w:b/>
        </w:rPr>
        <w:t>• Broadcom｜Tomahawk 6 volume shipment</w:t>
      </w:r>
      <w:r>
        <w:t>：2026年生产批量出货状态</w:t>
      </w:r>
      <w:r>
        <w:rPr>
          <w:color w:val="1F4E79"/>
        </w:rPr>
        <w:br/>
        <w:t>https://www.broadcom.com/company/news/product-releases/64031</w:t>
      </w:r>
    </w:p>
    <w:p w14:paraId="5393106D" w14:textId="77777777" w:rsidR="007B5C49" w:rsidRDefault="00000000">
      <w:pPr>
        <w:spacing w:after="80"/>
        <w:ind w:left="360" w:hanging="288"/>
      </w:pPr>
      <w:r>
        <w:rPr>
          <w:b/>
        </w:rPr>
        <w:t>• Ultra Ethernet Consortium</w:t>
      </w:r>
      <w:r>
        <w:t>：开放AI Ethernet规范与生态</w:t>
      </w:r>
      <w:r>
        <w:rPr>
          <w:color w:val="1F4E79"/>
        </w:rPr>
        <w:br/>
        <w:t>https://ultraethernet.org/</w:t>
      </w:r>
    </w:p>
    <w:p w14:paraId="4BE9FBD7" w14:textId="77777777" w:rsidR="007B5C49" w:rsidRDefault="00000000">
      <w:pPr>
        <w:spacing w:after="80"/>
        <w:ind w:left="360" w:hanging="288"/>
      </w:pPr>
      <w:r>
        <w:rPr>
          <w:b/>
        </w:rPr>
        <w:t>• NVIDIA｜800 VDC Architecture</w:t>
      </w:r>
      <w:r>
        <w:t>：AC到800VDC、储能与渐进迁移</w:t>
      </w:r>
      <w:r>
        <w:rPr>
          <w:color w:val="1F4E79"/>
        </w:rPr>
        <w:br/>
        <w:t>https://www.nvidia.com/en-us/data-center/technologies/800-vdc-architecture/</w:t>
      </w:r>
    </w:p>
    <w:p w14:paraId="6A6F4391" w14:textId="77777777" w:rsidR="007B5C49" w:rsidRDefault="00000000">
      <w:pPr>
        <w:pStyle w:val="Heading1"/>
        <w:pageBreakBefore/>
      </w:pPr>
      <w:r>
        <w:lastRenderedPageBreak/>
        <w:t>Q26</w:t>
      </w:r>
      <w:r>
        <w:t>：风冷、后门换热与冷板液冷应该怎样选择？</w:t>
      </w:r>
    </w:p>
    <w:p w14:paraId="497FF10F" w14:textId="77777777" w:rsidR="007B5C49" w:rsidRDefault="00000000">
      <w:pPr>
        <w:pStyle w:val="QALabel"/>
      </w:pPr>
      <w:r>
        <w:t>通俗问题</w:t>
      </w:r>
    </w:p>
    <w:p w14:paraId="4C4FAF0E" w14:textId="77777777" w:rsidR="007B5C49" w:rsidRDefault="00000000">
      <w:r>
        <w:t>是不是AI机柜一上百千瓦就只能全面液冷？传统风冷还能保留多少，旧机房又该怎么改？</w:t>
      </w:r>
    </w:p>
    <w:p w14:paraId="27FB876D" w14:textId="77777777" w:rsidR="007B5C49" w:rsidRDefault="00000000">
      <w:pPr>
        <w:pStyle w:val="QALabel"/>
      </w:pPr>
      <w:r>
        <w:t>主要研究（专业）</w:t>
      </w:r>
    </w:p>
    <w:p w14:paraId="7787242E" w14:textId="77777777" w:rsidR="007B5C49" w:rsidRDefault="00000000">
      <w:r>
        <w:t>按机柜功率、入液热捕获率、设施条件和改造风险选择空气、后门换热器、直接冷板及混合冷却。</w:t>
      </w:r>
    </w:p>
    <w:p w14:paraId="1683F2C6" w14:textId="77777777" w:rsidR="007B5C49" w:rsidRDefault="00000000">
      <w:pPr>
        <w:pStyle w:val="QALabel"/>
      </w:pPr>
      <w:r>
        <w:t>研究方向</w:t>
      </w:r>
    </w:p>
    <w:p w14:paraId="5F05455C" w14:textId="77777777" w:rsidR="007B5C49" w:rsidRDefault="00000000">
      <w:pPr>
        <w:pStyle w:val="ListBullet"/>
        <w:spacing w:after="80" w:line="288" w:lineRule="auto"/>
        <w:ind w:left="403" w:hanging="259"/>
      </w:pPr>
      <w:r>
        <w:t>把传统企业负载、AI推理、GPU训练和NVL72机架分开。</w:t>
      </w:r>
    </w:p>
    <w:p w14:paraId="6842B36F" w14:textId="77777777" w:rsidR="007B5C49" w:rsidRDefault="00000000">
      <w:pPr>
        <w:pStyle w:val="ListBullet"/>
        <w:spacing w:after="80" w:line="288" w:lineRule="auto"/>
        <w:ind w:left="403" w:hanging="259"/>
      </w:pPr>
      <w:r>
        <w:t>比较新建园区与既有托管机房的改造路径。</w:t>
      </w:r>
    </w:p>
    <w:p w14:paraId="61EAA16F" w14:textId="77777777" w:rsidR="007B5C49" w:rsidRDefault="00000000">
      <w:pPr>
        <w:pStyle w:val="ListBullet"/>
        <w:spacing w:after="80" w:line="288" w:lineRule="auto"/>
        <w:ind w:left="403" w:hanging="259"/>
      </w:pPr>
      <w:r>
        <w:t>解释“液冷服务器”为什么仍需要一定空气冷却。</w:t>
      </w:r>
    </w:p>
    <w:p w14:paraId="013FFFB0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4BA33690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0F40A6AE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3E472D57" w14:textId="77777777" w:rsidR="007B5C49" w:rsidRDefault="00000000">
            <w:pPr>
              <w:spacing w:after="0" w:line="288" w:lineRule="auto"/>
            </w:pPr>
            <w:r>
              <w:t>5—20kW机柜仍可经济风冷；约20—50kW可通过行级空调、封闭通道或后门换热器扩展；50—100kW以上通常开始需要直接液冷，GB200 NVL72约132kW级已以冷板液冷为主。实际主流不是纯液冷，而是冷板带走GPU/CPU大部分热量、空气处理内存/电源/网络等剩余热量的混合架构。</w:t>
            </w:r>
          </w:p>
        </w:tc>
      </w:tr>
    </w:tbl>
    <w:p w14:paraId="4F710D46" w14:textId="77777777" w:rsidR="007B5C49" w:rsidRDefault="007B5C49">
      <w:pPr>
        <w:spacing w:after="40"/>
      </w:pPr>
    </w:p>
    <w:p w14:paraId="3F1723E6" w14:textId="77777777" w:rsidR="007B5C49" w:rsidRDefault="00000000">
      <w:pPr>
        <w:pStyle w:val="QALabel"/>
      </w:pPr>
      <w:r>
        <w:t>详细支撑</w:t>
      </w:r>
    </w:p>
    <w:p w14:paraId="75C916DA" w14:textId="77777777" w:rsidR="007B5C49" w:rsidRDefault="00000000">
      <w:pPr>
        <w:pStyle w:val="Heading2"/>
      </w:pPr>
      <w:r>
        <w:t xml:space="preserve">1. </w:t>
      </w:r>
      <w:r>
        <w:t>风冷不会消失，因为全球存量负载并非全部是</w:t>
      </w:r>
      <w:r>
        <w:t>AI</w:t>
      </w:r>
      <w:r>
        <w:t>训练</w:t>
      </w:r>
    </w:p>
    <w:p w14:paraId="3E7EA367" w14:textId="77777777" w:rsidR="007B5C49" w:rsidRDefault="00000000">
      <w:r>
        <w:t>传统云、存储、数据库、网络和大量企业托管机柜仍落在个位数到二十余kW。只要空气流量、温差、封闭通道和室外气候允许，风冷设备成熟、维修简单、服务器选择广，是最低迁移风险方案。把所有新机房都按130kW/柜建设会造成配电、管路和资本闲置。</w:t>
      </w:r>
    </w:p>
    <w:p w14:paraId="1B4F8A26" w14:textId="77777777" w:rsidR="007B5C49" w:rsidRDefault="00000000">
      <w:r>
        <w:t>AI推理也不是统一高密：小模型、CPU推理、分散式边缘节点可继续风冷；前沿训练和大模型推理集群才集中采用高密加速器。设施规划应以机柜功率分布而非全楼平均密度设计，划出传统风冷区、混合区和高密液冷区。</w:t>
      </w:r>
    </w:p>
    <w:p w14:paraId="5573A494" w14:textId="77777777" w:rsidR="007B5C49" w:rsidRDefault="00000000">
      <w:pPr>
        <w:pStyle w:val="Heading2"/>
      </w:pPr>
      <w:r>
        <w:t xml:space="preserve">2. </w:t>
      </w:r>
      <w:r>
        <w:t>后门换热器是旧机房提高密度的中间方案</w:t>
      </w:r>
    </w:p>
    <w:p w14:paraId="507D9443" w14:textId="77777777" w:rsidR="007B5C49" w:rsidRDefault="00000000">
      <w:r>
        <w:t>后门换热器把服务器排出的热风在离开机柜时传给水路，可降低房间空调负担；主动式后门带风机，适合更高热量，被动式依赖服务器风机和压差。它保留标准风冷服务器，不必给每颗芯片安装冷板，适合租户硬件多样或改造窗口有限的托管设施。</w:t>
      </w:r>
    </w:p>
    <w:p w14:paraId="7CADA7A7" w14:textId="77777777" w:rsidR="007B5C49" w:rsidRDefault="00000000">
      <w:r>
        <w:t>限制是风机仍耗电、房间仍需管理湿度和残余热，后门重量、铰链、软管及维护空间也要改造。其冷却上限取决于进水温度、流量和服务器风道，不能仅凭“后门额定kW”推断任何机柜都能达到同一密度。</w:t>
      </w:r>
    </w:p>
    <w:p w14:paraId="2D059F4A" w14:textId="77777777" w:rsidR="007B5C49" w:rsidRDefault="00000000">
      <w:pPr>
        <w:pStyle w:val="Heading2"/>
      </w:pPr>
      <w:r>
        <w:lastRenderedPageBreak/>
        <w:t xml:space="preserve">3. </w:t>
      </w:r>
      <w:r>
        <w:t>冷板液冷是当前</w:t>
      </w:r>
      <w:r>
        <w:t>AI</w:t>
      </w:r>
      <w:r>
        <w:t>机架的主线</w:t>
      </w:r>
    </w:p>
    <w:p w14:paraId="4BBCA9D5" w14:textId="77777777" w:rsidR="007B5C49" w:rsidRDefault="00000000">
      <w:r>
        <w:t>冷板直接贴近GPU、CPU等高热流芯片，技术冷却液从服务器歧管进入冷板，再回到CDU换热。Vertiv与NVIDIA的GB200 NVL72参考设计支持每柜最高132kW和7MW集群；CoolIT CHx2000额定2MW、以1.2 L/min/kW流量可支持最多12个120kW GB200机柜。两个数字分别是系统参考设计和供应商额定能力，不能当客户实际部署。</w:t>
      </w:r>
    </w:p>
    <w:p w14:paraId="1FCC22F4" w14:textId="77777777" w:rsidR="007B5C49" w:rsidRDefault="00000000">
      <w:r>
        <w:t>冷板通常无法捕获服务器100%的热：内存、SSD、NIC、PSU和NVSwitch等仍可能向空气散热。即使入液热捕获率达到70%—90%，百kW机柜仍可能留下十几至数十kW空气热量。因此完整方案仍需风机墙、CRAH、后门换热或机房空气循环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400"/>
        <w:gridCol w:w="2500"/>
        <w:gridCol w:w="2500"/>
        <w:gridCol w:w="2200"/>
      </w:tblGrid>
      <w:tr w:rsidR="007B5C49" w14:paraId="154BD8BC" w14:textId="77777777">
        <w:trPr>
          <w:tblHeader/>
          <w:jc w:val="center"/>
        </w:trPr>
        <w:tc>
          <w:tcPr>
            <w:tcW w:w="1900" w:type="dxa"/>
            <w:shd w:val="clear" w:color="auto" w:fill="D9EAF7"/>
          </w:tcPr>
          <w:p w14:paraId="7565A48F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路径</w:t>
            </w:r>
          </w:p>
        </w:tc>
        <w:tc>
          <w:tcPr>
            <w:tcW w:w="2400" w:type="dxa"/>
            <w:shd w:val="clear" w:color="auto" w:fill="D9EAF7"/>
          </w:tcPr>
          <w:p w14:paraId="5766EB72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适合功率/场景</w:t>
            </w:r>
          </w:p>
        </w:tc>
        <w:tc>
          <w:tcPr>
            <w:tcW w:w="2500" w:type="dxa"/>
            <w:shd w:val="clear" w:color="auto" w:fill="D9EAF7"/>
          </w:tcPr>
          <w:p w14:paraId="22636B07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主要优势</w:t>
            </w:r>
          </w:p>
        </w:tc>
        <w:tc>
          <w:tcPr>
            <w:tcW w:w="2500" w:type="dxa"/>
            <w:shd w:val="clear" w:color="auto" w:fill="D9EAF7"/>
          </w:tcPr>
          <w:p w14:paraId="5B0DB39F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主要限制</w:t>
            </w:r>
          </w:p>
        </w:tc>
        <w:tc>
          <w:tcPr>
            <w:tcW w:w="2200" w:type="dxa"/>
            <w:shd w:val="clear" w:color="auto" w:fill="D9EAF7"/>
          </w:tcPr>
          <w:p w14:paraId="37B0D0ED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建议定位</w:t>
            </w:r>
          </w:p>
        </w:tc>
      </w:tr>
      <w:tr w:rsidR="007B5C49" w14:paraId="2D9642DD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19C6667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空气冷却</w:t>
            </w:r>
          </w:p>
        </w:tc>
        <w:tc>
          <w:tcPr>
            <w:tcW w:w="2400" w:type="dxa"/>
            <w:vAlign w:val="center"/>
          </w:tcPr>
          <w:p w14:paraId="6B557F4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约5—20kW为主，部分更高</w:t>
            </w:r>
          </w:p>
        </w:tc>
        <w:tc>
          <w:tcPr>
            <w:tcW w:w="2500" w:type="dxa"/>
            <w:vAlign w:val="center"/>
          </w:tcPr>
          <w:p w14:paraId="49FFB7E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成熟、通用、维护简单</w:t>
            </w:r>
          </w:p>
        </w:tc>
        <w:tc>
          <w:tcPr>
            <w:tcW w:w="2500" w:type="dxa"/>
            <w:vAlign w:val="center"/>
          </w:tcPr>
          <w:p w14:paraId="723F0A4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风量、风机和白空间上升</w:t>
            </w:r>
          </w:p>
        </w:tc>
        <w:tc>
          <w:tcPr>
            <w:tcW w:w="2200" w:type="dxa"/>
            <w:vAlign w:val="center"/>
          </w:tcPr>
          <w:p w14:paraId="777A658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传统云、企业与低密推理</w:t>
            </w:r>
          </w:p>
        </w:tc>
      </w:tr>
      <w:tr w:rsidR="007B5C49" w14:paraId="723F3FDB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788FE92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后门换热</w:t>
            </w:r>
          </w:p>
        </w:tc>
        <w:tc>
          <w:tcPr>
            <w:tcW w:w="2400" w:type="dxa"/>
            <w:vAlign w:val="center"/>
          </w:tcPr>
          <w:p w14:paraId="43EF96D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约20—50kW及定制更高</w:t>
            </w:r>
          </w:p>
        </w:tc>
        <w:tc>
          <w:tcPr>
            <w:tcW w:w="2500" w:type="dxa"/>
            <w:vAlign w:val="center"/>
          </w:tcPr>
          <w:p w14:paraId="5979A51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保留风冷服务器、便于改造</w:t>
            </w:r>
          </w:p>
        </w:tc>
        <w:tc>
          <w:tcPr>
            <w:tcW w:w="2500" w:type="dxa"/>
            <w:vAlign w:val="center"/>
          </w:tcPr>
          <w:p w14:paraId="2AC05DE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仍依赖风机与水路</w:t>
            </w:r>
          </w:p>
        </w:tc>
        <w:tc>
          <w:tcPr>
            <w:tcW w:w="2200" w:type="dxa"/>
            <w:vAlign w:val="center"/>
          </w:tcPr>
          <w:p w14:paraId="30DEE68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旧托管机房密度升级</w:t>
            </w:r>
          </w:p>
        </w:tc>
      </w:tr>
      <w:tr w:rsidR="007B5C49" w14:paraId="38703B7A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7F819AD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冷板液冷</w:t>
            </w:r>
          </w:p>
        </w:tc>
        <w:tc>
          <w:tcPr>
            <w:tcW w:w="2400" w:type="dxa"/>
            <w:vAlign w:val="center"/>
          </w:tcPr>
          <w:p w14:paraId="2A1DDB5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约50—100kW以上优势明显</w:t>
            </w:r>
          </w:p>
        </w:tc>
        <w:tc>
          <w:tcPr>
            <w:tcW w:w="2500" w:type="dxa"/>
            <w:vAlign w:val="center"/>
          </w:tcPr>
          <w:p w14:paraId="567432C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靠近芯片、高热捕获</w:t>
            </w:r>
          </w:p>
        </w:tc>
        <w:tc>
          <w:tcPr>
            <w:tcW w:w="2500" w:type="dxa"/>
            <w:vAlign w:val="center"/>
          </w:tcPr>
          <w:p w14:paraId="42CBFF0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接头、材料、水质和漏液管理</w:t>
            </w:r>
          </w:p>
        </w:tc>
        <w:tc>
          <w:tcPr>
            <w:tcW w:w="2200" w:type="dxa"/>
            <w:vAlign w:val="center"/>
          </w:tcPr>
          <w:p w14:paraId="2702FB5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当前高密AI主线</w:t>
            </w:r>
          </w:p>
        </w:tc>
      </w:tr>
      <w:tr w:rsidR="007B5C49" w14:paraId="1B86FA3E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44A6841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混合冷却</w:t>
            </w:r>
          </w:p>
        </w:tc>
        <w:tc>
          <w:tcPr>
            <w:tcW w:w="2400" w:type="dxa"/>
            <w:vAlign w:val="center"/>
          </w:tcPr>
          <w:p w14:paraId="43277A1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百kW级AI机柜</w:t>
            </w:r>
          </w:p>
        </w:tc>
        <w:tc>
          <w:tcPr>
            <w:tcW w:w="2500" w:type="dxa"/>
            <w:vAlign w:val="center"/>
          </w:tcPr>
          <w:p w14:paraId="5C82D21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液体带走主热、空气处理余热</w:t>
            </w:r>
          </w:p>
        </w:tc>
        <w:tc>
          <w:tcPr>
            <w:tcW w:w="2500" w:type="dxa"/>
            <w:vAlign w:val="center"/>
          </w:tcPr>
          <w:p w14:paraId="21C2961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两套系统需联合控制</w:t>
            </w:r>
          </w:p>
        </w:tc>
        <w:tc>
          <w:tcPr>
            <w:tcW w:w="2200" w:type="dxa"/>
            <w:vAlign w:val="center"/>
          </w:tcPr>
          <w:p w14:paraId="4105EDF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GB200/GB300等实际常态</w:t>
            </w:r>
          </w:p>
        </w:tc>
      </w:tr>
    </w:tbl>
    <w:p w14:paraId="243AEA60" w14:textId="77777777" w:rsidR="007B5C49" w:rsidRDefault="007B5C49">
      <w:pPr>
        <w:spacing w:after="40"/>
      </w:pPr>
    </w:p>
    <w:p w14:paraId="033E3427" w14:textId="77777777" w:rsidR="007B5C49" w:rsidRDefault="00000000">
      <w:pPr>
        <w:pStyle w:val="Heading2"/>
      </w:pPr>
      <w:r>
        <w:t xml:space="preserve">4. </w:t>
      </w:r>
      <w:r>
        <w:t>新建与改造的选择标准不同</w:t>
      </w:r>
    </w:p>
    <w:p w14:paraId="04637664" w14:textId="77777777" w:rsidR="007B5C49" w:rsidRDefault="00000000">
      <w:r>
        <w:t>新建AI园区可从变电、管径、CDU机房、干冷器/冷却塔和控制系统一体设计，液冷边际成本较低。旧机房需要核对楼板、竖井、供回水、露点、消防、停机窗口和租户责任；可能先用液到空气CDU或后门换热，避免立即改造设施水。</w:t>
      </w:r>
    </w:p>
    <w:p w14:paraId="76C192F9" w14:textId="77777777" w:rsidR="007B5C49" w:rsidRDefault="00000000">
      <w:r>
        <w:t>决策顺序应是：确认未来三年代际与每柜功率；确定服务器允许的进液温度和流量；计算进入液体与空气的热量；核对当地气候和水资源；最后才选设备。仅按“液冷更先进”采购，会造成接口不兼容和昂贵闲置。</w:t>
      </w:r>
    </w:p>
    <w:p w14:paraId="7B305794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26261798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089CCE5E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选择逻辑</w:t>
            </w:r>
          </w:p>
          <w:p w14:paraId="02A59A88" w14:textId="77777777" w:rsidR="007B5C49" w:rsidRDefault="00000000">
            <w:pPr>
              <w:spacing w:after="0" w:line="288" w:lineRule="auto"/>
            </w:pPr>
            <w:r>
              <w:t>工作负载决定芯片与机柜功率 → 机柜功率决定空气是否还能经济搬热 → 服务器设计决定入液热捕获率 → 设施水温和气候决定是否需要冷机/蒸发 → 新建或改造约束决定冷板、后门或混合路径。</w:t>
            </w:r>
          </w:p>
        </w:tc>
      </w:tr>
    </w:tbl>
    <w:p w14:paraId="1E63E0F0" w14:textId="77777777" w:rsidR="007B5C49" w:rsidRDefault="007B5C49">
      <w:pPr>
        <w:spacing w:after="40"/>
      </w:pPr>
    </w:p>
    <w:p w14:paraId="78B922F0" w14:textId="77777777" w:rsidR="007B5C49" w:rsidRDefault="00000000">
      <w:pPr>
        <w:pStyle w:val="QALabel"/>
      </w:pPr>
      <w:r>
        <w:t>来源</w:t>
      </w:r>
    </w:p>
    <w:p w14:paraId="717E4386" w14:textId="77777777" w:rsidR="007B5C49" w:rsidRDefault="00000000">
      <w:pPr>
        <w:spacing w:after="80"/>
        <w:ind w:left="360" w:hanging="288"/>
      </w:pPr>
      <w:r>
        <w:rPr>
          <w:b/>
        </w:rPr>
        <w:t>• Vertiv｜GB200 NVL72 reference architecture</w:t>
      </w:r>
      <w:r>
        <w:t>：132kW/柜与7MW参考设计</w:t>
      </w:r>
      <w:r>
        <w:rPr>
          <w:color w:val="1F4E79"/>
        </w:rPr>
        <w:br/>
        <w:t>https://www.vertiv.com/en-emea/about/news-and-events/news-releases/vertiv-codevelops-with-nvidia-complete-power-and-cooling-blueprint-for--nvidia-gb200-nvl72-platform/</w:t>
      </w:r>
    </w:p>
    <w:p w14:paraId="13F172EE" w14:textId="77777777" w:rsidR="007B5C49" w:rsidRDefault="00000000">
      <w:pPr>
        <w:spacing w:after="80"/>
        <w:ind w:left="360" w:hanging="288"/>
      </w:pPr>
      <w:r>
        <w:rPr>
          <w:b/>
        </w:rPr>
        <w:t>• CoolIT｜CHx2000 CDU</w:t>
      </w:r>
      <w:r>
        <w:t>：2MW、流量与机柜支持数</w:t>
      </w:r>
      <w:r>
        <w:rPr>
          <w:color w:val="1F4E79"/>
        </w:rPr>
        <w:br/>
        <w:t>https://www.coolitsystems.com/resources/news/coolit-systems-announces-further-breakthroughs-in-row-based-coolant-distribution-unit-performance/</w:t>
      </w:r>
    </w:p>
    <w:p w14:paraId="30D2C2B1" w14:textId="77777777" w:rsidR="007B5C49" w:rsidRDefault="00000000">
      <w:pPr>
        <w:spacing w:after="80"/>
        <w:ind w:left="360" w:hanging="288"/>
      </w:pPr>
      <w:r>
        <w:rPr>
          <w:b/>
        </w:rPr>
        <w:t>• ASHRAE｜AI Data Center Energy Performance Framework</w:t>
      </w:r>
      <w:r>
        <w:t>：液冷温度等级与系统边界</w:t>
      </w:r>
      <w:r>
        <w:rPr>
          <w:color w:val="1F4E79"/>
        </w:rPr>
        <w:br/>
        <w:t>https://www.ashrae.org/technical-resources/ai-data-center-framework/introduction-and-purpose</w:t>
      </w:r>
    </w:p>
    <w:p w14:paraId="2083DCEA" w14:textId="77777777" w:rsidR="007B5C49" w:rsidRDefault="00000000">
      <w:pPr>
        <w:pStyle w:val="Heading1"/>
        <w:pageBreakBefore/>
      </w:pPr>
      <w:r>
        <w:lastRenderedPageBreak/>
        <w:t>Q27</w:t>
      </w:r>
      <w:r>
        <w:t>：浸没式液冷会成为</w:t>
      </w:r>
      <w:r>
        <w:t>AI</w:t>
      </w:r>
      <w:r>
        <w:t>数据中心主流吗？</w:t>
      </w:r>
    </w:p>
    <w:p w14:paraId="7DBEC3F6" w14:textId="77777777" w:rsidR="007B5C49" w:rsidRDefault="00000000">
      <w:pPr>
        <w:pStyle w:val="QALabel"/>
      </w:pPr>
      <w:r>
        <w:t>通俗问题</w:t>
      </w:r>
    </w:p>
    <w:p w14:paraId="1A70B519" w14:textId="77777777" w:rsidR="007B5C49" w:rsidRDefault="00000000">
      <w:r>
        <w:t>把服务器整台泡在绝缘液体里散热效率很高，为什么大型AI园区目前更常见冷板，而不是全部浸没？</w:t>
      </w:r>
    </w:p>
    <w:p w14:paraId="70E035CE" w14:textId="77777777" w:rsidR="007B5C49" w:rsidRDefault="00000000">
      <w:pPr>
        <w:pStyle w:val="QALabel"/>
      </w:pPr>
      <w:r>
        <w:t>主要研究（专业）</w:t>
      </w:r>
    </w:p>
    <w:p w14:paraId="647D02BD" w14:textId="77777777" w:rsidR="007B5C49" w:rsidRDefault="00000000">
      <w:r>
        <w:t>单相/两相浸没的热性能、服务器适配、介质、运维、标准化及规模化边界。</w:t>
      </w:r>
    </w:p>
    <w:p w14:paraId="2ADF03DF" w14:textId="77777777" w:rsidR="007B5C49" w:rsidRDefault="00000000">
      <w:pPr>
        <w:pStyle w:val="QALabel"/>
      </w:pPr>
      <w:r>
        <w:t>研究方向</w:t>
      </w:r>
    </w:p>
    <w:p w14:paraId="48A45B7A" w14:textId="77777777" w:rsidR="007B5C49" w:rsidRDefault="00000000">
      <w:pPr>
        <w:pStyle w:val="ListBullet"/>
        <w:spacing w:after="80" w:line="288" w:lineRule="auto"/>
        <w:ind w:left="403" w:hanging="259"/>
      </w:pPr>
      <w:r>
        <w:t>区分单相浸没、两相浸没和直接到芯片两相冷却。</w:t>
      </w:r>
    </w:p>
    <w:p w14:paraId="64562C83" w14:textId="77777777" w:rsidR="007B5C49" w:rsidRDefault="00000000">
      <w:pPr>
        <w:pStyle w:val="ListBullet"/>
        <w:spacing w:after="80" w:line="288" w:lineRule="auto"/>
        <w:ind w:left="403" w:hanging="259"/>
      </w:pPr>
      <w:r>
        <w:t>核对产品额定容量与供应商节能主张。</w:t>
      </w:r>
    </w:p>
    <w:p w14:paraId="58F68B95" w14:textId="77777777" w:rsidR="007B5C49" w:rsidRDefault="00000000">
      <w:pPr>
        <w:pStyle w:val="ListBullet"/>
        <w:spacing w:after="80" w:line="288" w:lineRule="auto"/>
        <w:ind w:left="403" w:hanging="259"/>
      </w:pPr>
      <w:r>
        <w:t>判断浸没在训练、边缘、恶劣环境和专用计算中的适配度。</w:t>
      </w:r>
    </w:p>
    <w:p w14:paraId="0555C5D9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575B5FC3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4693CCD4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2F25C74B" w14:textId="77777777" w:rsidR="007B5C49" w:rsidRDefault="00000000">
            <w:pPr>
              <w:spacing w:after="0" w:line="288" w:lineRule="auto"/>
            </w:pPr>
            <w:r>
              <w:t>浸没式会增长，但短期难取代冷板成为前沿AI通用主流。它能取消服务器风扇、支持高密度并隔绝灰尘，却要求服务器、光纤、材料、维护工具和介质全套适配；GPU厂商和ODM当前更普遍围绕冷板机架量产。浸没更适合专用硬件、边缘/恶劣环境、空间紧张或能够统一运维标准的场景。</w:t>
            </w:r>
          </w:p>
        </w:tc>
      </w:tr>
    </w:tbl>
    <w:p w14:paraId="67759BAC" w14:textId="77777777" w:rsidR="007B5C49" w:rsidRDefault="007B5C49">
      <w:pPr>
        <w:spacing w:after="40"/>
      </w:pPr>
    </w:p>
    <w:p w14:paraId="25E1FB8A" w14:textId="77777777" w:rsidR="007B5C49" w:rsidRDefault="00000000">
      <w:pPr>
        <w:pStyle w:val="QALabel"/>
      </w:pPr>
      <w:r>
        <w:t>详细支撑</w:t>
      </w:r>
    </w:p>
    <w:p w14:paraId="697B9FBE" w14:textId="77777777" w:rsidR="007B5C49" w:rsidRDefault="00000000">
      <w:pPr>
        <w:pStyle w:val="Heading2"/>
      </w:pPr>
      <w:r>
        <w:t xml:space="preserve">1. </w:t>
      </w:r>
      <w:r>
        <w:t>单相与两相浸没是两条不同路线</w:t>
      </w:r>
    </w:p>
    <w:p w14:paraId="46AC2838" w14:textId="77777777" w:rsidR="007B5C49" w:rsidRDefault="00000000">
      <w:r>
        <w:t>单相浸没把服务器放入不导电液体，液体不沸腾，由泵送至换热器；控制相对直接、介质损失较低。两相浸没利用介质在芯片表面沸腾吸热、蒸汽在冷凝器液化，传热潜力更高，但对密封、介质环境属性、蒸发损失和压力管理要求更高。</w:t>
      </w:r>
    </w:p>
    <w:p w14:paraId="558FD145" w14:textId="77777777" w:rsidR="007B5C49" w:rsidRDefault="00000000">
      <w:r>
        <w:t>直接到芯片两相液冷则只在冷板内部发生相变，服务器并未浸没。Johnson Controls 2025年投资Accelsius、Munters与ZutaCore合作，说明传统暖通厂商也在布局两相直接冷却；研究报告必须避免把它们统称为“浸没式”。</w:t>
      </w:r>
    </w:p>
    <w:p w14:paraId="095C379C" w14:textId="77777777" w:rsidR="007B5C49" w:rsidRDefault="00000000">
      <w:pPr>
        <w:pStyle w:val="Heading2"/>
      </w:pPr>
      <w:r>
        <w:t xml:space="preserve">2. </w:t>
      </w:r>
      <w:r>
        <w:t>产品可以高密，但额定值不是行业普及率</w:t>
      </w:r>
    </w:p>
    <w:p w14:paraId="31CE1298" w14:textId="77777777" w:rsidR="007B5C49" w:rsidRDefault="00000000">
      <w:r>
        <w:t>GRC ICEraQ公开称CDU可支持最高368kW IT负载，13°C水条件下达到该额定值，并给出pPUE低于1.03、冷却能耗最高降低90%的供应商主张。其Micro产品在32°C无冷机水条件下约45kW、13°C冷水下约90kW，说明同一设备容量会随进水温度和硬件热阈值变化。</w:t>
      </w:r>
    </w:p>
    <w:p w14:paraId="49AC3087" w14:textId="77777777" w:rsidR="007B5C49" w:rsidRDefault="00000000">
      <w:r>
        <w:t>这些是产品和供应商测算，不等于整个数据中心PUE低于1.03。pPUE只计算指定模块边界，可能不含主变、UPS、网络或全园区排热。跨方案比较时必须统一分子和分母。</w:t>
      </w:r>
    </w:p>
    <w:p w14:paraId="6DCE86AE" w14:textId="77777777" w:rsidR="007B5C49" w:rsidRDefault="00000000">
      <w:pPr>
        <w:pStyle w:val="Heading2"/>
      </w:pPr>
      <w:r>
        <w:lastRenderedPageBreak/>
        <w:t xml:space="preserve">3. </w:t>
      </w:r>
      <w:r>
        <w:t>最大障碍不是</w:t>
      </w:r>
      <w:r>
        <w:t>“</w:t>
      </w:r>
      <w:r>
        <w:t>液体能否带走热</w:t>
      </w:r>
      <w:r>
        <w:t>”</w:t>
      </w:r>
      <w:r>
        <w:t>，而是服务器生态和维护</w:t>
      </w:r>
    </w:p>
    <w:p w14:paraId="2711A0AC" w14:textId="77777777" w:rsidR="007B5C49" w:rsidRDefault="00000000">
      <w:r>
        <w:t>标准服务器风扇、电解电容标签、塑料、线缆和密封材料未必长期兼容介质；硬盘、光模块和电池也可能需要留在干区。服务器从液体取出后会挂液，需要起吊、滴液回收和专用维修流程。部件更换、保修责任和介质检测都不同于传统机架。</w:t>
      </w:r>
    </w:p>
    <w:p w14:paraId="6A4DA9B1" w14:textId="77777777" w:rsidR="007B5C49" w:rsidRDefault="00000000">
      <w:r>
        <w:t>OCP高级冷却项目仍在推进浸没要求、资格检查表、材料兼容数据库和机房评估文件，表明行业正在标准化，但尚未像19英寸机架和标准风冷服务器那样完全成熟。大规模云厂若要采用，需要同时推动芯片、ODM、介质、连接器和维修供应链。</w:t>
      </w:r>
    </w:p>
    <w:p w14:paraId="4073E8E2" w14:textId="77777777" w:rsidR="007B5C49" w:rsidRDefault="00000000">
      <w:pPr>
        <w:pStyle w:val="Heading2"/>
      </w:pPr>
      <w:r>
        <w:t xml:space="preserve">4. </w:t>
      </w:r>
      <w:r>
        <w:t>浸没式的最佳市场不是所有</w:t>
      </w:r>
      <w:r>
        <w:t>AI</w:t>
      </w:r>
      <w:r>
        <w:t>工作负载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1500"/>
        <w:gridCol w:w="3600"/>
        <w:gridCol w:w="3000"/>
      </w:tblGrid>
      <w:tr w:rsidR="007B5C49" w14:paraId="165291B5" w14:textId="77777777">
        <w:trPr>
          <w:tblHeader/>
          <w:jc w:val="center"/>
        </w:trPr>
        <w:tc>
          <w:tcPr>
            <w:tcW w:w="2100" w:type="dxa"/>
            <w:shd w:val="clear" w:color="auto" w:fill="D9EAF7"/>
          </w:tcPr>
          <w:p w14:paraId="39B9EA10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场景</w:t>
            </w:r>
          </w:p>
        </w:tc>
        <w:tc>
          <w:tcPr>
            <w:tcW w:w="1500" w:type="dxa"/>
            <w:shd w:val="clear" w:color="auto" w:fill="D9EAF7"/>
          </w:tcPr>
          <w:p w14:paraId="2C5537FD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适配度</w:t>
            </w:r>
          </w:p>
        </w:tc>
        <w:tc>
          <w:tcPr>
            <w:tcW w:w="3600" w:type="dxa"/>
            <w:shd w:val="clear" w:color="auto" w:fill="D9EAF7"/>
          </w:tcPr>
          <w:p w14:paraId="5C51A605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原因</w:t>
            </w:r>
          </w:p>
        </w:tc>
        <w:tc>
          <w:tcPr>
            <w:tcW w:w="3000" w:type="dxa"/>
            <w:shd w:val="clear" w:color="auto" w:fill="D9EAF7"/>
          </w:tcPr>
          <w:p w14:paraId="435B0819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主要风险</w:t>
            </w:r>
          </w:p>
        </w:tc>
      </w:tr>
      <w:tr w:rsidR="007B5C49" w14:paraId="7293946B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78AC926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专用ASIC/加密计算</w:t>
            </w:r>
          </w:p>
        </w:tc>
        <w:tc>
          <w:tcPr>
            <w:tcW w:w="1500" w:type="dxa"/>
            <w:vAlign w:val="center"/>
          </w:tcPr>
          <w:p w14:paraId="0F7AA9A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高</w:t>
            </w:r>
          </w:p>
        </w:tc>
        <w:tc>
          <w:tcPr>
            <w:tcW w:w="3600" w:type="dxa"/>
            <w:vAlign w:val="center"/>
          </w:tcPr>
          <w:p w14:paraId="6FCC4DB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硬件统一、风扇可移除、持续高负载</w:t>
            </w:r>
          </w:p>
        </w:tc>
        <w:tc>
          <w:tcPr>
            <w:tcW w:w="3000" w:type="dxa"/>
            <w:vAlign w:val="center"/>
          </w:tcPr>
          <w:p w14:paraId="0BCDD5E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介质与资产残值</w:t>
            </w:r>
          </w:p>
        </w:tc>
      </w:tr>
      <w:tr w:rsidR="007B5C49" w14:paraId="2CF7BDEF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22B1D21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边缘/灰尘/高噪环境</w:t>
            </w:r>
          </w:p>
        </w:tc>
        <w:tc>
          <w:tcPr>
            <w:tcW w:w="1500" w:type="dxa"/>
            <w:vAlign w:val="center"/>
          </w:tcPr>
          <w:p w14:paraId="1AD5BAE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中高</w:t>
            </w:r>
          </w:p>
        </w:tc>
        <w:tc>
          <w:tcPr>
            <w:tcW w:w="3600" w:type="dxa"/>
            <w:vAlign w:val="center"/>
          </w:tcPr>
          <w:p w14:paraId="14704E7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密封、低噪、可模块化部署</w:t>
            </w:r>
          </w:p>
        </w:tc>
        <w:tc>
          <w:tcPr>
            <w:tcW w:w="3000" w:type="dxa"/>
            <w:vAlign w:val="center"/>
          </w:tcPr>
          <w:p w14:paraId="337F128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现场维护与补液</w:t>
            </w:r>
          </w:p>
        </w:tc>
      </w:tr>
      <w:tr w:rsidR="007B5C49" w14:paraId="6C4D22AD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373E465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HPC科研集群</w:t>
            </w:r>
          </w:p>
        </w:tc>
        <w:tc>
          <w:tcPr>
            <w:tcW w:w="1500" w:type="dxa"/>
            <w:vAlign w:val="center"/>
          </w:tcPr>
          <w:p w14:paraId="6B1CC97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中高</w:t>
            </w:r>
          </w:p>
        </w:tc>
        <w:tc>
          <w:tcPr>
            <w:tcW w:w="3600" w:type="dxa"/>
            <w:vAlign w:val="center"/>
          </w:tcPr>
          <w:p w14:paraId="4A691ED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统一采购、可接受专用运维</w:t>
            </w:r>
          </w:p>
        </w:tc>
        <w:tc>
          <w:tcPr>
            <w:tcW w:w="3000" w:type="dxa"/>
            <w:vAlign w:val="center"/>
          </w:tcPr>
          <w:p w14:paraId="3DCFE9E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升级代际与供应商锁定</w:t>
            </w:r>
          </w:p>
        </w:tc>
      </w:tr>
      <w:tr w:rsidR="007B5C49" w14:paraId="6A95026B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663825E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前沿GPU训练园区</w:t>
            </w:r>
          </w:p>
        </w:tc>
        <w:tc>
          <w:tcPr>
            <w:tcW w:w="1500" w:type="dxa"/>
            <w:vAlign w:val="center"/>
          </w:tcPr>
          <w:p w14:paraId="131408A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中</w:t>
            </w:r>
          </w:p>
        </w:tc>
        <w:tc>
          <w:tcPr>
            <w:tcW w:w="3600" w:type="dxa"/>
            <w:vAlign w:val="center"/>
          </w:tcPr>
          <w:p w14:paraId="029BFB4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热性能足够，但冷板生态更成熟</w:t>
            </w:r>
          </w:p>
        </w:tc>
        <w:tc>
          <w:tcPr>
            <w:tcW w:w="3000" w:type="dxa"/>
            <w:vAlign w:val="center"/>
          </w:tcPr>
          <w:p w14:paraId="3503B71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GPU/OEM认证、光学和维修</w:t>
            </w:r>
          </w:p>
        </w:tc>
      </w:tr>
      <w:tr w:rsidR="007B5C49" w14:paraId="4E2129BB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718AB1C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多租户托管</w:t>
            </w:r>
          </w:p>
        </w:tc>
        <w:tc>
          <w:tcPr>
            <w:tcW w:w="1500" w:type="dxa"/>
            <w:vAlign w:val="center"/>
          </w:tcPr>
          <w:p w14:paraId="70D27F7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中低</w:t>
            </w:r>
          </w:p>
        </w:tc>
        <w:tc>
          <w:tcPr>
            <w:tcW w:w="3600" w:type="dxa"/>
            <w:vAlign w:val="center"/>
          </w:tcPr>
          <w:p w14:paraId="5670311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租户硬件和保修差异大</w:t>
            </w:r>
          </w:p>
        </w:tc>
        <w:tc>
          <w:tcPr>
            <w:tcW w:w="3000" w:type="dxa"/>
            <w:vAlign w:val="center"/>
          </w:tcPr>
          <w:p w14:paraId="2919641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资产责任与兼容性</w:t>
            </w:r>
          </w:p>
        </w:tc>
      </w:tr>
    </w:tbl>
    <w:p w14:paraId="694ADC4C" w14:textId="77777777" w:rsidR="007B5C49" w:rsidRDefault="007B5C49">
      <w:pPr>
        <w:spacing w:after="40"/>
      </w:pPr>
    </w:p>
    <w:p w14:paraId="77F248FD" w14:textId="77777777" w:rsidR="007B5C49" w:rsidRDefault="00000000">
      <w:r>
        <w:t>未来如果MW级机柜使冷板流量、压降和接头数量接近极限，浸没或两相技术的相对吸引力会提高。但路线图不能等同确定采用：最终取决于芯片厂认证、可维护性、介质法规和总拥有成本。</w:t>
      </w:r>
    </w:p>
    <w:p w14:paraId="24E71C01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005E02D4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512A2336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浸没采用门槛</w:t>
            </w:r>
          </w:p>
          <w:p w14:paraId="5895A815" w14:textId="77777777" w:rsidR="007B5C49" w:rsidRDefault="00000000">
            <w:pPr>
              <w:spacing w:after="0" w:line="288" w:lineRule="auto"/>
            </w:pPr>
            <w:r>
              <w:t>高热流需要液体靠近芯片 → 浸没可取消大量空气搬热 → 但整机材料和运维必须重构 → 标准与OEM认证决定可规模复制性 → 在硬件统一场景先落地 → 待生态成熟后才可能扩大至通用AI。</w:t>
            </w:r>
          </w:p>
        </w:tc>
      </w:tr>
    </w:tbl>
    <w:p w14:paraId="319F2049" w14:textId="77777777" w:rsidR="007B5C49" w:rsidRDefault="007B5C49">
      <w:pPr>
        <w:spacing w:after="40"/>
      </w:pPr>
    </w:p>
    <w:p w14:paraId="40A65CE0" w14:textId="77777777" w:rsidR="007B5C49" w:rsidRDefault="00000000">
      <w:pPr>
        <w:pStyle w:val="QALabel"/>
      </w:pPr>
      <w:r>
        <w:t>来源</w:t>
      </w:r>
    </w:p>
    <w:p w14:paraId="4945C2C2" w14:textId="77777777" w:rsidR="007B5C49" w:rsidRDefault="00000000">
      <w:pPr>
        <w:spacing w:after="80"/>
        <w:ind w:left="360" w:hanging="288"/>
      </w:pPr>
      <w:r>
        <w:rPr>
          <w:b/>
        </w:rPr>
        <w:t>• GRC｜ICEraQ</w:t>
      </w:r>
      <w:r>
        <w:t>：容量、进水温度及供应商效率主张</w:t>
      </w:r>
      <w:r>
        <w:rPr>
          <w:color w:val="1F4E79"/>
        </w:rPr>
        <w:br/>
        <w:t>https://www.grcooling.com/iceraq/</w:t>
      </w:r>
    </w:p>
    <w:p w14:paraId="144D6DF6" w14:textId="77777777" w:rsidR="007B5C49" w:rsidRDefault="00000000">
      <w:pPr>
        <w:spacing w:after="80"/>
        <w:ind w:left="360" w:hanging="288"/>
      </w:pPr>
      <w:r>
        <w:rPr>
          <w:b/>
        </w:rPr>
        <w:t>• OCP｜Advanced Cooling Solutions</w:t>
      </w:r>
      <w:r>
        <w:t>：冷板、后门与浸没标准化状态</w:t>
      </w:r>
      <w:r>
        <w:rPr>
          <w:color w:val="1F4E79"/>
        </w:rPr>
        <w:br/>
        <w:t>https://www.opencompute.org/wiki/Cooling_Environments_Advanced_Cooling_Solutions</w:t>
      </w:r>
    </w:p>
    <w:p w14:paraId="798035E7" w14:textId="77777777" w:rsidR="007B5C49" w:rsidRDefault="00000000">
      <w:pPr>
        <w:spacing w:after="80"/>
        <w:ind w:left="360" w:hanging="288"/>
      </w:pPr>
      <w:r>
        <w:rPr>
          <w:b/>
        </w:rPr>
        <w:t>• Johnson Controls｜Investment in Accelsius</w:t>
      </w:r>
      <w:r>
        <w:t>：两相直接到芯片路线</w:t>
      </w:r>
      <w:r>
        <w:rPr>
          <w:color w:val="1F4E79"/>
        </w:rPr>
        <w:br/>
        <w:t>https://www.johnsoncontrols.com/media-center/news/press-releases/2025/10/06/johnson-controls-announces-investment-in-data-center-liquid-cooling-company-accelsius</w:t>
      </w:r>
    </w:p>
    <w:p w14:paraId="46A0E052" w14:textId="77777777" w:rsidR="007B5C49" w:rsidRDefault="00000000">
      <w:pPr>
        <w:spacing w:after="80"/>
        <w:ind w:left="360" w:hanging="288"/>
      </w:pPr>
      <w:r>
        <w:rPr>
          <w:b/>
        </w:rPr>
        <w:t>• Munters｜Alliance with ZutaCore</w:t>
      </w:r>
      <w:r>
        <w:t>：两相直接液冷与设施排热整合</w:t>
      </w:r>
      <w:r>
        <w:rPr>
          <w:color w:val="1F4E79"/>
        </w:rPr>
        <w:br/>
        <w:t>https://www.munters.com/en-ca/news-media/press-releases/2024/munters-and-zutacore-form-strategic-alliance-for-data-center-cooling-innovation/</w:t>
      </w:r>
    </w:p>
    <w:p w14:paraId="24CA77F1" w14:textId="77777777" w:rsidR="007B5C49" w:rsidRDefault="00000000">
      <w:pPr>
        <w:pStyle w:val="Heading1"/>
        <w:pageBreakBefore/>
      </w:pPr>
      <w:r>
        <w:lastRenderedPageBreak/>
        <w:t>Q28</w:t>
      </w:r>
      <w:r>
        <w:t>：</w:t>
      </w:r>
      <w:r>
        <w:t>CDU</w:t>
      </w:r>
      <w:r>
        <w:t>、冷板、管路和设施水路如何组成完整系统？</w:t>
      </w:r>
    </w:p>
    <w:p w14:paraId="06681D57" w14:textId="77777777" w:rsidR="007B5C49" w:rsidRDefault="00000000">
      <w:pPr>
        <w:pStyle w:val="QALabel"/>
      </w:pPr>
      <w:r>
        <w:t>通俗问题</w:t>
      </w:r>
    </w:p>
    <w:p w14:paraId="633A3C57" w14:textId="77777777" w:rsidR="007B5C49" w:rsidRDefault="00000000">
      <w:r>
        <w:t>液冷系统不就是水管接到服务器吗？为什么项目还需要CDU、两套水路、过滤、控温、压差和漏液监测？</w:t>
      </w:r>
    </w:p>
    <w:p w14:paraId="4C29B61D" w14:textId="77777777" w:rsidR="007B5C49" w:rsidRDefault="00000000">
      <w:pPr>
        <w:pStyle w:val="QALabel"/>
      </w:pPr>
      <w:r>
        <w:t>主要研究（专业）</w:t>
      </w:r>
    </w:p>
    <w:p w14:paraId="773C4E93" w14:textId="77777777" w:rsidR="007B5C49" w:rsidRDefault="00000000">
      <w:r>
        <w:t>技术冷却系统TCS、设施水系统FWS、CDU换热、歧管、快接、冷板与最终排热设备的接口。</w:t>
      </w:r>
    </w:p>
    <w:p w14:paraId="5F9F47A6" w14:textId="77777777" w:rsidR="007B5C49" w:rsidRDefault="00000000">
      <w:pPr>
        <w:pStyle w:val="QALabel"/>
      </w:pPr>
      <w:r>
        <w:t>研究方向</w:t>
      </w:r>
    </w:p>
    <w:p w14:paraId="7C8C9ADF" w14:textId="77777777" w:rsidR="007B5C49" w:rsidRDefault="00000000">
      <w:pPr>
        <w:pStyle w:val="ListBullet"/>
        <w:spacing w:after="80" w:line="288" w:lineRule="auto"/>
        <w:ind w:left="403" w:hanging="259"/>
      </w:pPr>
      <w:r>
        <w:t>从芯片到室外逐层解释热量流向。</w:t>
      </w:r>
    </w:p>
    <w:p w14:paraId="391E489C" w14:textId="77777777" w:rsidR="007B5C49" w:rsidRDefault="00000000">
      <w:pPr>
        <w:pStyle w:val="ListBullet"/>
        <w:spacing w:after="80" w:line="288" w:lineRule="auto"/>
        <w:ind w:left="403" w:hanging="259"/>
      </w:pPr>
      <w:r>
        <w:t>量化百kW机柜和MW级CDU的流量尺度。</w:t>
      </w:r>
    </w:p>
    <w:p w14:paraId="59D45C37" w14:textId="77777777" w:rsidR="007B5C49" w:rsidRDefault="00000000">
      <w:pPr>
        <w:pStyle w:val="ListBullet"/>
        <w:spacing w:after="80" w:line="288" w:lineRule="auto"/>
        <w:ind w:left="403" w:hanging="259"/>
      </w:pPr>
      <w:r>
        <w:t>识别水质、腐蚀、露点和冗余的主要失效模式。</w:t>
      </w:r>
    </w:p>
    <w:p w14:paraId="42E29820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1774C5A7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09F2DDEB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45382F20" w14:textId="77777777" w:rsidR="007B5C49" w:rsidRDefault="00000000">
            <w:pPr>
              <w:spacing w:after="0" w:line="288" w:lineRule="auto"/>
            </w:pPr>
            <w:r>
              <w:t>典型直接液冷至少有两套隔离环路：TCS把经过处理的冷却液送到服务器冷板，FWS把热量从CDU带到冷机、冷却塔或干冷器。CDU同时承担换热、泵送、控温、过滤、压差与监控，是服务器和建筑机械系统的边界。一个接口设计错误，可能让整排GPU降频或停机。</w:t>
            </w:r>
          </w:p>
        </w:tc>
      </w:tr>
    </w:tbl>
    <w:p w14:paraId="75CF6823" w14:textId="77777777" w:rsidR="007B5C49" w:rsidRDefault="007B5C49">
      <w:pPr>
        <w:spacing w:after="40"/>
      </w:pPr>
    </w:p>
    <w:p w14:paraId="30DB0A11" w14:textId="77777777" w:rsidR="007B5C49" w:rsidRDefault="00000000">
      <w:pPr>
        <w:pStyle w:val="QALabel"/>
      </w:pPr>
      <w:r>
        <w:t>详细支撑</w:t>
      </w:r>
    </w:p>
    <w:p w14:paraId="5E1DF1AF" w14:textId="77777777" w:rsidR="007B5C49" w:rsidRDefault="00000000">
      <w:pPr>
        <w:pStyle w:val="Heading2"/>
      </w:pPr>
      <w:r>
        <w:t xml:space="preserve">1. </w:t>
      </w:r>
      <w:r>
        <w:t>热量从芯片离开要经过五个边界</w:t>
      </w:r>
    </w:p>
    <w:p w14:paraId="3DCDB9AA" w14:textId="77777777" w:rsidR="007B5C49" w:rsidRDefault="00000000">
      <w:r>
        <w:t>路径为：GPU/CPU → 冷板 → 服务器/机柜歧管与快接 → TCS技术水 → CDU板式换热器 → FWS设施水 → 冷机、冷却塔、闭式冷却塔或干冷器 → 室外环境。空气散热部件还会经过机房空气系统形成另一条并行路径。</w:t>
      </w:r>
    </w:p>
    <w:p w14:paraId="18588899" w14:textId="77777777" w:rsidR="007B5C49" w:rsidRDefault="00000000">
      <w:r>
        <w:t>CDU不是普通水泵。它要防止设施侧杂质进入细小冷板通道，控制供液温度高于露点，保持规定压差与流量，并在负载快速变化时调泵。TCS常用去离子水/乙二醇或经硬件厂认可的液体；配方、金属材料和密封件必须兼容。</w:t>
      </w:r>
    </w:p>
    <w:p w14:paraId="177D2742" w14:textId="77777777" w:rsidR="007B5C49" w:rsidRDefault="00000000">
      <w:pPr>
        <w:pStyle w:val="Heading2"/>
      </w:pPr>
      <w:r>
        <w:t xml:space="preserve">2. </w:t>
      </w:r>
      <w:r>
        <w:t>流量随功率和温差增长</w:t>
      </w:r>
    </w:p>
    <w:p w14:paraId="3757C201" w14:textId="77777777" w:rsidR="007B5C49" w:rsidRDefault="00000000">
      <w:r>
        <w:t>水的近似换热公式为Q=ṁcpΔT。若130kW热量全部进入水、供回水温差10°C，理想流量约3.1 L/s，即约186 L/min；若只有80%热量入液，则约149 L/min。实际按设备规定、冗余和压降选型，供应商示例可达到约1.2 L/min/kW。</w:t>
      </w:r>
    </w:p>
    <w:p w14:paraId="3CBA6E97" w14:textId="77777777" w:rsidR="007B5C49" w:rsidRDefault="00000000">
      <w:r>
        <w:t>按1.2 L/min/kW，单个120kW机柜约需144 L/min，十二柜约1,728 L/min。流量越大，管径、泵功和压降越高；扩大供回水温差可降低流量，但芯片最高温度和冷板性能限制温差。不能用传统办公冷水管经验直接外推AI机架。</w:t>
      </w:r>
    </w:p>
    <w:p w14:paraId="5731629B" w14:textId="77777777" w:rsidR="007B5C49" w:rsidRDefault="00000000">
      <w:pPr>
        <w:pStyle w:val="Heading2"/>
      </w:pPr>
      <w:r>
        <w:lastRenderedPageBreak/>
        <w:t>3. MW</w:t>
      </w:r>
      <w:r>
        <w:t>级</w:t>
      </w:r>
      <w:r>
        <w:t>CDU</w:t>
      </w:r>
      <w:r>
        <w:t>已成为标准产品，但系统冗余仍需项目设计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1800"/>
        <w:gridCol w:w="2600"/>
        <w:gridCol w:w="3700"/>
      </w:tblGrid>
      <w:tr w:rsidR="007B5C49" w14:paraId="04C6DF76" w14:textId="77777777">
        <w:trPr>
          <w:tblHeader/>
          <w:jc w:val="center"/>
        </w:trPr>
        <w:tc>
          <w:tcPr>
            <w:tcW w:w="2000" w:type="dxa"/>
            <w:shd w:val="clear" w:color="auto" w:fill="D9EAF7"/>
          </w:tcPr>
          <w:p w14:paraId="1CA0C6A7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厂商/产品</w:t>
            </w:r>
          </w:p>
        </w:tc>
        <w:tc>
          <w:tcPr>
            <w:tcW w:w="1800" w:type="dxa"/>
            <w:shd w:val="clear" w:color="auto" w:fill="D9EAF7"/>
          </w:tcPr>
          <w:p w14:paraId="5EF1AF2F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公开额定容量</w:t>
            </w:r>
          </w:p>
        </w:tc>
        <w:tc>
          <w:tcPr>
            <w:tcW w:w="2600" w:type="dxa"/>
            <w:shd w:val="clear" w:color="auto" w:fill="D9EAF7"/>
          </w:tcPr>
          <w:p w14:paraId="78DA98F4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公开状态/范围</w:t>
            </w:r>
          </w:p>
        </w:tc>
        <w:tc>
          <w:tcPr>
            <w:tcW w:w="3700" w:type="dxa"/>
            <w:shd w:val="clear" w:color="auto" w:fill="D9EAF7"/>
          </w:tcPr>
          <w:p w14:paraId="752AC4A5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不能误读</w:t>
            </w:r>
          </w:p>
        </w:tc>
      </w:tr>
      <w:tr w:rsidR="007B5C49" w14:paraId="3AE816D6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5C776C8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CoolIT CHx2000</w:t>
            </w:r>
          </w:p>
        </w:tc>
        <w:tc>
          <w:tcPr>
            <w:tcW w:w="1800" w:type="dxa"/>
            <w:vAlign w:val="center"/>
          </w:tcPr>
          <w:p w14:paraId="6C8BA63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2MW</w:t>
            </w:r>
          </w:p>
        </w:tc>
        <w:tc>
          <w:tcPr>
            <w:tcW w:w="2600" w:type="dxa"/>
            <w:vAlign w:val="center"/>
          </w:tcPr>
          <w:p w14:paraId="4474CC7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2025年生产并全球出货</w:t>
            </w:r>
          </w:p>
        </w:tc>
        <w:tc>
          <w:tcPr>
            <w:tcW w:w="3700" w:type="dxa"/>
            <w:vAlign w:val="center"/>
          </w:tcPr>
          <w:p w14:paraId="4FD509D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最多12柜基于120kW与规定流量</w:t>
            </w:r>
          </w:p>
        </w:tc>
      </w:tr>
      <w:tr w:rsidR="007B5C49" w14:paraId="1AE07E71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74C0E86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Motivair MCDU-70</w:t>
            </w:r>
          </w:p>
        </w:tc>
        <w:tc>
          <w:tcPr>
            <w:tcW w:w="1800" w:type="dxa"/>
            <w:vAlign w:val="center"/>
          </w:tcPr>
          <w:p w14:paraId="279FCCD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2.5MW</w:t>
            </w:r>
          </w:p>
        </w:tc>
        <w:tc>
          <w:tcPr>
            <w:tcW w:w="2600" w:type="dxa"/>
            <w:vAlign w:val="center"/>
          </w:tcPr>
          <w:p w14:paraId="3883559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2026年发布；组合可扩10MW+</w:t>
            </w:r>
          </w:p>
        </w:tc>
        <w:tc>
          <w:tcPr>
            <w:tcW w:w="3700" w:type="dxa"/>
            <w:vAlign w:val="center"/>
          </w:tcPr>
          <w:p w14:paraId="2178304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10MW是系统扩展能力</w:t>
            </w:r>
          </w:p>
        </w:tc>
      </w:tr>
      <w:tr w:rsidR="007B5C49" w14:paraId="636B12E5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315F717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Vertiv CoolChip CDU</w:t>
            </w:r>
          </w:p>
        </w:tc>
        <w:tc>
          <w:tcPr>
            <w:tcW w:w="1800" w:type="dxa"/>
            <w:vAlign w:val="center"/>
          </w:tcPr>
          <w:p w14:paraId="358FE55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100kW—2.3MW</w:t>
            </w:r>
          </w:p>
        </w:tc>
        <w:tc>
          <w:tcPr>
            <w:tcW w:w="2600" w:type="dxa"/>
            <w:vAlign w:val="center"/>
          </w:tcPr>
          <w:p w14:paraId="6C5D82D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2026年扩展产品组合</w:t>
            </w:r>
          </w:p>
        </w:tc>
        <w:tc>
          <w:tcPr>
            <w:tcW w:w="3700" w:type="dxa"/>
            <w:vAlign w:val="center"/>
          </w:tcPr>
          <w:p w14:paraId="5A72065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额定换热≠实际IT部署</w:t>
            </w:r>
          </w:p>
        </w:tc>
      </w:tr>
      <w:tr w:rsidR="007B5C49" w14:paraId="5563D613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1DC0D7B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Airedale CDU</w:t>
            </w:r>
          </w:p>
        </w:tc>
        <w:tc>
          <w:tcPr>
            <w:tcW w:w="1800" w:type="dxa"/>
            <w:vAlign w:val="center"/>
          </w:tcPr>
          <w:p w14:paraId="0A20A9B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400kW—2MW</w:t>
            </w:r>
          </w:p>
        </w:tc>
        <w:tc>
          <w:tcPr>
            <w:tcW w:w="2600" w:type="dxa"/>
            <w:vAlign w:val="center"/>
          </w:tcPr>
          <w:p w14:paraId="221B1B8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美国与欧洲制造</w:t>
            </w:r>
          </w:p>
        </w:tc>
        <w:tc>
          <w:tcPr>
            <w:tcW w:w="3700" w:type="dxa"/>
            <w:vAlign w:val="center"/>
          </w:tcPr>
          <w:p w14:paraId="04FC12A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更大滑橇为定制工程</w:t>
            </w:r>
          </w:p>
        </w:tc>
      </w:tr>
      <w:tr w:rsidR="007B5C49" w14:paraId="509249B2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72186F1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Munters LCX</w:t>
            </w:r>
          </w:p>
        </w:tc>
        <w:tc>
          <w:tcPr>
            <w:tcW w:w="1800" w:type="dxa"/>
            <w:vAlign w:val="center"/>
          </w:tcPr>
          <w:p w14:paraId="2E6ABD8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500kW—1.5MW模块</w:t>
            </w:r>
          </w:p>
        </w:tc>
        <w:tc>
          <w:tcPr>
            <w:tcW w:w="2600" w:type="dxa"/>
            <w:vAlign w:val="center"/>
          </w:tcPr>
          <w:p w14:paraId="4FF63E7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液到液CDU，支持堆叠</w:t>
            </w:r>
          </w:p>
        </w:tc>
        <w:tc>
          <w:tcPr>
            <w:tcW w:w="3700" w:type="dxa"/>
            <w:vAlign w:val="center"/>
          </w:tcPr>
          <w:p w14:paraId="34C6FAD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另有液到制冷剂路线</w:t>
            </w:r>
          </w:p>
        </w:tc>
      </w:tr>
      <w:tr w:rsidR="007B5C49" w14:paraId="06C49EFE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17221CF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Silent-Aire CDU</w:t>
            </w:r>
          </w:p>
        </w:tc>
        <w:tc>
          <w:tcPr>
            <w:tcW w:w="1800" w:type="dxa"/>
            <w:vAlign w:val="center"/>
          </w:tcPr>
          <w:p w14:paraId="12BDE76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500kW—10MW+</w:t>
            </w:r>
          </w:p>
        </w:tc>
        <w:tc>
          <w:tcPr>
            <w:tcW w:w="2600" w:type="dxa"/>
            <w:vAlign w:val="center"/>
          </w:tcPr>
          <w:p w14:paraId="1A6332B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2025年发布平台</w:t>
            </w:r>
          </w:p>
        </w:tc>
        <w:tc>
          <w:tcPr>
            <w:tcW w:w="3700" w:type="dxa"/>
            <w:vAlign w:val="center"/>
          </w:tcPr>
          <w:p w14:paraId="6A9C3C5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跨度含多种机房/外围配置</w:t>
            </w:r>
          </w:p>
        </w:tc>
      </w:tr>
    </w:tbl>
    <w:p w14:paraId="40143CA2" w14:textId="77777777" w:rsidR="007B5C49" w:rsidRDefault="007B5C49">
      <w:pPr>
        <w:spacing w:after="40"/>
      </w:pPr>
    </w:p>
    <w:p w14:paraId="6366DBD4" w14:textId="77777777" w:rsidR="007B5C49" w:rsidRDefault="00000000">
      <w:r>
        <w:t>额定容量只是热交换上限。工程还要选N、N+1或2N泵和CDU，考虑某台维修时剩余设备能否承载负荷；共用CDU可节省资本，但扩大故障域。每柜、每排还是每厅部署，没有通用答案。</w:t>
      </w:r>
    </w:p>
    <w:p w14:paraId="7C0C5111" w14:textId="77777777" w:rsidR="007B5C49" w:rsidRDefault="00000000">
      <w:pPr>
        <w:pStyle w:val="Heading2"/>
      </w:pPr>
      <w:r>
        <w:t xml:space="preserve">4. </w:t>
      </w:r>
      <w:r>
        <w:t>温度等级决定是否需要冷机和蒸发</w:t>
      </w:r>
    </w:p>
    <w:p w14:paraId="7F8EFF72" w14:textId="77777777" w:rsidR="007B5C49" w:rsidRDefault="00000000">
      <w:r>
        <w:t>ASHRAE新版液冷等级以最高供液温度命名：W17、W27、W32、W40、W45和W+，共同下限2°C。服务器若能接受W32以上较温暖的设施水，多数气候可增加自然冷却小时数；W45或更高更有利于干冷和余热利用。能接受更高进水温度需要更强冷板和芯片热设计，不能由设施单方面提高。</w:t>
      </w:r>
    </w:p>
    <w:p w14:paraId="2BEAA570" w14:textId="77777777" w:rsidR="007B5C49" w:rsidRDefault="00000000">
      <w:r>
        <w:t>低温水提高冷板散热能力，却带来冷机能耗和结露风险；高温水降低设施能耗，但可能使GPU结温升高、降频或失去安全裕度。最佳设定点必须在芯片性能、泵功、冷机、室外气候和可靠性之间联合优化。</w:t>
      </w:r>
    </w:p>
    <w:p w14:paraId="63D97840" w14:textId="77777777" w:rsidR="007B5C49" w:rsidRDefault="00000000">
      <w:pPr>
        <w:pStyle w:val="Heading2"/>
      </w:pPr>
      <w:r>
        <w:t xml:space="preserve">5. </w:t>
      </w:r>
      <w:r>
        <w:t>水质和调试是隐藏的可用性风险</w:t>
      </w:r>
    </w:p>
    <w:p w14:paraId="28E722CB" w14:textId="77777777" w:rsidR="007B5C49" w:rsidRDefault="00000000">
      <w:r>
        <w:t>细颗粒可堵塞微通道，溶解氧和异种金属可能腐蚀，微生物和乙二醇降解会改变液体性质；快接、软管和O形圈也会老化。项目需规定清洁度、过滤粒径、pH、电导率、缓蚀剂、冲洗和采样周期。Munters LCX公开采用25微米、99.98%过滤作为其产品设计指标之一。</w:t>
      </w:r>
    </w:p>
    <w:p w14:paraId="462E7CAB" w14:textId="77777777" w:rsidR="007B5C49" w:rsidRDefault="00000000">
      <w:r>
        <w:t>投运测试不能只开泵看有没有漏：应模拟最大负载阶跃、单泵/单CDU故障、阀门切换、断电恢复、低温结露、传感器失效和BMS/DCIM告警。液冷把热管理从“房间设施”变成服务器可用性系统。</w:t>
      </w:r>
    </w:p>
    <w:p w14:paraId="00718B6F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6B91F3B5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1EFED69A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完整热链</w:t>
            </w:r>
          </w:p>
          <w:p w14:paraId="317B8B0B" w14:textId="77777777" w:rsidR="007B5C49" w:rsidRDefault="00000000">
            <w:pPr>
              <w:spacing w:after="0" w:line="288" w:lineRule="auto"/>
            </w:pPr>
            <w:r>
              <w:t>芯片发热 → 冷板把热传给TCS → CDU隔离、泵送和控温 → FWS把热送到室外设备 → 气候和水资源决定最终排热方式 → 控制与冗余保证任一设备故障时GPU不降频停机。</w:t>
            </w:r>
          </w:p>
        </w:tc>
      </w:tr>
    </w:tbl>
    <w:p w14:paraId="593F4C9E" w14:textId="77777777" w:rsidR="007B5C49" w:rsidRDefault="007B5C49">
      <w:pPr>
        <w:spacing w:after="40"/>
      </w:pPr>
    </w:p>
    <w:p w14:paraId="6C6B342B" w14:textId="77777777" w:rsidR="007B5C49" w:rsidRDefault="00000000">
      <w:pPr>
        <w:pStyle w:val="QALabel"/>
      </w:pPr>
      <w:r>
        <w:t>来源</w:t>
      </w:r>
    </w:p>
    <w:p w14:paraId="67BD4F9A" w14:textId="77777777" w:rsidR="007B5C49" w:rsidRDefault="00000000">
      <w:pPr>
        <w:spacing w:after="80"/>
        <w:ind w:left="360" w:hanging="288"/>
      </w:pPr>
      <w:r>
        <w:rPr>
          <w:b/>
        </w:rPr>
        <w:t>• ASHRAE｜AI Data Center Framework</w:t>
      </w:r>
      <w:r>
        <w:t>：W17—W+温度等级与双环路</w:t>
      </w:r>
      <w:r>
        <w:rPr>
          <w:color w:val="1F4E79"/>
        </w:rPr>
        <w:br/>
        <w:t>https://www.ashrae.org/technical-resources/ai-data-center-framework/introduction-and-purpose</w:t>
      </w:r>
    </w:p>
    <w:p w14:paraId="64A3BC0E" w14:textId="77777777" w:rsidR="007B5C49" w:rsidRDefault="00000000">
      <w:pPr>
        <w:spacing w:after="80"/>
        <w:ind w:left="360" w:hanging="288"/>
      </w:pPr>
      <w:r>
        <w:rPr>
          <w:b/>
        </w:rPr>
        <w:t>• Schneider/Motivair｜MCDU-70</w:t>
      </w:r>
      <w:r>
        <w:t>：2.5MW与10MW+系统扩展</w:t>
      </w:r>
      <w:r>
        <w:rPr>
          <w:color w:val="1F4E79"/>
        </w:rPr>
        <w:br/>
        <w:t>https://www.se.com/us/en/about-us/newsroom/news/press-releases/motivair-by-schneider-electric-</w:t>
      </w:r>
      <w:r>
        <w:rPr>
          <w:color w:val="1F4E79"/>
        </w:rPr>
        <w:lastRenderedPageBreak/>
        <w:t>announces-new-cdu-with-capability-to-scale-to-10mw-and-beyond-for-next-gen-ai-factories-69705c3655f8517e99086bbd/</w:t>
      </w:r>
    </w:p>
    <w:p w14:paraId="7872619D" w14:textId="77777777" w:rsidR="007B5C49" w:rsidRDefault="00000000">
      <w:pPr>
        <w:spacing w:after="80"/>
        <w:ind w:left="360" w:hanging="288"/>
      </w:pPr>
      <w:r>
        <w:rPr>
          <w:b/>
        </w:rPr>
        <w:t>• Vertiv｜CoolChip portfolio</w:t>
      </w:r>
      <w:r>
        <w:t>：100kW—2.3MW与歧管</w:t>
      </w:r>
      <w:r>
        <w:rPr>
          <w:color w:val="1F4E79"/>
        </w:rPr>
        <w:br/>
        <w:t>https://www.vertiv.com/en-emea/about/news-and-events/news-releases/2026/vertiv-expands-liquid-cooling-portfolio-in-emea-to-accelerate-ai-ready-data-centre-deployments/</w:t>
      </w:r>
    </w:p>
    <w:p w14:paraId="5717BFE4" w14:textId="77777777" w:rsidR="007B5C49" w:rsidRDefault="00000000">
      <w:pPr>
        <w:spacing w:after="80"/>
        <w:ind w:left="360" w:hanging="288"/>
      </w:pPr>
      <w:r>
        <w:rPr>
          <w:b/>
        </w:rPr>
        <w:t>• Airedale by Modine｜Expanded CDU</w:t>
      </w:r>
      <w:r>
        <w:t>：400kW—2MW产品范围</w:t>
      </w:r>
      <w:r>
        <w:rPr>
          <w:color w:val="1F4E79"/>
        </w:rPr>
        <w:br/>
        <w:t>https://investors.modine.com/news/news-details/2025/Airedale-by-Modine-Unveils-Expanded-Capacities-for-Coolant-Distribution-Unit/default.aspx</w:t>
      </w:r>
    </w:p>
    <w:p w14:paraId="45297168" w14:textId="77777777" w:rsidR="007B5C49" w:rsidRDefault="00000000">
      <w:pPr>
        <w:spacing w:after="80"/>
        <w:ind w:left="360" w:hanging="288"/>
      </w:pPr>
      <w:r>
        <w:rPr>
          <w:b/>
        </w:rPr>
        <w:t>• Munters｜LCX CDU</w:t>
      </w:r>
      <w:r>
        <w:t>：500kW—1.5MW、过滤与订单</w:t>
      </w:r>
      <w:r>
        <w:rPr>
          <w:color w:val="1F4E79"/>
        </w:rPr>
        <w:br/>
        <w:t>https://www.munters.com/en-us/news-media/stories/2025/munters-advances-data-center-cooling-portfolio-with-lcx-liquid-to-liquid-coolant-distribution-units/</w:t>
      </w:r>
    </w:p>
    <w:p w14:paraId="61F08BFB" w14:textId="77777777" w:rsidR="007B5C49" w:rsidRDefault="00000000">
      <w:pPr>
        <w:spacing w:after="80"/>
        <w:ind w:left="360" w:hanging="288"/>
      </w:pPr>
      <w:r>
        <w:rPr>
          <w:b/>
        </w:rPr>
        <w:t>• Johnson Controls｜Silent-Aire CDU</w:t>
      </w:r>
      <w:r>
        <w:t>：500kW—10MW+平台</w:t>
      </w:r>
      <w:r>
        <w:rPr>
          <w:color w:val="1F4E79"/>
        </w:rPr>
        <w:br/>
        <w:t>https://www.johnsoncontrols.com/media-center/news/press-releases/2025/09/08/johnson-controls-expands-thermal-management-offering-with-scalable-liquid-cooling-solution-to-meet-t</w:t>
      </w:r>
    </w:p>
    <w:p w14:paraId="6436F6EB" w14:textId="77777777" w:rsidR="007B5C49" w:rsidRDefault="00000000">
      <w:pPr>
        <w:pStyle w:val="Heading1"/>
        <w:pageBreakBefore/>
      </w:pPr>
      <w:r>
        <w:lastRenderedPageBreak/>
        <w:t>Q29</w:t>
      </w:r>
      <w:r>
        <w:t>：散热产业链中哪些公司真正供货，谁掌握关键环节？</w:t>
      </w:r>
    </w:p>
    <w:p w14:paraId="2BAB944D" w14:textId="77777777" w:rsidR="007B5C49" w:rsidRDefault="00000000">
      <w:pPr>
        <w:pStyle w:val="QALabel"/>
      </w:pPr>
      <w:r>
        <w:t>通俗问题</w:t>
      </w:r>
    </w:p>
    <w:p w14:paraId="70651C45" w14:textId="77777777" w:rsidR="007B5C49" w:rsidRDefault="00000000">
      <w:r>
        <w:t>液冷概念公司很多，真正建设AI数据中心时，从冷板到冷却塔分别会向哪些企业采购？</w:t>
      </w:r>
    </w:p>
    <w:p w14:paraId="71FA7C26" w14:textId="77777777" w:rsidR="007B5C49" w:rsidRDefault="00000000">
      <w:pPr>
        <w:pStyle w:val="QALabel"/>
      </w:pPr>
      <w:r>
        <w:t>主要研究（专业）</w:t>
      </w:r>
    </w:p>
    <w:p w14:paraId="3179AC07" w14:textId="77777777" w:rsidR="007B5C49" w:rsidRDefault="00000000">
      <w:r>
        <w:t>芯片级冷却、CDU、机房空气系统、冷机、排热、控制、制造和服务的分层供应链。</w:t>
      </w:r>
    </w:p>
    <w:p w14:paraId="23C94383" w14:textId="77777777" w:rsidR="007B5C49" w:rsidRDefault="00000000">
      <w:pPr>
        <w:pStyle w:val="QALabel"/>
      </w:pPr>
      <w:r>
        <w:t>研究方向</w:t>
      </w:r>
    </w:p>
    <w:p w14:paraId="7B2FD08D" w14:textId="77777777" w:rsidR="007B5C49" w:rsidRDefault="00000000">
      <w:pPr>
        <w:pStyle w:val="ListBullet"/>
        <w:spacing w:after="80" w:line="288" w:lineRule="auto"/>
        <w:ind w:left="403" w:hanging="259"/>
      </w:pPr>
      <w:r>
        <w:t>逐家公司写产品位置和公开供货能力，不做缺少统一口径的份额排名。</w:t>
      </w:r>
    </w:p>
    <w:p w14:paraId="7460BADD" w14:textId="77777777" w:rsidR="007B5C49" w:rsidRDefault="00000000">
      <w:pPr>
        <w:pStyle w:val="ListBullet"/>
        <w:spacing w:after="80" w:line="288" w:lineRule="auto"/>
        <w:ind w:left="403" w:hanging="259"/>
      </w:pPr>
      <w:r>
        <w:t>识别并购和纵向整合如何改变竞争。</w:t>
      </w:r>
    </w:p>
    <w:p w14:paraId="3DEDA40D" w14:textId="77777777" w:rsidR="007B5C49" w:rsidRDefault="00000000">
      <w:pPr>
        <w:pStyle w:val="ListBullet"/>
        <w:spacing w:after="80" w:line="288" w:lineRule="auto"/>
        <w:ind w:left="403" w:hanging="259"/>
      </w:pPr>
      <w:r>
        <w:t>区分设备额定能力、订单金额、制造产能和客户部署。</w:t>
      </w:r>
    </w:p>
    <w:p w14:paraId="60BB52A0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0E8458B4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0D5D9E0B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5B84BE46" w14:textId="77777777" w:rsidR="007B5C49" w:rsidRDefault="00000000">
            <w:pPr>
              <w:spacing w:after="0" w:line="288" w:lineRule="auto"/>
            </w:pPr>
            <w:r>
              <w:t>行业正在从单设备采购转向“芯片到室外”的整链交付。Vertiv、Schneider/Motivair、Johnson Controls/Silent-Aire、Modine/Airedale和Munters可覆盖多个环节；CoolIT、GRC、Submer、ZutaCore、Accelsius等聚焦液冷技术；Carrier、Trane、Daikin、STULZ及传统冷机/空调厂继续掌握最终排热。真正壁垒是与GPU/OEM认证、批量制造、液体接口工程和全球服务同时具备。</w:t>
            </w:r>
          </w:p>
        </w:tc>
      </w:tr>
    </w:tbl>
    <w:p w14:paraId="064B99A2" w14:textId="77777777" w:rsidR="007B5C49" w:rsidRDefault="007B5C49">
      <w:pPr>
        <w:spacing w:after="40"/>
      </w:pPr>
    </w:p>
    <w:p w14:paraId="1D517DB9" w14:textId="77777777" w:rsidR="007B5C49" w:rsidRDefault="00000000">
      <w:pPr>
        <w:pStyle w:val="QALabel"/>
      </w:pPr>
      <w:r>
        <w:t>详细支撑</w:t>
      </w:r>
    </w:p>
    <w:p w14:paraId="5A50D994" w14:textId="77777777" w:rsidR="007B5C49" w:rsidRDefault="00000000">
      <w:pPr>
        <w:pStyle w:val="Heading2"/>
      </w:pPr>
      <w:r>
        <w:t xml:space="preserve">1. </w:t>
      </w:r>
      <w:r>
        <w:t>供应链必须按热量经过的环节看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0"/>
        <w:gridCol w:w="2800"/>
        <w:gridCol w:w="2600"/>
        <w:gridCol w:w="3700"/>
      </w:tblGrid>
      <w:tr w:rsidR="007B5C49" w14:paraId="37D5E327" w14:textId="77777777">
        <w:trPr>
          <w:tblHeader/>
          <w:jc w:val="center"/>
        </w:trPr>
        <w:tc>
          <w:tcPr>
            <w:tcW w:w="1700" w:type="dxa"/>
            <w:shd w:val="clear" w:color="auto" w:fill="D9EAF7"/>
          </w:tcPr>
          <w:p w14:paraId="6AB7E585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层级</w:t>
            </w:r>
          </w:p>
        </w:tc>
        <w:tc>
          <w:tcPr>
            <w:tcW w:w="2800" w:type="dxa"/>
            <w:shd w:val="clear" w:color="auto" w:fill="D9EAF7"/>
          </w:tcPr>
          <w:p w14:paraId="2BED0898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代表企业（非排名）</w:t>
            </w:r>
          </w:p>
        </w:tc>
        <w:tc>
          <w:tcPr>
            <w:tcW w:w="2600" w:type="dxa"/>
            <w:shd w:val="clear" w:color="auto" w:fill="D9EAF7"/>
          </w:tcPr>
          <w:p w14:paraId="3F6F6A90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主要产品/能力</w:t>
            </w:r>
          </w:p>
        </w:tc>
        <w:tc>
          <w:tcPr>
            <w:tcW w:w="3700" w:type="dxa"/>
            <w:shd w:val="clear" w:color="auto" w:fill="D9EAF7"/>
          </w:tcPr>
          <w:p w14:paraId="3057EAC2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采购关注点</w:t>
            </w:r>
          </w:p>
        </w:tc>
      </w:tr>
      <w:tr w:rsidR="007B5C49" w14:paraId="11F620F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3781E5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芯片/服务器液冷</w:t>
            </w:r>
          </w:p>
        </w:tc>
        <w:tc>
          <w:tcPr>
            <w:tcW w:w="2800" w:type="dxa"/>
            <w:vAlign w:val="center"/>
          </w:tcPr>
          <w:p w14:paraId="5231D5C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CoolIT、Motivair、ZutaCore、Accelsius及ODM</w:t>
            </w:r>
          </w:p>
        </w:tc>
        <w:tc>
          <w:tcPr>
            <w:tcW w:w="2600" w:type="dxa"/>
            <w:vAlign w:val="center"/>
          </w:tcPr>
          <w:p w14:paraId="5CE27CF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冷板、两相模块、歧管、快接</w:t>
            </w:r>
          </w:p>
        </w:tc>
        <w:tc>
          <w:tcPr>
            <w:tcW w:w="3700" w:type="dxa"/>
            <w:vAlign w:val="center"/>
          </w:tcPr>
          <w:p w14:paraId="77E11BD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GPU/OEM认证、材料兼容、良率</w:t>
            </w:r>
          </w:p>
        </w:tc>
      </w:tr>
      <w:tr w:rsidR="007B5C49" w14:paraId="716EF683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A5A473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CDU与液体网络</w:t>
            </w:r>
          </w:p>
        </w:tc>
        <w:tc>
          <w:tcPr>
            <w:tcW w:w="2800" w:type="dxa"/>
            <w:vAlign w:val="center"/>
          </w:tcPr>
          <w:p w14:paraId="646AF36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Vertiv、Schneider/Motivair、CoolIT、JCI、Airedale、Munters</w:t>
            </w:r>
          </w:p>
        </w:tc>
        <w:tc>
          <w:tcPr>
            <w:tcW w:w="2600" w:type="dxa"/>
            <w:vAlign w:val="center"/>
          </w:tcPr>
          <w:p w14:paraId="7607A76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液到液/液到空气CDU、泵、换热器、控制</w:t>
            </w:r>
          </w:p>
        </w:tc>
        <w:tc>
          <w:tcPr>
            <w:tcW w:w="3700" w:type="dxa"/>
            <w:vAlign w:val="center"/>
          </w:tcPr>
          <w:p w14:paraId="1EAD179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容量、压差、过滤、冗余、服务</w:t>
            </w:r>
          </w:p>
        </w:tc>
      </w:tr>
      <w:tr w:rsidR="007B5C49" w14:paraId="15D8FBD1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8F3E6B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浸没系统</w:t>
            </w:r>
          </w:p>
        </w:tc>
        <w:tc>
          <w:tcPr>
            <w:tcW w:w="2800" w:type="dxa"/>
            <w:vAlign w:val="center"/>
          </w:tcPr>
          <w:p w14:paraId="4FE5EBB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GRC、Submer及专业厂商</w:t>
            </w:r>
          </w:p>
        </w:tc>
        <w:tc>
          <w:tcPr>
            <w:tcW w:w="2600" w:type="dxa"/>
            <w:vAlign w:val="center"/>
          </w:tcPr>
          <w:p w14:paraId="4291B0E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槽体、介质循环、CDU、维护工具</w:t>
            </w:r>
          </w:p>
        </w:tc>
        <w:tc>
          <w:tcPr>
            <w:tcW w:w="3700" w:type="dxa"/>
            <w:vAlign w:val="center"/>
          </w:tcPr>
          <w:p w14:paraId="6A3BDEA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介质、服务器保修、运维生态</w:t>
            </w:r>
          </w:p>
        </w:tc>
      </w:tr>
      <w:tr w:rsidR="007B5C49" w14:paraId="497B2F89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40414A4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空气与房间冷却</w:t>
            </w:r>
          </w:p>
        </w:tc>
        <w:tc>
          <w:tcPr>
            <w:tcW w:w="2800" w:type="dxa"/>
            <w:vAlign w:val="center"/>
          </w:tcPr>
          <w:p w14:paraId="23CB7F5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Vertiv、STULZ、Munters、Silent-Aire、Airedale</w:t>
            </w:r>
          </w:p>
        </w:tc>
        <w:tc>
          <w:tcPr>
            <w:tcW w:w="2600" w:type="dxa"/>
            <w:vAlign w:val="center"/>
          </w:tcPr>
          <w:p w14:paraId="50E084D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CRAH、风机墙、蒸发/间接冷却</w:t>
            </w:r>
          </w:p>
        </w:tc>
        <w:tc>
          <w:tcPr>
            <w:tcW w:w="3700" w:type="dxa"/>
            <w:vAlign w:val="center"/>
          </w:tcPr>
          <w:p w14:paraId="505434D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残余热、气候、噪声、占地</w:t>
            </w:r>
          </w:p>
        </w:tc>
      </w:tr>
      <w:tr w:rsidR="007B5C49" w14:paraId="28744DCA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15DB6D0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冷机与室外排热</w:t>
            </w:r>
          </w:p>
        </w:tc>
        <w:tc>
          <w:tcPr>
            <w:tcW w:w="2800" w:type="dxa"/>
            <w:vAlign w:val="center"/>
          </w:tcPr>
          <w:p w14:paraId="1DF3036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Johnson Controls/York、Carrier、Trane、Daikin、Modine/Airedale、Munters</w:t>
            </w:r>
          </w:p>
        </w:tc>
        <w:tc>
          <w:tcPr>
            <w:tcW w:w="2600" w:type="dxa"/>
            <w:vAlign w:val="center"/>
          </w:tcPr>
          <w:p w14:paraId="0ED6806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冷水机、干冷器、冷却塔、热泵</w:t>
            </w:r>
          </w:p>
        </w:tc>
        <w:tc>
          <w:tcPr>
            <w:tcW w:w="3700" w:type="dxa"/>
            <w:vAlign w:val="center"/>
          </w:tcPr>
          <w:p w14:paraId="5608BE2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能效曲线、水、制冷剂、交期</w:t>
            </w:r>
          </w:p>
        </w:tc>
      </w:tr>
    </w:tbl>
    <w:p w14:paraId="10D913E1" w14:textId="77777777" w:rsidR="007B5C49" w:rsidRDefault="007B5C49">
      <w:pPr>
        <w:spacing w:after="40"/>
      </w:pPr>
    </w:p>
    <w:p w14:paraId="72DC5BE1" w14:textId="77777777" w:rsidR="007B5C49" w:rsidRDefault="00000000">
      <w:r>
        <w:t>同一公司可能跨多层，但不代表所有产品自制；板式换热器、泵、压缩机、风机、阀门和控制器仍来自更下游专业供应商。大型AI项目的系统集成商需要对整条热链性能负责，否则冷板、CDU和冷机分别达标，组合后仍可能流量不足。</w:t>
      </w:r>
    </w:p>
    <w:p w14:paraId="0ABDA8F9" w14:textId="77777777" w:rsidR="007B5C49" w:rsidRDefault="00000000">
      <w:pPr>
        <w:pStyle w:val="Heading2"/>
      </w:pPr>
      <w:r>
        <w:lastRenderedPageBreak/>
        <w:t>2. Vertiv</w:t>
      </w:r>
      <w:r>
        <w:t>以</w:t>
      </w:r>
      <w:r>
        <w:t>NVIDIA</w:t>
      </w:r>
      <w:r>
        <w:t>参考架构绑定当前</w:t>
      </w:r>
      <w:r>
        <w:t>Blackwell</w:t>
      </w:r>
      <w:r>
        <w:t>生态</w:t>
      </w:r>
    </w:p>
    <w:p w14:paraId="29081108" w14:textId="77777777" w:rsidR="007B5C49" w:rsidRDefault="00000000">
      <w:r>
        <w:t>Vertiv与NVIDIA共同发布GB200 NVL72最高132kW/柜、7MW参考架构，并在2026年把CoolChip CDU扩展到100kW—2.3MW，配套行级歧管、监控和混合冷却。其优势是同时提供电力和热管理，可围绕整厅交付；参考架构不等于Vertiv独家供货。</w:t>
      </w:r>
    </w:p>
    <w:p w14:paraId="358218B4" w14:textId="77777777" w:rsidR="007B5C49" w:rsidRDefault="00000000">
      <w:r>
        <w:t>2026年Vertiv MegaMod HDX提供最高10MW预制电力与液冷基础设施、支持50kW至100kW以上机柜，显示模块化机房也进入高密液冷。10MW是产品配置容量，不是已经签约的单一项目。</w:t>
      </w:r>
    </w:p>
    <w:p w14:paraId="5AFA7F17" w14:textId="77777777" w:rsidR="007B5C49" w:rsidRDefault="00000000">
      <w:pPr>
        <w:pStyle w:val="Heading2"/>
      </w:pPr>
      <w:r>
        <w:t>3. Schneider</w:t>
      </w:r>
      <w:r>
        <w:t>收购</w:t>
      </w:r>
      <w:r>
        <w:t>Motivair</w:t>
      </w:r>
      <w:r>
        <w:t>，形成从配电到冷板的组合</w:t>
      </w:r>
    </w:p>
    <w:p w14:paraId="56EA7D0E" w14:textId="77777777" w:rsidR="007B5C49" w:rsidRDefault="00000000">
      <w:r>
        <w:t>Schneider Electric在2025年2月完成Motivair控股权收购，随后发布包括105kW—2.5MW CDU、ChilledDoor、液到空气HDU、Dynamic冷板、冷机和TCS环路的组合。2026年MCDU-70达到2.5MW，中央控制组合可扩10MW以上。</w:t>
      </w:r>
    </w:p>
    <w:p w14:paraId="7CCC6AE8" w14:textId="77777777" w:rsidR="007B5C49" w:rsidRDefault="00000000">
      <w:r>
        <w:t>其战略意义在于将施耐德配电、自动化、数据中心基础设施与Motivair液冷结合，减少接口方数量。风险是客户仍需确认具体GPU认证、各地区制造和服务交期，不能用集团产品目录替代项目BOM。</w:t>
      </w:r>
    </w:p>
    <w:p w14:paraId="492E4AE7" w14:textId="77777777" w:rsidR="007B5C49" w:rsidRDefault="00000000">
      <w:pPr>
        <w:pStyle w:val="Heading2"/>
      </w:pPr>
      <w:r>
        <w:t>4. Johnson Controls</w:t>
      </w:r>
      <w:r>
        <w:t>、</w:t>
      </w:r>
      <w:r>
        <w:t>Modine</w:t>
      </w:r>
      <w:r>
        <w:t>和</w:t>
      </w:r>
      <w:r>
        <w:t>Munters</w:t>
      </w:r>
      <w:r>
        <w:t>从设施端向芯片靠近</w:t>
      </w:r>
    </w:p>
    <w:p w14:paraId="0FFC6D17" w14:textId="77777777" w:rsidR="007B5C49" w:rsidRDefault="00000000">
      <w:r>
        <w:t>Johnson Controls通过Silent-Aire CDU把范围扩展至500kW—10MW以上，并投资两相直接液冷公司Accelsius；同时拥有York冷机和全球楼宇服务。Modine/Airedale的标准CDU为400kW—2MW，2025年披露从一个AI基础设施开发商获得1.8亿美元冷却系统订单，交付跨2025年至2026年上半年。订单金额证明商业供货，不披露对应IT MW。</w:t>
      </w:r>
    </w:p>
    <w:p w14:paraId="61F1D7C8" w14:textId="77777777" w:rsidR="007B5C49" w:rsidRDefault="00000000">
      <w:r>
        <w:t>Munters LCX为500kW—1.5MW模块，并披露2024年11月获得约3.75亿瑞典克朗、约3500万美元的美国托管客户订单；公司还在Virginia扩产，数据中心冷却专用空间与Texas合计近70万平方英尺。订单、工厂面积和CDU额定MW是不同口径，不能相加为市场份额。</w:t>
      </w:r>
    </w:p>
    <w:p w14:paraId="15EFF7FD" w14:textId="77777777" w:rsidR="007B5C49" w:rsidRDefault="00000000">
      <w:pPr>
        <w:pStyle w:val="Heading2"/>
      </w:pPr>
      <w:r>
        <w:t>5. CoolIT</w:t>
      </w:r>
      <w:r>
        <w:t>和专业厂商的壁垒是靠近服务器接口</w:t>
      </w:r>
    </w:p>
    <w:p w14:paraId="320960B4" w14:textId="77777777" w:rsidR="007B5C49" w:rsidRDefault="00000000">
      <w:r>
        <w:t>CoolIT CHx2000 2025年已生产并全球出货，额定2MW；其冷板、歧管、CDU与服务器接口经验使其接近芯片和OEM。专业厂商可比综合设备商更快迭代，但全球安装服务、融资和大批量制造可能成为限制。</w:t>
      </w:r>
    </w:p>
    <w:p w14:paraId="2CCFB148" w14:textId="77777777" w:rsidR="007B5C49" w:rsidRDefault="00000000">
      <w:r>
        <w:t>投资判断应跟踪四项证据：是否进入芯片/OEM参考设计；是否有量产而非样机；是否披露可核订单或客户；是否在主要建设地区有服务与备件。单纯发布“可支持1MW机柜”的概念产品，不能证明收入和交付能力。</w:t>
      </w:r>
    </w:p>
    <w:p w14:paraId="36D0F378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278C7F46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0919140B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产业链整合</w:t>
            </w:r>
          </w:p>
          <w:p w14:paraId="2222AE7C" w14:textId="77777777" w:rsidR="007B5C49" w:rsidRDefault="00000000">
            <w:pPr>
              <w:spacing w:after="0" w:line="288" w:lineRule="auto"/>
            </w:pPr>
            <w:r>
              <w:t>AI机柜热量和交付速度上升 → 客户减少接口方并要求性能担保 → 配电/暖通巨头收购液冷能力 → 专业厂商以冷板和认证保持价值 → 竞争从单台设备性能转向量产、控制、调试和全球服务。</w:t>
            </w:r>
          </w:p>
        </w:tc>
      </w:tr>
    </w:tbl>
    <w:p w14:paraId="53FB6B0F" w14:textId="77777777" w:rsidR="007B5C49" w:rsidRDefault="007B5C49">
      <w:pPr>
        <w:spacing w:after="40"/>
      </w:pPr>
    </w:p>
    <w:p w14:paraId="6F46F4FD" w14:textId="77777777" w:rsidR="007B5C49" w:rsidRDefault="00000000">
      <w:pPr>
        <w:pStyle w:val="QALabel"/>
      </w:pPr>
      <w:r>
        <w:lastRenderedPageBreak/>
        <w:t>来源</w:t>
      </w:r>
    </w:p>
    <w:p w14:paraId="10318640" w14:textId="77777777" w:rsidR="007B5C49" w:rsidRDefault="00000000">
      <w:pPr>
        <w:spacing w:after="80"/>
        <w:ind w:left="360" w:hanging="288"/>
      </w:pPr>
      <w:r>
        <w:rPr>
          <w:b/>
        </w:rPr>
        <w:t>• Vertiv｜MegaMod HDX</w:t>
      </w:r>
      <w:r>
        <w:t>：最高10MW与机柜密度</w:t>
      </w:r>
      <w:r>
        <w:rPr>
          <w:color w:val="1F4E79"/>
        </w:rPr>
        <w:br/>
        <w:t>https://investors.vertiv.com/news/news-details/2026/Vertiv-Introduces-New-Modular-Liquid-Cooling-Infrastructure-Solution-to-Support-High-Density-Compute-Requirements-in-North-America-and-EMEA/default.aspx</w:t>
      </w:r>
    </w:p>
    <w:p w14:paraId="56F7EDC9" w14:textId="77777777" w:rsidR="007B5C49" w:rsidRDefault="00000000">
      <w:pPr>
        <w:spacing w:after="80"/>
        <w:ind w:left="360" w:hanging="288"/>
      </w:pPr>
      <w:r>
        <w:rPr>
          <w:b/>
        </w:rPr>
        <w:t>• Schneider Electric｜Liquid cooling portfolio</w:t>
      </w:r>
      <w:r>
        <w:t>：Motivair并购后组合</w:t>
      </w:r>
      <w:r>
        <w:rPr>
          <w:color w:val="1F4E79"/>
        </w:rPr>
        <w:br/>
        <w:t>https://www.se.com/it/it/about-us/newsroom/news/press-releases/schneider-electric-presenta-una-offerta-completa-per-il-liquid-cooling-che-comprende-soluzioni-e-servizi-motivair-per-i-carichi-di-lavoro-hpc-e-ai-68da74019bbaa2f62a00ca71/</w:t>
      </w:r>
    </w:p>
    <w:p w14:paraId="006A1C21" w14:textId="77777777" w:rsidR="007B5C49" w:rsidRDefault="00000000">
      <w:pPr>
        <w:spacing w:after="80"/>
        <w:ind w:left="360" w:hanging="288"/>
      </w:pPr>
      <w:r>
        <w:rPr>
          <w:b/>
        </w:rPr>
        <w:t>• Modine｜$180m cooling orders</w:t>
      </w:r>
      <w:r>
        <w:t>：订单额与交付期</w:t>
      </w:r>
      <w:r>
        <w:rPr>
          <w:color w:val="1F4E79"/>
        </w:rPr>
        <w:br/>
        <w:t>https://investors.modine.com/news/news-details/2025/Modine-Secures-180-Million-in-Orders-for-Data-Center-Cooling-Systems/default.aspx</w:t>
      </w:r>
    </w:p>
    <w:p w14:paraId="01C5C4E1" w14:textId="77777777" w:rsidR="007B5C49" w:rsidRDefault="00000000">
      <w:pPr>
        <w:spacing w:after="80"/>
        <w:ind w:left="360" w:hanging="288"/>
      </w:pPr>
      <w:r>
        <w:rPr>
          <w:b/>
        </w:rPr>
        <w:t>• Munters｜LCX CDU</w:t>
      </w:r>
      <w:r>
        <w:t>：产品范围与MSEK375订单</w:t>
      </w:r>
      <w:r>
        <w:rPr>
          <w:color w:val="1F4E79"/>
        </w:rPr>
        <w:br/>
        <w:t>https://www.munters.com/en-us/news-media/stories/2025/munters-advances-data-center-cooling-portfolio-with-lcx-liquid-to-liquid-coolant-distribution-units/</w:t>
      </w:r>
    </w:p>
    <w:p w14:paraId="1B1EA9A2" w14:textId="77777777" w:rsidR="007B5C49" w:rsidRDefault="00000000">
      <w:pPr>
        <w:spacing w:after="80"/>
        <w:ind w:left="360" w:hanging="288"/>
      </w:pPr>
      <w:r>
        <w:rPr>
          <w:b/>
        </w:rPr>
        <w:t>• CoolIT｜CHx2000</w:t>
      </w:r>
      <w:r>
        <w:t>：2MW产品与量产状态</w:t>
      </w:r>
      <w:r>
        <w:rPr>
          <w:color w:val="1F4E79"/>
        </w:rPr>
        <w:br/>
        <w:t>https://www.coolitsystems.com/resources/news/coolit-systems-announces-further-breakthroughs-in-row-based-coolant-distribution-unit-performance/</w:t>
      </w:r>
    </w:p>
    <w:p w14:paraId="025E6C2E" w14:textId="77777777" w:rsidR="007B5C49" w:rsidRDefault="00000000">
      <w:pPr>
        <w:pStyle w:val="Heading1"/>
        <w:pageBreakBefore/>
      </w:pPr>
      <w:r>
        <w:lastRenderedPageBreak/>
        <w:t>Q30</w:t>
      </w:r>
      <w:r>
        <w:t>：不同气候下</w:t>
      </w:r>
      <w:r>
        <w:t>PUE</w:t>
      </w:r>
      <w:r>
        <w:t>、</w:t>
      </w:r>
      <w:r>
        <w:t>WUE</w:t>
      </w:r>
      <w:r>
        <w:t>、成本与用水应该怎样权衡？</w:t>
      </w:r>
    </w:p>
    <w:p w14:paraId="7B68CE00" w14:textId="77777777" w:rsidR="007B5C49" w:rsidRDefault="00000000">
      <w:pPr>
        <w:pStyle w:val="QALabel"/>
      </w:pPr>
      <w:r>
        <w:t>通俗问题</w:t>
      </w:r>
    </w:p>
    <w:p w14:paraId="7EB3E1C7" w14:textId="77777777" w:rsidR="007B5C49" w:rsidRDefault="00000000">
      <w:r>
        <w:t>为什么“最省水”的冷却方案可能更费电，“最低PUE”又可能更耗水？在Phoenix、新加坡和北欧应该如何选择？</w:t>
      </w:r>
    </w:p>
    <w:p w14:paraId="55E98D8C" w14:textId="77777777" w:rsidR="007B5C49" w:rsidRDefault="00000000">
      <w:pPr>
        <w:pStyle w:val="QALabel"/>
      </w:pPr>
      <w:r>
        <w:t>主要研究（专业）</w:t>
      </w:r>
    </w:p>
    <w:p w14:paraId="7BE8103E" w14:textId="77777777" w:rsidR="007B5C49" w:rsidRDefault="00000000">
      <w:r>
        <w:t>以年度气象、IT水温、蒸发/机械排热和当地水电碳强度评价PUE、WUE与全生命周期成本。</w:t>
      </w:r>
    </w:p>
    <w:p w14:paraId="10C4194E" w14:textId="77777777" w:rsidR="007B5C49" w:rsidRDefault="00000000">
      <w:pPr>
        <w:pStyle w:val="QALabel"/>
      </w:pPr>
      <w:r>
        <w:t>研究方向</w:t>
      </w:r>
    </w:p>
    <w:p w14:paraId="4E0B85B3" w14:textId="77777777" w:rsidR="007B5C49" w:rsidRDefault="00000000">
      <w:pPr>
        <w:pStyle w:val="ListBullet"/>
        <w:spacing w:after="80" w:line="288" w:lineRule="auto"/>
        <w:ind w:left="403" w:hanging="259"/>
      </w:pPr>
      <w:r>
        <w:t>用统一1GW IT负载情景量化PUE和WUE差异。</w:t>
      </w:r>
    </w:p>
    <w:p w14:paraId="2B14FEFE" w14:textId="77777777" w:rsidR="007B5C49" w:rsidRDefault="00000000">
      <w:pPr>
        <w:pStyle w:val="ListBullet"/>
        <w:spacing w:after="80" w:line="288" w:lineRule="auto"/>
        <w:ind w:left="403" w:hanging="259"/>
      </w:pPr>
      <w:r>
        <w:t>区分取水、消耗水、回用水和补水承诺。</w:t>
      </w:r>
    </w:p>
    <w:p w14:paraId="5F871D61" w14:textId="77777777" w:rsidR="007B5C49" w:rsidRDefault="00000000">
      <w:pPr>
        <w:pStyle w:val="ListBullet"/>
        <w:spacing w:after="80" w:line="288" w:lineRule="auto"/>
        <w:ind w:left="403" w:hanging="259"/>
      </w:pPr>
      <w:r>
        <w:t>比较干热、湿热、温带和寒冷气候的最优方案。</w:t>
      </w:r>
    </w:p>
    <w:p w14:paraId="5D7EFA89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531BEF20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6B5E53FA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1CC8817A" w14:textId="77777777" w:rsidR="007B5C49" w:rsidRDefault="00000000">
            <w:pPr>
              <w:spacing w:after="0" w:line="288" w:lineRule="auto"/>
            </w:pPr>
            <w:r>
              <w:t>没有全球最优冷却。蒸发冷却通常降低压缩机用电却消耗水；干冷或风冷冷机可把现场蒸发水降到接近零，却可能提高炎热天气PUE。更高的液冷供水温度能增加自然冷却小时数，同时降低水电消耗。正确选择应以逐小时气象、流域水压力、电价/碳强度和芯片允许温度计算，而不是只追求一个PUE或WUE。</w:t>
            </w:r>
          </w:p>
        </w:tc>
      </w:tr>
    </w:tbl>
    <w:p w14:paraId="71B1753D" w14:textId="77777777" w:rsidR="007B5C49" w:rsidRDefault="007B5C49">
      <w:pPr>
        <w:spacing w:after="40"/>
      </w:pPr>
    </w:p>
    <w:p w14:paraId="3FEBA477" w14:textId="77777777" w:rsidR="007B5C49" w:rsidRDefault="00000000">
      <w:pPr>
        <w:pStyle w:val="QALabel"/>
      </w:pPr>
      <w:r>
        <w:t>详细支撑</w:t>
      </w:r>
    </w:p>
    <w:p w14:paraId="4E113415" w14:textId="77777777" w:rsidR="007B5C49" w:rsidRDefault="00000000">
      <w:pPr>
        <w:pStyle w:val="Heading2"/>
      </w:pPr>
      <w:r>
        <w:t>1. PUE</w:t>
      </w:r>
      <w:r>
        <w:t>和</w:t>
      </w:r>
      <w:r>
        <w:t>WUE</w:t>
      </w:r>
      <w:r>
        <w:t>回答的是两个不同问题</w:t>
      </w:r>
    </w:p>
    <w:p w14:paraId="0507F514" w14:textId="77777777" w:rsidR="007B5C49" w:rsidRDefault="00000000">
      <w:r>
        <w:t>PUE=设施总用电/IT设备用电；1.0为理论下限。WUE通常=冷却和加湿年耗水/IT设备年用电，单位L/kWh。PUE低可能来自冷却塔蒸发，WUE高；零蒸发冷却可能增加压缩机和风机电力，PUE上升。企业“water positive”通过流域补水项目抵消或超过消耗，不等于每个园区现场不用水。</w:t>
      </w:r>
    </w:p>
    <w:p w14:paraId="1D51C5E0" w14:textId="77777777" w:rsidR="007B5C49" w:rsidRDefault="00000000">
      <w:r>
        <w:t>AWS披露2024年全球数据中心PUE为1.15，并称2024年底完成2030 water positive目标的53%；Google称2025年补水约77亿加仑、相当于其总淡水消耗78%。两家公司口径分别是全球运营效率与组合补水进度，不能据此判断某个具体AI园区冷却方式。</w:t>
      </w:r>
    </w:p>
    <w:p w14:paraId="6520F265" w14:textId="77777777" w:rsidR="007B5C49" w:rsidRDefault="00000000">
      <w:pPr>
        <w:pStyle w:val="Heading2"/>
      </w:pPr>
      <w:r>
        <w:t>2. 1GW</w:t>
      </w:r>
      <w:r>
        <w:t>情景显示小幅</w:t>
      </w:r>
      <w:r>
        <w:t>PUE</w:t>
      </w:r>
      <w:r>
        <w:t>差异会转化为巨量电力</w:t>
      </w:r>
    </w:p>
    <w:p w14:paraId="3C000C98" w14:textId="77777777" w:rsidR="007B5C49" w:rsidRDefault="00000000">
      <w:r>
        <w:t>假设IT负载1GW、90%平均利用率，IT年电量为7.884TWh。若PUE 1.10，设施年用电8.672TWh；PUE 1.20为9.461TWh；PUE 1.30为10.249TWh。PUE每提高0.10，年增电约0.788TWh，平均额外设施功率约90MW。</w:t>
      </w:r>
    </w:p>
    <w:p w14:paraId="68EFFF61" w14:textId="77777777" w:rsidR="007B5C49" w:rsidRDefault="00000000">
      <w:r>
        <w:lastRenderedPageBreak/>
        <w:t>若WUE为0.27 L/kWh，年现场耗水约21.3亿升、日均约583万升；WUE 0.50对应39.4亿升、日均约1,080万升；WUE 2.0对应157.7亿升、日均约4,320万升。这里WUE分母为IT电量，数字是情景推算，不是任何具体公司园区预测。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1900"/>
        <w:gridCol w:w="2500"/>
        <w:gridCol w:w="3700"/>
      </w:tblGrid>
      <w:tr w:rsidR="007B5C49" w14:paraId="54F459FD" w14:textId="77777777">
        <w:trPr>
          <w:tblHeader/>
          <w:jc w:val="center"/>
        </w:trPr>
        <w:tc>
          <w:tcPr>
            <w:tcW w:w="2500" w:type="dxa"/>
            <w:shd w:val="clear" w:color="auto" w:fill="D9EAF7"/>
          </w:tcPr>
          <w:p w14:paraId="5A25161C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1GW IT、90%利用率情景</w:t>
            </w:r>
          </w:p>
        </w:tc>
        <w:tc>
          <w:tcPr>
            <w:tcW w:w="1900" w:type="dxa"/>
            <w:shd w:val="clear" w:color="auto" w:fill="D9EAF7"/>
          </w:tcPr>
          <w:p w14:paraId="5BCE2343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w="2500" w:type="dxa"/>
            <w:shd w:val="clear" w:color="auto" w:fill="D9EAF7"/>
          </w:tcPr>
          <w:p w14:paraId="0E2B9B2F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年结果</w:t>
            </w:r>
          </w:p>
        </w:tc>
        <w:tc>
          <w:tcPr>
            <w:tcW w:w="3700" w:type="dxa"/>
            <w:shd w:val="clear" w:color="auto" w:fill="D9EAF7"/>
          </w:tcPr>
          <w:p w14:paraId="39ED0562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口径说明</w:t>
            </w:r>
          </w:p>
        </w:tc>
      </w:tr>
      <w:tr w:rsidR="007B5C49" w14:paraId="6D671A2D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3D2D338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PUE 1.10</w:t>
            </w:r>
          </w:p>
        </w:tc>
        <w:tc>
          <w:tcPr>
            <w:tcW w:w="1900" w:type="dxa"/>
            <w:vAlign w:val="center"/>
          </w:tcPr>
          <w:p w14:paraId="0A1D814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设施总电量</w:t>
            </w:r>
          </w:p>
        </w:tc>
        <w:tc>
          <w:tcPr>
            <w:tcW w:w="2500" w:type="dxa"/>
            <w:vAlign w:val="center"/>
          </w:tcPr>
          <w:p w14:paraId="28F4669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约8.672TWh</w:t>
            </w:r>
          </w:p>
        </w:tc>
        <w:tc>
          <w:tcPr>
            <w:tcW w:w="3700" w:type="dxa"/>
            <w:vAlign w:val="center"/>
          </w:tcPr>
          <w:p w14:paraId="43108FB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含IT 7.884TWh</w:t>
            </w:r>
          </w:p>
        </w:tc>
      </w:tr>
      <w:tr w:rsidR="007B5C49" w14:paraId="38E5E05A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27642C5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PUE 1.20</w:t>
            </w:r>
          </w:p>
        </w:tc>
        <w:tc>
          <w:tcPr>
            <w:tcW w:w="1900" w:type="dxa"/>
            <w:vAlign w:val="center"/>
          </w:tcPr>
          <w:p w14:paraId="49066A3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设施总电量</w:t>
            </w:r>
          </w:p>
        </w:tc>
        <w:tc>
          <w:tcPr>
            <w:tcW w:w="2500" w:type="dxa"/>
            <w:vAlign w:val="center"/>
          </w:tcPr>
          <w:p w14:paraId="16257A9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约9.461TWh</w:t>
            </w:r>
          </w:p>
        </w:tc>
        <w:tc>
          <w:tcPr>
            <w:tcW w:w="3700" w:type="dxa"/>
            <w:vAlign w:val="center"/>
          </w:tcPr>
          <w:p w14:paraId="36DC34E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较1.10多约0.788TWh</w:t>
            </w:r>
          </w:p>
        </w:tc>
      </w:tr>
      <w:tr w:rsidR="007B5C49" w14:paraId="0BF4ECB4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65DCA82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PUE 1.30</w:t>
            </w:r>
          </w:p>
        </w:tc>
        <w:tc>
          <w:tcPr>
            <w:tcW w:w="1900" w:type="dxa"/>
            <w:vAlign w:val="center"/>
          </w:tcPr>
          <w:p w14:paraId="5D2B904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设施总电量</w:t>
            </w:r>
          </w:p>
        </w:tc>
        <w:tc>
          <w:tcPr>
            <w:tcW w:w="2500" w:type="dxa"/>
            <w:vAlign w:val="center"/>
          </w:tcPr>
          <w:p w14:paraId="6B4A986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约10.249TWh</w:t>
            </w:r>
          </w:p>
        </w:tc>
        <w:tc>
          <w:tcPr>
            <w:tcW w:w="3700" w:type="dxa"/>
            <w:vAlign w:val="center"/>
          </w:tcPr>
          <w:p w14:paraId="27C6AD5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较1.20再多约0.788TWh</w:t>
            </w:r>
          </w:p>
        </w:tc>
      </w:tr>
      <w:tr w:rsidR="007B5C49" w14:paraId="520E724A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4E295FC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WUE 0.27</w:t>
            </w:r>
          </w:p>
        </w:tc>
        <w:tc>
          <w:tcPr>
            <w:tcW w:w="1900" w:type="dxa"/>
            <w:vAlign w:val="center"/>
          </w:tcPr>
          <w:p w14:paraId="244D0DF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现场年耗水</w:t>
            </w:r>
          </w:p>
        </w:tc>
        <w:tc>
          <w:tcPr>
            <w:tcW w:w="2500" w:type="dxa"/>
            <w:vAlign w:val="center"/>
          </w:tcPr>
          <w:p w14:paraId="3B1DBC6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约21.3亿升</w:t>
            </w:r>
          </w:p>
        </w:tc>
        <w:tc>
          <w:tcPr>
            <w:tcW w:w="3700" w:type="dxa"/>
            <w:vAlign w:val="center"/>
          </w:tcPr>
          <w:p w14:paraId="7ED1CF6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约583万升/日</w:t>
            </w:r>
          </w:p>
        </w:tc>
      </w:tr>
      <w:tr w:rsidR="007B5C49" w14:paraId="11C0B38D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0F4372D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WUE 0.50</w:t>
            </w:r>
          </w:p>
        </w:tc>
        <w:tc>
          <w:tcPr>
            <w:tcW w:w="1900" w:type="dxa"/>
            <w:vAlign w:val="center"/>
          </w:tcPr>
          <w:p w14:paraId="2999D33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现场年耗水</w:t>
            </w:r>
          </w:p>
        </w:tc>
        <w:tc>
          <w:tcPr>
            <w:tcW w:w="2500" w:type="dxa"/>
            <w:vAlign w:val="center"/>
          </w:tcPr>
          <w:p w14:paraId="0D498DE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约39.4亿升</w:t>
            </w:r>
          </w:p>
        </w:tc>
        <w:tc>
          <w:tcPr>
            <w:tcW w:w="3700" w:type="dxa"/>
            <w:vAlign w:val="center"/>
          </w:tcPr>
          <w:p w14:paraId="59D66A8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约1,080万升/日</w:t>
            </w:r>
          </w:p>
        </w:tc>
      </w:tr>
      <w:tr w:rsidR="007B5C49" w14:paraId="5C09AA17" w14:textId="77777777">
        <w:trPr>
          <w:cantSplit/>
          <w:jc w:val="center"/>
        </w:trPr>
        <w:tc>
          <w:tcPr>
            <w:tcW w:w="2500" w:type="dxa"/>
            <w:vAlign w:val="center"/>
          </w:tcPr>
          <w:p w14:paraId="28B4F62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WUE 2.00</w:t>
            </w:r>
          </w:p>
        </w:tc>
        <w:tc>
          <w:tcPr>
            <w:tcW w:w="1900" w:type="dxa"/>
            <w:vAlign w:val="center"/>
          </w:tcPr>
          <w:p w14:paraId="4153E60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现场年耗水</w:t>
            </w:r>
          </w:p>
        </w:tc>
        <w:tc>
          <w:tcPr>
            <w:tcW w:w="2500" w:type="dxa"/>
            <w:vAlign w:val="center"/>
          </w:tcPr>
          <w:p w14:paraId="4AAD36D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约157.7亿升</w:t>
            </w:r>
          </w:p>
        </w:tc>
        <w:tc>
          <w:tcPr>
            <w:tcW w:w="3700" w:type="dxa"/>
            <w:vAlign w:val="center"/>
          </w:tcPr>
          <w:p w14:paraId="721CF5A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约4,320万升/日</w:t>
            </w:r>
          </w:p>
        </w:tc>
      </w:tr>
    </w:tbl>
    <w:p w14:paraId="79CF0FB1" w14:textId="77777777" w:rsidR="007B5C49" w:rsidRDefault="007B5C49">
      <w:pPr>
        <w:spacing w:after="40"/>
      </w:pPr>
    </w:p>
    <w:p w14:paraId="1799E341" w14:textId="77777777" w:rsidR="007B5C49" w:rsidRDefault="00000000">
      <w:pPr>
        <w:pStyle w:val="Heading2"/>
      </w:pPr>
      <w:r>
        <w:t>3. Microsoft</w:t>
      </w:r>
      <w:r>
        <w:t>给出了水电权衡的透明实例</w:t>
      </w:r>
    </w:p>
    <w:p w14:paraId="05AFE1F3" w14:textId="77777777" w:rsidR="007B5C49" w:rsidRDefault="00000000">
      <w:r>
        <w:t>Microsoft 2026年披露其全球平均WUE从早期2.3 L/kWh降至2025年0.27 L/kWh，约90%的自有设施采用低水或零水冷却。公司按气候披露直接空气冷却需要蒸发辅助的时间：北欧部分地区全年无需，Dublin/Amsterdam低于5%，Virginia约10%，Phoenix最高约40%。</w:t>
      </w:r>
    </w:p>
    <w:p w14:paraId="477BD6A2" w14:textId="77777777" w:rsidR="007B5C49" w:rsidRDefault="00000000">
      <w:r>
        <w:t>其2024年起的新设计采用闭环直接到芯片和风冷冷水机，运营冷却不蒸发水，单个设施每年预计避免超过1.25亿升水；Phoenix与Wisconsin项目在2026年试点。公司同时明确，替代蒸发系统会提高PUE，但温水液冷和高效自然冷却冷机使全年能耗只名义增加。这是公司设计评估，不可直接外推不同规模和气候项目。</w:t>
      </w:r>
    </w:p>
    <w:p w14:paraId="74E5D6E5" w14:textId="77777777" w:rsidR="007B5C49" w:rsidRDefault="00000000">
      <w:pPr>
        <w:pStyle w:val="Heading2"/>
      </w:pPr>
      <w:r>
        <w:t xml:space="preserve">4. </w:t>
      </w:r>
      <w:r>
        <w:t>四类气候对应不同最优解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2800"/>
        <w:gridCol w:w="2800"/>
        <w:gridCol w:w="3000"/>
      </w:tblGrid>
      <w:tr w:rsidR="007B5C49" w14:paraId="4977EC99" w14:textId="77777777">
        <w:trPr>
          <w:tblHeader/>
          <w:jc w:val="center"/>
        </w:trPr>
        <w:tc>
          <w:tcPr>
            <w:tcW w:w="2100" w:type="dxa"/>
            <w:shd w:val="clear" w:color="auto" w:fill="D9EAF7"/>
          </w:tcPr>
          <w:p w14:paraId="30720B6C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气候/示例</w:t>
            </w:r>
          </w:p>
        </w:tc>
        <w:tc>
          <w:tcPr>
            <w:tcW w:w="2800" w:type="dxa"/>
            <w:shd w:val="clear" w:color="auto" w:fill="D9EAF7"/>
          </w:tcPr>
          <w:p w14:paraId="222D0E38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有利方案</w:t>
            </w:r>
          </w:p>
        </w:tc>
        <w:tc>
          <w:tcPr>
            <w:tcW w:w="2800" w:type="dxa"/>
            <w:shd w:val="clear" w:color="auto" w:fill="D9EAF7"/>
          </w:tcPr>
          <w:p w14:paraId="358747F8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主要矛盾</w:t>
            </w:r>
          </w:p>
        </w:tc>
        <w:tc>
          <w:tcPr>
            <w:tcW w:w="3000" w:type="dxa"/>
            <w:shd w:val="clear" w:color="auto" w:fill="D9EAF7"/>
          </w:tcPr>
          <w:p w14:paraId="21E0D5D4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设计重点</w:t>
            </w:r>
          </w:p>
        </w:tc>
      </w:tr>
      <w:tr w:rsidR="007B5C49" w14:paraId="54897BCB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18BC877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寒冷/北欧</w:t>
            </w:r>
          </w:p>
        </w:tc>
        <w:tc>
          <w:tcPr>
            <w:tcW w:w="2800" w:type="dxa"/>
            <w:vAlign w:val="center"/>
          </w:tcPr>
          <w:p w14:paraId="13A5D0E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高温水液冷+干冷/自然冷却</w:t>
            </w:r>
          </w:p>
        </w:tc>
        <w:tc>
          <w:tcPr>
            <w:tcW w:w="2800" w:type="dxa"/>
            <w:vAlign w:val="center"/>
          </w:tcPr>
          <w:p w14:paraId="5B4CCEC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冬季冻结、余热需求是否存在</w:t>
            </w:r>
          </w:p>
        </w:tc>
        <w:tc>
          <w:tcPr>
            <w:tcW w:w="3000" w:type="dxa"/>
            <w:vAlign w:val="center"/>
          </w:tcPr>
          <w:p w14:paraId="2CA517A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提高供水温度、热回收</w:t>
            </w:r>
          </w:p>
        </w:tc>
      </w:tr>
      <w:tr w:rsidR="007B5C49" w14:paraId="0333C216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395F0CF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温带/Virginia</w:t>
            </w:r>
          </w:p>
        </w:tc>
        <w:tc>
          <w:tcPr>
            <w:tcW w:w="2800" w:type="dxa"/>
            <w:vAlign w:val="center"/>
          </w:tcPr>
          <w:p w14:paraId="0E80262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混合干冷+少量蒸发辅助</w:t>
            </w:r>
          </w:p>
        </w:tc>
        <w:tc>
          <w:tcPr>
            <w:tcW w:w="2800" w:type="dxa"/>
            <w:vAlign w:val="center"/>
          </w:tcPr>
          <w:p w14:paraId="6543C31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季节切换和电网峰值</w:t>
            </w:r>
          </w:p>
        </w:tc>
        <w:tc>
          <w:tcPr>
            <w:tcW w:w="3000" w:type="dxa"/>
            <w:vAlign w:val="center"/>
          </w:tcPr>
          <w:p w14:paraId="73A1046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逐小时优化、回用水</w:t>
            </w:r>
          </w:p>
        </w:tc>
      </w:tr>
      <w:tr w:rsidR="007B5C49" w14:paraId="41DBFAF8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73A97C7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干热/Phoenix</w:t>
            </w:r>
          </w:p>
        </w:tc>
        <w:tc>
          <w:tcPr>
            <w:tcW w:w="2800" w:type="dxa"/>
            <w:vAlign w:val="center"/>
          </w:tcPr>
          <w:p w14:paraId="4818BD1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闭环液冷+干冷/风冷冷机或受控蒸发</w:t>
            </w:r>
          </w:p>
        </w:tc>
        <w:tc>
          <w:tcPr>
            <w:tcW w:w="2800" w:type="dxa"/>
            <w:vAlign w:val="center"/>
          </w:tcPr>
          <w:p w14:paraId="781B26A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水稀缺与夏季电耗冲突</w:t>
            </w:r>
          </w:p>
        </w:tc>
        <w:tc>
          <w:tcPr>
            <w:tcW w:w="3000" w:type="dxa"/>
            <w:vAlign w:val="center"/>
          </w:tcPr>
          <w:p w14:paraId="44A67B7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高温设计、储能、再生水</w:t>
            </w:r>
          </w:p>
        </w:tc>
      </w:tr>
      <w:tr w:rsidR="007B5C49" w14:paraId="253A89C2" w14:textId="77777777">
        <w:trPr>
          <w:cantSplit/>
          <w:jc w:val="center"/>
        </w:trPr>
        <w:tc>
          <w:tcPr>
            <w:tcW w:w="2100" w:type="dxa"/>
            <w:vAlign w:val="center"/>
          </w:tcPr>
          <w:p w14:paraId="2F37DB6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湿热/Singapore/Johor</w:t>
            </w:r>
          </w:p>
        </w:tc>
        <w:tc>
          <w:tcPr>
            <w:tcW w:w="2800" w:type="dxa"/>
            <w:vAlign w:val="center"/>
          </w:tcPr>
          <w:p w14:paraId="0CE8DA0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液冷+高效机械排热</w:t>
            </w:r>
          </w:p>
        </w:tc>
        <w:tc>
          <w:tcPr>
            <w:tcW w:w="2800" w:type="dxa"/>
            <w:vAlign w:val="center"/>
          </w:tcPr>
          <w:p w14:paraId="5C022A8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湿球温度高，自然冷却小时少</w:t>
            </w:r>
          </w:p>
        </w:tc>
        <w:tc>
          <w:tcPr>
            <w:tcW w:w="3000" w:type="dxa"/>
            <w:vAlign w:val="center"/>
          </w:tcPr>
          <w:p w14:paraId="5A27001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冷机部分负荷效率、用水与防腐</w:t>
            </w:r>
          </w:p>
        </w:tc>
      </w:tr>
    </w:tbl>
    <w:p w14:paraId="51C39B70" w14:textId="77777777" w:rsidR="007B5C49" w:rsidRDefault="007B5C49">
      <w:pPr>
        <w:spacing w:after="40"/>
      </w:pPr>
    </w:p>
    <w:p w14:paraId="582EE7DC" w14:textId="77777777" w:rsidR="007B5C49" w:rsidRDefault="00000000">
      <w:r>
        <w:t>寒冷地区不是自动零成本：低温防冻、白雾、噪声和热回收用户距离都影响方案。干热地区蒸发效率高但水价值高；湿热地区蒸发和干冷温差都不理想，更依赖机械制冷。报告应使用ASHRAE逐小时气象而非城市年平均温度。</w:t>
      </w:r>
    </w:p>
    <w:p w14:paraId="1A81CA67" w14:textId="77777777" w:rsidR="007B5C49" w:rsidRDefault="00000000">
      <w:pPr>
        <w:pStyle w:val="Heading2"/>
      </w:pPr>
      <w:r>
        <w:t xml:space="preserve">5. </w:t>
      </w:r>
      <w:r>
        <w:t>最终比较应采用</w:t>
      </w:r>
      <w:r>
        <w:t>“</w:t>
      </w:r>
      <w:r>
        <w:t>单位有效计算</w:t>
      </w:r>
      <w:r>
        <w:t>”</w:t>
      </w:r>
      <w:r>
        <w:t>的总成本</w:t>
      </w:r>
    </w:p>
    <w:p w14:paraId="003E7EFB" w14:textId="77777777" w:rsidR="007B5C49" w:rsidRDefault="00000000">
      <w:r>
        <w:t>设施层指标还需与IT性能相连。如果过高进水温度导致GPU降频，PUE看似改善但训练时间变长；如果低温冷机让芯片持续高频，电力增加可能被更高产出抵消。建议指标是完成同一模型训练或输出同质量token所需的设施总kWh、耗水、资本和停机风险。</w:t>
      </w:r>
    </w:p>
    <w:p w14:paraId="789A0114" w14:textId="77777777" w:rsidR="007B5C49" w:rsidRDefault="00000000">
      <w:r>
        <w:t>水也要看流域和来源：同样100万升，在丰水期回用污水与干旱流域饮用水的社会成本不同。取水量、消耗量、排放水和补水项目应分别报告；WUE不能替代水许可和旱年可靠性分析。</w:t>
      </w:r>
    </w:p>
    <w:p w14:paraId="47284850" w14:textId="77777777" w:rsidR="007B5C49" w:rsidRDefault="00000000">
      <w:pPr>
        <w:pStyle w:val="QALabel"/>
      </w:pPr>
      <w:r>
        <w:lastRenderedPageBreak/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56BBEE68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6F6B0A70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水电优化</w:t>
            </w:r>
          </w:p>
          <w:p w14:paraId="787C61AC" w14:textId="77777777" w:rsidR="007B5C49" w:rsidRDefault="00000000">
            <w:pPr>
              <w:spacing w:after="0" w:line="288" w:lineRule="auto"/>
            </w:pPr>
            <w:r>
              <w:t>气候与流域决定干球/湿球和水价值 → 芯片允许水温决定自然冷却小时 → 排热方式决定PUE与WUE → 电价、碳强度和回用水决定运营成本 → 加入GPU性能和可靠性 → 得到单位有效计算的全生命周期最优方案。</w:t>
            </w:r>
          </w:p>
        </w:tc>
      </w:tr>
    </w:tbl>
    <w:p w14:paraId="02B5ED6B" w14:textId="77777777" w:rsidR="007B5C49" w:rsidRDefault="007B5C49">
      <w:pPr>
        <w:spacing w:after="40"/>
      </w:pPr>
    </w:p>
    <w:p w14:paraId="1861C8FD" w14:textId="77777777" w:rsidR="007B5C49" w:rsidRDefault="00000000">
      <w:pPr>
        <w:pStyle w:val="QALabel"/>
      </w:pPr>
      <w:r>
        <w:t>来源</w:t>
      </w:r>
    </w:p>
    <w:p w14:paraId="7A683E57" w14:textId="77777777" w:rsidR="007B5C49" w:rsidRDefault="00000000">
      <w:pPr>
        <w:spacing w:after="80"/>
        <w:ind w:left="360" w:hanging="288"/>
      </w:pPr>
      <w:r>
        <w:rPr>
          <w:b/>
        </w:rPr>
        <w:t>• Microsoft｜Water intensity 2026</w:t>
      </w:r>
      <w:r>
        <w:t>：2025 WUE、气候使用时数与冷却方式</w:t>
      </w:r>
      <w:r>
        <w:rPr>
          <w:color w:val="1F4E79"/>
        </w:rPr>
        <w:br/>
        <w:t>https://blogs.microsoft.com/blog/2026/06/24/inside-microsofts-two-decade-push-to-cut-water-intensity-while-scaling-for-growth/</w:t>
      </w:r>
    </w:p>
    <w:p w14:paraId="0C2C9BCD" w14:textId="77777777" w:rsidR="007B5C49" w:rsidRDefault="00000000">
      <w:pPr>
        <w:spacing w:after="80"/>
        <w:ind w:left="360" w:hanging="288"/>
      </w:pPr>
      <w:r>
        <w:rPr>
          <w:b/>
        </w:rPr>
        <w:t>• Microsoft｜Zero-water cooling design</w:t>
      </w:r>
      <w:r>
        <w:t>：1.25亿升、PUE权衡与2026试点</w:t>
      </w:r>
      <w:r>
        <w:rPr>
          <w:color w:val="1F4E79"/>
        </w:rPr>
        <w:br/>
        <w:t>https://www.microsoft.com/en-us/microsoft-cloud/blog/2024/12/09/sustainable-by-design-next-generation-datacenters-consume-zero-water-for-cooling/</w:t>
      </w:r>
    </w:p>
    <w:p w14:paraId="2661B541" w14:textId="77777777" w:rsidR="007B5C49" w:rsidRDefault="00000000">
      <w:pPr>
        <w:spacing w:after="80"/>
        <w:ind w:left="360" w:hanging="288"/>
      </w:pPr>
      <w:r>
        <w:rPr>
          <w:b/>
        </w:rPr>
        <w:t>• AWS｜Data Centers Sustainability</w:t>
      </w:r>
      <w:r>
        <w:t>：2024 PUE 1.15与water positive进度</w:t>
      </w:r>
      <w:r>
        <w:rPr>
          <w:color w:val="1F4E79"/>
        </w:rPr>
        <w:br/>
        <w:t>https://aws.amazon.com/tw/sustainability/data-centers/</w:t>
      </w:r>
    </w:p>
    <w:p w14:paraId="0D7357C8" w14:textId="77777777" w:rsidR="007B5C49" w:rsidRDefault="00000000">
      <w:pPr>
        <w:spacing w:after="80"/>
        <w:ind w:left="360" w:hanging="288"/>
      </w:pPr>
      <w:r>
        <w:rPr>
          <w:b/>
        </w:rPr>
        <w:t>• Google｜2026 Environmental Report</w:t>
      </w:r>
      <w:r>
        <w:t>：2025补水量与78%口径</w:t>
      </w:r>
      <w:r>
        <w:rPr>
          <w:color w:val="1F4E79"/>
        </w:rPr>
        <w:br/>
        <w:t>https://sustainability.google/google-2026-environmental-report/</w:t>
      </w:r>
    </w:p>
    <w:p w14:paraId="1CFB4CFB" w14:textId="77777777" w:rsidR="007B5C49" w:rsidRDefault="00000000">
      <w:pPr>
        <w:spacing w:after="80"/>
        <w:ind w:left="360" w:hanging="288"/>
      </w:pPr>
      <w:r>
        <w:rPr>
          <w:b/>
        </w:rPr>
        <w:t>• ASHRAE｜Liquid cooling classes</w:t>
      </w:r>
      <w:r>
        <w:t>：温度等级和设施设计关系</w:t>
      </w:r>
      <w:r>
        <w:rPr>
          <w:color w:val="1F4E79"/>
        </w:rPr>
        <w:br/>
        <w:t>https://www.ashrae.org/technical-resources/ai-data-center-framework/introduction-and-purpose</w:t>
      </w:r>
    </w:p>
    <w:p w14:paraId="6FC4EAEF" w14:textId="77777777" w:rsidR="007B5C49" w:rsidRDefault="00000000">
      <w:pPr>
        <w:pStyle w:val="Heading1"/>
        <w:pageBreakBefore/>
      </w:pPr>
      <w:r>
        <w:lastRenderedPageBreak/>
        <w:t>Q31</w:t>
      </w:r>
      <w:r>
        <w:t>：</w:t>
      </w:r>
      <w:r>
        <w:t>GPU</w:t>
      </w:r>
      <w:r>
        <w:t>、电、地、设备、散热、施工和融资，谁先成为瓶颈？</w:t>
      </w:r>
    </w:p>
    <w:p w14:paraId="7075C40A" w14:textId="77777777" w:rsidR="007B5C49" w:rsidRDefault="00000000">
      <w:pPr>
        <w:pStyle w:val="QALabel"/>
      </w:pPr>
      <w:r>
        <w:t>通俗问题</w:t>
      </w:r>
    </w:p>
    <w:p w14:paraId="70EE9F27" w14:textId="77777777" w:rsidR="007B5C49" w:rsidRDefault="00000000">
      <w:r>
        <w:t>行业新闻里什么都缺：GPU缺、电缺、变压器缺、施工队也缺。一个AI园区真正最先被什么卡住？</w:t>
      </w:r>
    </w:p>
    <w:p w14:paraId="0D5C8E30" w14:textId="77777777" w:rsidR="007B5C49" w:rsidRDefault="00000000">
      <w:pPr>
        <w:pStyle w:val="QALabel"/>
      </w:pPr>
      <w:r>
        <w:t>主要研究（专业）</w:t>
      </w:r>
    </w:p>
    <w:p w14:paraId="32C77405" w14:textId="77777777" w:rsidR="007B5C49" w:rsidRDefault="00000000">
      <w:r>
        <w:t>按开发阶段建立关键路径，比较芯片、并网、长交期设备、许可、冷却、施工与资本的约束顺序。</w:t>
      </w:r>
    </w:p>
    <w:p w14:paraId="28BAC094" w14:textId="77777777" w:rsidR="007B5C49" w:rsidRDefault="00000000">
      <w:pPr>
        <w:pStyle w:val="QALabel"/>
      </w:pPr>
      <w:r>
        <w:t>研究方向</w:t>
      </w:r>
    </w:p>
    <w:p w14:paraId="1F7AC2A9" w14:textId="77777777" w:rsidR="007B5C49" w:rsidRDefault="00000000">
      <w:pPr>
        <w:pStyle w:val="ListBullet"/>
        <w:spacing w:after="80" w:line="288" w:lineRule="auto"/>
        <w:ind w:left="403" w:hanging="259"/>
      </w:pPr>
      <w:r>
        <w:t>区分2024—2025芯片主导短缺与2026以后电力/交付主导约束。</w:t>
      </w:r>
    </w:p>
    <w:p w14:paraId="438A9F84" w14:textId="77777777" w:rsidR="007B5C49" w:rsidRDefault="00000000">
      <w:pPr>
        <w:pStyle w:val="ListBullet"/>
        <w:spacing w:after="80" w:line="288" w:lineRule="auto"/>
        <w:ind w:left="403" w:hanging="259"/>
      </w:pPr>
      <w:r>
        <w:t>用交期和状态闸门而不是概念热度判断瓶颈。</w:t>
      </w:r>
    </w:p>
    <w:p w14:paraId="381667CA" w14:textId="77777777" w:rsidR="007B5C49" w:rsidRDefault="00000000">
      <w:pPr>
        <w:pStyle w:val="ListBullet"/>
        <w:spacing w:after="80" w:line="288" w:lineRule="auto"/>
        <w:ind w:left="403" w:hanging="259"/>
      </w:pPr>
      <w:r>
        <w:t>说明短板转移：解决一个环节后，约束如何迁往下一环。</w:t>
      </w:r>
    </w:p>
    <w:p w14:paraId="4E988C3F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7D2BEC2F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4D491AE3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089953AE" w14:textId="77777777" w:rsidR="007B5C49" w:rsidRDefault="00000000">
            <w:pPr>
              <w:spacing w:after="0" w:line="288" w:lineRule="auto"/>
            </w:pPr>
            <w:r>
              <w:t>对2026年新立项的数百MW/GW项目，首要瓶颈通常已从单纯GPU供应转向“某个日期可兑现的电力+并网规则”；随后是大型变压器、开关设备、发电机、液冷和施工集成。已有电力和标准设计的扩建项目可能仍由GPU/HBM与网络决定；高杠杆开发商则可能先被融资和锚定客户约束。瓶颈是动态关键路径，不是固定排名。</w:t>
            </w:r>
          </w:p>
        </w:tc>
      </w:tr>
    </w:tbl>
    <w:p w14:paraId="1910CD33" w14:textId="77777777" w:rsidR="007B5C49" w:rsidRDefault="007B5C49">
      <w:pPr>
        <w:spacing w:after="40"/>
      </w:pPr>
    </w:p>
    <w:p w14:paraId="349CD640" w14:textId="77777777" w:rsidR="007B5C49" w:rsidRDefault="00000000">
      <w:pPr>
        <w:pStyle w:val="QALabel"/>
      </w:pPr>
      <w:r>
        <w:t>详细支撑</w:t>
      </w:r>
    </w:p>
    <w:p w14:paraId="7FD41BFB" w14:textId="77777777" w:rsidR="007B5C49" w:rsidRDefault="00000000">
      <w:pPr>
        <w:pStyle w:val="Heading2"/>
      </w:pPr>
      <w:r>
        <w:t xml:space="preserve">1. </w:t>
      </w:r>
      <w:r>
        <w:t>项目不同阶段有不同第一约束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2700"/>
        <w:gridCol w:w="2700"/>
        <w:gridCol w:w="3400"/>
      </w:tblGrid>
      <w:tr w:rsidR="007B5C49" w14:paraId="45721C5C" w14:textId="77777777">
        <w:trPr>
          <w:tblHeader/>
          <w:jc w:val="center"/>
        </w:trPr>
        <w:tc>
          <w:tcPr>
            <w:tcW w:w="1800" w:type="dxa"/>
            <w:shd w:val="clear" w:color="auto" w:fill="D9EAF7"/>
          </w:tcPr>
          <w:p w14:paraId="07425802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项目阶段</w:t>
            </w:r>
          </w:p>
        </w:tc>
        <w:tc>
          <w:tcPr>
            <w:tcW w:w="2700" w:type="dxa"/>
            <w:shd w:val="clear" w:color="auto" w:fill="D9EAF7"/>
          </w:tcPr>
          <w:p w14:paraId="173706E4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第一检查项</w:t>
            </w:r>
          </w:p>
        </w:tc>
        <w:tc>
          <w:tcPr>
            <w:tcW w:w="2700" w:type="dxa"/>
            <w:shd w:val="clear" w:color="auto" w:fill="D9EAF7"/>
          </w:tcPr>
          <w:p w14:paraId="35101B37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第二约束</w:t>
            </w:r>
          </w:p>
        </w:tc>
        <w:tc>
          <w:tcPr>
            <w:tcW w:w="3400" w:type="dxa"/>
            <w:shd w:val="clear" w:color="auto" w:fill="D9EAF7"/>
          </w:tcPr>
          <w:p w14:paraId="45F0E446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容易误判</w:t>
            </w:r>
          </w:p>
        </w:tc>
      </w:tr>
      <w:tr w:rsidR="007B5C49" w14:paraId="263CAD81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45B6C17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选址/土地控制</w:t>
            </w:r>
          </w:p>
        </w:tc>
        <w:tc>
          <w:tcPr>
            <w:tcW w:w="2700" w:type="dxa"/>
            <w:vAlign w:val="center"/>
          </w:tcPr>
          <w:p w14:paraId="0F2926D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可交付IT MW和并网日期</w:t>
            </w:r>
          </w:p>
        </w:tc>
        <w:tc>
          <w:tcPr>
            <w:tcW w:w="2700" w:type="dxa"/>
            <w:vAlign w:val="center"/>
          </w:tcPr>
          <w:p w14:paraId="38C2A39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许可、水、网络与社区</w:t>
            </w:r>
          </w:p>
        </w:tc>
        <w:tc>
          <w:tcPr>
            <w:tcW w:w="3400" w:type="dxa"/>
            <w:vAlign w:val="center"/>
          </w:tcPr>
          <w:p w14:paraId="1E0AFA9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有地不等于有电</w:t>
            </w:r>
          </w:p>
        </w:tc>
      </w:tr>
      <w:tr w:rsidR="007B5C49" w14:paraId="4450951A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00D8F34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概念/设计</w:t>
            </w:r>
          </w:p>
        </w:tc>
        <w:tc>
          <w:tcPr>
            <w:tcW w:w="2700" w:type="dxa"/>
            <w:vAlign w:val="center"/>
          </w:tcPr>
          <w:p w14:paraId="1DF8995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负载爬坡、单线图和冷却路线</w:t>
            </w:r>
          </w:p>
        </w:tc>
        <w:tc>
          <w:tcPr>
            <w:tcW w:w="2700" w:type="dxa"/>
            <w:vAlign w:val="center"/>
          </w:tcPr>
          <w:p w14:paraId="6520910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长交期设备接口</w:t>
            </w:r>
          </w:p>
        </w:tc>
        <w:tc>
          <w:tcPr>
            <w:tcW w:w="3400" w:type="dxa"/>
            <w:vAlign w:val="center"/>
          </w:tcPr>
          <w:p w14:paraId="2D69864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把终局GW当首期设计</w:t>
            </w:r>
          </w:p>
        </w:tc>
      </w:tr>
      <w:tr w:rsidR="007B5C49" w14:paraId="582542F1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274DB5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融资/签约</w:t>
            </w:r>
          </w:p>
        </w:tc>
        <w:tc>
          <w:tcPr>
            <w:tcW w:w="2700" w:type="dxa"/>
            <w:vAlign w:val="center"/>
          </w:tcPr>
          <w:p w14:paraId="380F6AB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锚定客户信用与合同期限</w:t>
            </w:r>
          </w:p>
        </w:tc>
        <w:tc>
          <w:tcPr>
            <w:tcW w:w="2700" w:type="dxa"/>
            <w:vAlign w:val="center"/>
          </w:tcPr>
          <w:p w14:paraId="427E3E6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资本结构、设备残值</w:t>
            </w:r>
          </w:p>
        </w:tc>
        <w:tc>
          <w:tcPr>
            <w:tcW w:w="3400" w:type="dxa"/>
            <w:vAlign w:val="center"/>
          </w:tcPr>
          <w:p w14:paraId="002CF7A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合同金额等于现金</w:t>
            </w:r>
          </w:p>
        </w:tc>
      </w:tr>
      <w:tr w:rsidR="007B5C49" w14:paraId="7BCF9FF2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885F4C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施工/安装</w:t>
            </w:r>
          </w:p>
        </w:tc>
        <w:tc>
          <w:tcPr>
            <w:tcW w:w="2700" w:type="dxa"/>
            <w:vAlign w:val="center"/>
          </w:tcPr>
          <w:p w14:paraId="360BC39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变压器、开关柜、发电机、CDU到货</w:t>
            </w:r>
          </w:p>
        </w:tc>
        <w:tc>
          <w:tcPr>
            <w:tcW w:w="2700" w:type="dxa"/>
            <w:vAlign w:val="center"/>
          </w:tcPr>
          <w:p w14:paraId="7C5A6CA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劳动力与调试</w:t>
            </w:r>
          </w:p>
        </w:tc>
        <w:tc>
          <w:tcPr>
            <w:tcW w:w="3400" w:type="dxa"/>
            <w:vAlign w:val="center"/>
          </w:tcPr>
          <w:p w14:paraId="340696B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设备出厂等于现场可用</w:t>
            </w:r>
          </w:p>
        </w:tc>
      </w:tr>
      <w:tr w:rsidR="007B5C49" w14:paraId="08DA1FFE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6738081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集群验收</w:t>
            </w:r>
          </w:p>
        </w:tc>
        <w:tc>
          <w:tcPr>
            <w:tcW w:w="2700" w:type="dxa"/>
            <w:vAlign w:val="center"/>
          </w:tcPr>
          <w:p w14:paraId="6B9B39E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GPU/HBM、网络、软件与利用率</w:t>
            </w:r>
          </w:p>
        </w:tc>
        <w:tc>
          <w:tcPr>
            <w:tcW w:w="2700" w:type="dxa"/>
            <w:vAlign w:val="center"/>
          </w:tcPr>
          <w:p w14:paraId="3D08AA0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故障率和能效</w:t>
            </w:r>
          </w:p>
        </w:tc>
        <w:tc>
          <w:tcPr>
            <w:tcW w:w="3400" w:type="dxa"/>
            <w:vAlign w:val="center"/>
          </w:tcPr>
          <w:p w14:paraId="106EE1D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通电MW等于有效算力</w:t>
            </w:r>
          </w:p>
        </w:tc>
      </w:tr>
    </w:tbl>
    <w:p w14:paraId="3309F990" w14:textId="77777777" w:rsidR="007B5C49" w:rsidRDefault="007B5C49">
      <w:pPr>
        <w:spacing w:after="40"/>
      </w:pPr>
    </w:p>
    <w:p w14:paraId="20B7DC2F" w14:textId="77777777" w:rsidR="007B5C49" w:rsidRDefault="00000000">
      <w:r>
        <w:t>“最缺什么”必须先问项目在哪一阶段。未获得电力的土地不会因为GPU降价而开工；已通电的机房若没有GPU、800G网络或软件验收，仍不能产生token。关键路径由最晚完成的必需环节决定。</w:t>
      </w:r>
    </w:p>
    <w:p w14:paraId="4886CCDE" w14:textId="77777777" w:rsidR="007B5C49" w:rsidRDefault="00000000">
      <w:pPr>
        <w:pStyle w:val="Heading2"/>
      </w:pPr>
      <w:r>
        <w:t xml:space="preserve">2. </w:t>
      </w:r>
      <w:r>
        <w:t>电力成为大园区最难压缩的前置条件</w:t>
      </w:r>
    </w:p>
    <w:p w14:paraId="766E39A9" w14:textId="77777777" w:rsidR="007B5C49" w:rsidRDefault="00000000">
      <w:r>
        <w:t>IEA估计全球数据中心用电由2024年约415TWh升至2030年约945TWh，年增约15%；美国承担最大增量。Berkeley Lab 2026更新估计美国数据中心到2030年可能占全国用电11.8%，区间9.5%—15.3%。全国占比仍有限，但负荷集中在少数电网节点，使局部变电站、输电和发电余量先耗尽。</w:t>
      </w:r>
    </w:p>
    <w:p w14:paraId="7DA70080" w14:textId="77777777" w:rsidR="007B5C49" w:rsidRDefault="00000000">
      <w:r>
        <w:lastRenderedPageBreak/>
        <w:t>美国FERC已将大于20MW的大负荷纳入专门并网议题，并在PJM处理发电侧共址。规则讨论本身说明瓶颈不仅是有无发电量，还包括谁支付网络升级、负荷能否限制取电、共址是否承担输电费用。项目新闻中的PPA或现场电厂协议不能替代正式接入和运行许可。</w:t>
      </w:r>
    </w:p>
    <w:p w14:paraId="0ACB354D" w14:textId="77777777" w:rsidR="007B5C49" w:rsidRDefault="00000000">
      <w:pPr>
        <w:pStyle w:val="Heading2"/>
      </w:pPr>
      <w:r>
        <w:t xml:space="preserve">3. </w:t>
      </w:r>
      <w:r>
        <w:t>长交期设备把电力承诺延迟为实际通电</w:t>
      </w:r>
    </w:p>
    <w:p w14:paraId="30C875C2" w14:textId="77777777" w:rsidR="007B5C49" w:rsidRDefault="00000000">
      <w:r>
        <w:t>美国能源部2026材料称，配电变压器需求较2019年增加41%，交期由2019年的3—6个月升至2024年的1—2年或更长；大型变压器由约3年延至最多4年。大型设备还需定制、试验和超限运输。即使电网同意接入，没有设备也无法按期送电。</w:t>
      </w:r>
    </w:p>
    <w:p w14:paraId="155A6274" w14:textId="77777777" w:rsidR="007B5C49" w:rsidRDefault="00000000">
      <w:r>
        <w:t>项目可通过提前锁定工厂槽位、标准化电压等级和多供应商降低风险，却不能无限提前采购：设计变更、保修起算、存储和设备闲置会占用资本。长交期采购应与负载承诺、许可和土建达到的成熟度绑定。</w:t>
      </w:r>
    </w:p>
    <w:p w14:paraId="477FC0DA" w14:textId="77777777" w:rsidR="007B5C49" w:rsidRDefault="00000000">
      <w:pPr>
        <w:pStyle w:val="Heading2"/>
      </w:pPr>
      <w:r>
        <w:t>4. GPU</w:t>
      </w:r>
      <w:r>
        <w:t>瓶颈没有消失，而是从</w:t>
      </w:r>
      <w:r>
        <w:t>“</w:t>
      </w:r>
      <w:r>
        <w:t>有没有</w:t>
      </w:r>
      <w:r>
        <w:t>”</w:t>
      </w:r>
      <w:r>
        <w:t>转为</w:t>
      </w:r>
      <w:r>
        <w:t>“</w:t>
      </w:r>
      <w:r>
        <w:t>代际组合能否兑现</w:t>
      </w:r>
      <w:r>
        <w:t>”</w:t>
      </w:r>
    </w:p>
    <w:p w14:paraId="0B163454" w14:textId="77777777" w:rsidR="007B5C49" w:rsidRDefault="00000000">
      <w:r>
        <w:t>Blackwell/Blackwell Ultra、AMD MI350/MI450、TPU和Trainium扩大了供给来源，但HBM、先进封装、机架集成、NVSwitch、NIC和光模块共同决定有效出货。GPU到场后还需液冷、配电和软件验收，单颗芯片出货量不能换算为运行MW。</w:t>
      </w:r>
    </w:p>
    <w:p w14:paraId="6DE238C7" w14:textId="77777777" w:rsidR="007B5C49" w:rsidRDefault="00000000">
      <w:r>
        <w:t>Amazon 2026年一季度披露过去12个月落地210万颗以上AI芯片，并计划自2026年起部署100万颗以上NVIDIA GPU；同时OpenAI约2GW Trainium承诺从2027年爬坡、Anthropic最高5GW。芯片数、合同GW和现有通电容量是三个层级，不能相加。它们说明自研芯片正缓解单一供应商风险，但也扩大设施需求。</w:t>
      </w:r>
    </w:p>
    <w:p w14:paraId="1AA92853" w14:textId="77777777" w:rsidR="007B5C49" w:rsidRDefault="00000000">
      <w:pPr>
        <w:pStyle w:val="Heading2"/>
      </w:pPr>
      <w:r>
        <w:t xml:space="preserve">5. </w:t>
      </w:r>
      <w:r>
        <w:t>施工、散热和融资将成为下一轮更明显的瓶颈</w:t>
      </w:r>
    </w:p>
    <w:p w14:paraId="667CBF8F" w14:textId="77777777" w:rsidR="007B5C49" w:rsidRDefault="00000000">
      <w:r>
        <w:t>百kW级机架要求电气、管道、控制和网络联合调试。普通商业施工队不一定具备中压、液冷水质和超大集群验收经验；返工可能比设备交期更致命。模块化和参考设计能缩短重复工程，但不能消除当地许可、劳动力和现场接口。</w:t>
      </w:r>
    </w:p>
    <w:p w14:paraId="5ACDAEC2" w14:textId="77777777" w:rsidR="007B5C49" w:rsidRDefault="00000000">
      <w:r>
        <w:t>当项目依靠项目债、融资租赁和take-or-pay合同扩张，资本成本和客户信用会直接决定开工。Hyperscaler凭现金流可容忍较长回收期；Neocloud若客户集中、债务高或芯片残值下降，则融资可能在电力之前成为首要瓶颈。</w:t>
      </w:r>
    </w:p>
    <w:p w14:paraId="1FB63234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0F809A2C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2BB0B3AF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瓶颈迁移</w:t>
            </w:r>
          </w:p>
          <w:p w14:paraId="34E9FC4B" w14:textId="77777777" w:rsidR="007B5C49" w:rsidRDefault="00000000">
            <w:pPr>
              <w:spacing w:after="0" w:line="288" w:lineRule="auto"/>
            </w:pPr>
            <w:r>
              <w:t>芯片短缺缓解 → 更多客户签长期GPU/ASIC容量 → 数据中心MW需求扩大 → 并网和变压器先变慢 → 开发商采用现场电源与预制设施 → 液冷、施工和融资需求集中 → 最终瓶颈迁到集成验收与有效利用率。</w:t>
            </w:r>
          </w:p>
        </w:tc>
      </w:tr>
    </w:tbl>
    <w:p w14:paraId="53A7440E" w14:textId="77777777" w:rsidR="007B5C49" w:rsidRDefault="007B5C49">
      <w:pPr>
        <w:spacing w:after="40"/>
      </w:pPr>
    </w:p>
    <w:p w14:paraId="52EA9E28" w14:textId="77777777" w:rsidR="007B5C49" w:rsidRDefault="00000000">
      <w:pPr>
        <w:pStyle w:val="QALabel"/>
      </w:pPr>
      <w:r>
        <w:t>来源</w:t>
      </w:r>
    </w:p>
    <w:p w14:paraId="0DC252E7" w14:textId="77777777" w:rsidR="007B5C49" w:rsidRDefault="00000000">
      <w:pPr>
        <w:spacing w:after="80"/>
        <w:ind w:left="360" w:hanging="288"/>
      </w:pPr>
      <w:r>
        <w:rPr>
          <w:b/>
        </w:rPr>
        <w:t>• IEA｜Energy and AI</w:t>
      </w:r>
      <w:r>
        <w:t>：415TWh至945TWh基准</w:t>
      </w:r>
      <w:r>
        <w:rPr>
          <w:color w:val="1F4E79"/>
        </w:rPr>
        <w:br/>
        <w:t>https://www.iea.org/reports/energy-and-ai/energy-demand-from-ai</w:t>
      </w:r>
    </w:p>
    <w:p w14:paraId="72F330BF" w14:textId="77777777" w:rsidR="007B5C49" w:rsidRDefault="00000000">
      <w:pPr>
        <w:spacing w:after="80"/>
        <w:ind w:left="360" w:hanging="288"/>
      </w:pPr>
      <w:r>
        <w:rPr>
          <w:b/>
        </w:rPr>
        <w:lastRenderedPageBreak/>
        <w:t>• Berkeley Lab｜US Data Center Energy Usage 2025 Update</w:t>
      </w:r>
      <w:r>
        <w:t>：2030年11.8%及9.5%—15.3%区间</w:t>
      </w:r>
      <w:r>
        <w:rPr>
          <w:color w:val="1F4E79"/>
        </w:rPr>
        <w:br/>
        <w:t>https://bies.lbl.gov/publications/united-states-data-center-energy-2025</w:t>
      </w:r>
    </w:p>
    <w:p w14:paraId="76A1FE81" w14:textId="77777777" w:rsidR="007B5C49" w:rsidRDefault="00000000">
      <w:pPr>
        <w:spacing w:after="80"/>
        <w:ind w:left="360" w:hanging="288"/>
      </w:pPr>
      <w:r>
        <w:rPr>
          <w:b/>
        </w:rPr>
        <w:t>• DOE｜Distribution Transformer Webinar</w:t>
      </w:r>
      <w:r>
        <w:t>：需求增长与1—4年交期</w:t>
      </w:r>
      <w:r>
        <w:rPr>
          <w:color w:val="1F4E79"/>
        </w:rPr>
        <w:br/>
        <w:t>https://www.energy.gov/oe/distribution-transformer-webinar-text-alternative</w:t>
      </w:r>
    </w:p>
    <w:p w14:paraId="3FAD8317" w14:textId="77777777" w:rsidR="007B5C49" w:rsidRDefault="00000000">
      <w:pPr>
        <w:spacing w:after="80"/>
        <w:ind w:left="360" w:hanging="288"/>
      </w:pPr>
      <w:r>
        <w:rPr>
          <w:b/>
        </w:rPr>
        <w:t>• FERC｜Large Load Interconnection RM26-4</w:t>
      </w:r>
      <w:r>
        <w:t>：大于20MW负荷的并网规则</w:t>
      </w:r>
      <w:r>
        <w:rPr>
          <w:color w:val="1F4E79"/>
        </w:rPr>
        <w:br/>
        <w:t>https://www.ferc.gov/rm26-4</w:t>
      </w:r>
    </w:p>
    <w:p w14:paraId="7E8AD64E" w14:textId="77777777" w:rsidR="007B5C49" w:rsidRDefault="00000000">
      <w:pPr>
        <w:spacing w:after="80"/>
        <w:ind w:left="360" w:hanging="288"/>
      </w:pPr>
      <w:r>
        <w:rPr>
          <w:b/>
        </w:rPr>
        <w:t>• Amazon｜Q1 2026 Results</w:t>
      </w:r>
      <w:r>
        <w:t>：芯片落地和Trainium GW承诺</w:t>
      </w:r>
      <w:r>
        <w:rPr>
          <w:color w:val="1F4E79"/>
        </w:rPr>
        <w:br/>
        <w:t>https://ir.aboutamazon.com/news-release/news-release-details/2026/Amazon-com-Announces-First-Quarter-Results/</w:t>
      </w:r>
    </w:p>
    <w:p w14:paraId="2F4C5D15" w14:textId="77777777" w:rsidR="007B5C49" w:rsidRDefault="00000000">
      <w:pPr>
        <w:pStyle w:val="Heading1"/>
        <w:pageBreakBefore/>
      </w:pPr>
      <w:r>
        <w:lastRenderedPageBreak/>
        <w:t>Q32</w:t>
      </w:r>
      <w:r>
        <w:t>：美国、欧洲、亚洲、中东和中国的瓶颈为什么不同？</w:t>
      </w:r>
    </w:p>
    <w:p w14:paraId="1F9BB3F1" w14:textId="77777777" w:rsidR="007B5C49" w:rsidRDefault="00000000">
      <w:pPr>
        <w:pStyle w:val="QALabel"/>
      </w:pPr>
      <w:r>
        <w:t>通俗问题</w:t>
      </w:r>
    </w:p>
    <w:p w14:paraId="3352D8B4" w14:textId="77777777" w:rsidR="007B5C49" w:rsidRDefault="00000000">
      <w:r>
        <w:t>同样建设AI数据中心，为什么北弗吉尼亚、新加坡、柔佛、沙特和中国西部遇到的问题完全不同？</w:t>
      </w:r>
    </w:p>
    <w:p w14:paraId="0C50350E" w14:textId="77777777" w:rsidR="007B5C49" w:rsidRDefault="00000000">
      <w:pPr>
        <w:pStyle w:val="QALabel"/>
      </w:pPr>
      <w:r>
        <w:t>主要研究（专业）</w:t>
      </w:r>
    </w:p>
    <w:p w14:paraId="7C100E62" w14:textId="77777777" w:rsidR="007B5C49" w:rsidRDefault="00000000">
      <w:r>
        <w:t>区域电网结构、能源、土地、政策、客户、芯片、网络和水资源的约束组合。</w:t>
      </w:r>
    </w:p>
    <w:p w14:paraId="0F04BD91" w14:textId="77777777" w:rsidR="007B5C49" w:rsidRDefault="00000000">
      <w:pPr>
        <w:pStyle w:val="QALabel"/>
      </w:pPr>
      <w:r>
        <w:t>研究方向</w:t>
      </w:r>
    </w:p>
    <w:p w14:paraId="43E90FCF" w14:textId="77777777" w:rsidR="007B5C49" w:rsidRDefault="00000000">
      <w:pPr>
        <w:pStyle w:val="ListBullet"/>
        <w:spacing w:after="80" w:line="288" w:lineRule="auto"/>
        <w:ind w:left="403" w:hanging="259"/>
      </w:pPr>
      <w:r>
        <w:t>逐区域给出主瓶颈、次瓶颈和可行解决路径。</w:t>
      </w:r>
    </w:p>
    <w:p w14:paraId="5F105183" w14:textId="77777777" w:rsidR="007B5C49" w:rsidRDefault="00000000">
      <w:pPr>
        <w:pStyle w:val="ListBullet"/>
        <w:spacing w:after="80" w:line="288" w:lineRule="auto"/>
        <w:ind w:left="403" w:hanging="259"/>
      </w:pPr>
      <w:r>
        <w:t>区分成熟互联核心与新兴能源型园区。</w:t>
      </w:r>
    </w:p>
    <w:p w14:paraId="1013FC37" w14:textId="77777777" w:rsidR="007B5C49" w:rsidRDefault="00000000">
      <w:pPr>
        <w:pStyle w:val="ListBullet"/>
        <w:spacing w:after="80" w:line="288" w:lineRule="auto"/>
        <w:ind w:left="403" w:hanging="259"/>
      </w:pPr>
      <w:r>
        <w:t>避免把国家规划或政策配额写成运行容量。</w:t>
      </w:r>
    </w:p>
    <w:p w14:paraId="69BF737D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2DB76BEB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70BE7460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55836B47" w14:textId="77777777" w:rsidR="007B5C49" w:rsidRDefault="00000000">
            <w:pPr>
              <w:spacing w:after="0" w:line="288" w:lineRule="auto"/>
            </w:pPr>
            <w:r>
              <w:t>美国的第一约束是集中负荷并网、输电和成本分摊；欧洲更受电价、规划和能效监管约束；新加坡受土地和配额限制，柔佛等周边市场则转为电网、水和施工承载力；中东有能源、土地和主权资本，但需补齐客户、芯片许可、人才与极端气候散热；中国以国家算力网络和制造供应链推进，但先进芯片、东西部利用率与跨区调度更关键。</w:t>
            </w:r>
          </w:p>
        </w:tc>
      </w:tr>
    </w:tbl>
    <w:p w14:paraId="70B3EA23" w14:textId="77777777" w:rsidR="007B5C49" w:rsidRDefault="007B5C49">
      <w:pPr>
        <w:spacing w:after="40"/>
      </w:pPr>
    </w:p>
    <w:p w14:paraId="412A43C4" w14:textId="77777777" w:rsidR="007B5C49" w:rsidRDefault="00000000">
      <w:pPr>
        <w:pStyle w:val="QALabel"/>
      </w:pPr>
      <w:r>
        <w:t>详细支撑</w:t>
      </w:r>
    </w:p>
    <w:p w14:paraId="0D768435" w14:textId="77777777" w:rsidR="007B5C49" w:rsidRDefault="00000000">
      <w:pPr>
        <w:pStyle w:val="Heading2"/>
      </w:pPr>
      <w:r>
        <w:t xml:space="preserve">1. </w:t>
      </w:r>
      <w:r>
        <w:t>美国：全国电量可增长，但少数节点的交付速度不足</w:t>
      </w:r>
    </w:p>
    <w:p w14:paraId="16BA9C1B" w14:textId="77777777" w:rsidR="007B5C49" w:rsidRDefault="00000000">
      <w:r>
        <w:t>IEA称美国占2024年全球数据中心用电约45%，且到2030年数据中心贡献美国近一半新增电力需求。问题集中在Northern Virginia/PJM、Texas、Georgia、Arizona等节点：负荷一次申请数百MW，输电升级和发电建设却需多年。</w:t>
      </w:r>
    </w:p>
    <w:p w14:paraId="100369CA" w14:textId="77777777" w:rsidR="007B5C49" w:rsidRDefault="00000000">
      <w:r>
        <w:t>解决路径包括迁往能源型地区、共址发电、签可中断负荷、现场燃气/燃料电池和提前建设变电站。但共址可能转移输电费用和可靠性风险，FERC/PJM规则会影响项目经济性。地方税收反弹和社区用水、噪声也开始提高许可风险。</w:t>
      </w:r>
    </w:p>
    <w:p w14:paraId="6DFE23C7" w14:textId="77777777" w:rsidR="007B5C49" w:rsidRDefault="00000000">
      <w:pPr>
        <w:pStyle w:val="Heading2"/>
      </w:pPr>
      <w:r>
        <w:t xml:space="preserve">2. </w:t>
      </w:r>
      <w:r>
        <w:t>欧洲：电价、碳约束和规划密度高于单纯土地不足</w:t>
      </w:r>
    </w:p>
    <w:p w14:paraId="49AF6860" w14:textId="77777777" w:rsidR="007B5C49" w:rsidRDefault="00000000">
      <w:r>
        <w:t>Ireland按位置、现场发电和负荷灵活性决定连接；EU对500kW以上设施强化能效与可持续披露；Amsterdam、Frankfurt、London等核心市场还受空间规划和电网节点限制。欧洲不是统一“禁建”，而是每个市场通过电网和规划筛选项目。</w:t>
      </w:r>
    </w:p>
    <w:p w14:paraId="6944180B" w14:textId="77777777" w:rsidR="007B5C49" w:rsidRDefault="00000000">
      <w:r>
        <w:t>欧洲的优势是企业客户、数据主权需求、互联和余热利用政策；劣势是电价和建设周期。AI训练可能向Nordics、Spain等能源较优地区迁移，低时延推理、合规和互联容量仍留在主要都市。</w:t>
      </w:r>
    </w:p>
    <w:p w14:paraId="745B50C9" w14:textId="77777777" w:rsidR="007B5C49" w:rsidRDefault="00000000">
      <w:pPr>
        <w:pStyle w:val="Heading2"/>
      </w:pPr>
      <w:r>
        <w:lastRenderedPageBreak/>
        <w:t xml:space="preserve">3. </w:t>
      </w:r>
      <w:r>
        <w:t>新加坡</w:t>
      </w:r>
      <w:r>
        <w:t>—</w:t>
      </w:r>
      <w:r>
        <w:t>柔佛：配额把规模需求推往跨境周边</w:t>
      </w:r>
    </w:p>
    <w:p w14:paraId="6E371359" w14:textId="77777777" w:rsidR="007B5C49" w:rsidRDefault="00000000">
      <w:r>
        <w:t>新加坡2025年第二轮数据中心申请至少释放200MW政策容量，适合高价值互联节点；AirTrunk柔佛两园区远期超过420MW，承接大规模云与AI。200MW是政府分配容量，420MW是企业园区远期能力，两者不能比较为“现有市场规模”。</w:t>
      </w:r>
    </w:p>
    <w:p w14:paraId="51EE1F90" w14:textId="77777777" w:rsidR="007B5C49" w:rsidRDefault="00000000">
      <w:r>
        <w:t>需求迁移后，柔佛的瓶颈从土地成本迅速转向变电、水厂、审批、施工队和跨境光纤。湿热气候降低自然冷却小时，使高效冷机、液冷和水管理更重要。区域模式不是新加坡被替代，而是新加坡保留互联/合规，柔佛承接大园区。</w:t>
      </w:r>
    </w:p>
    <w:p w14:paraId="373DB63F" w14:textId="77777777" w:rsidR="007B5C49" w:rsidRDefault="00000000">
      <w:pPr>
        <w:pStyle w:val="Heading2"/>
      </w:pPr>
      <w:r>
        <w:t xml:space="preserve">4. </w:t>
      </w:r>
      <w:r>
        <w:t>中东：最强的是资源动员，最弱的是生态兑现</w:t>
      </w:r>
    </w:p>
    <w:p w14:paraId="55856E0B" w14:textId="77777777" w:rsidR="007B5C49" w:rsidRDefault="00000000">
      <w:r>
        <w:t>UAE-US AI Campus规划5GW，Stargate UAE首期200MW；Saudi运营容量2026年一季度约467MW，同时存在1.5GW NEOM/DataVolt、最高1GW stc-HUMAIN等项目。规划GW与运营MW差距巨大，首要任务是把国家协议拆成芯片获批、锚定客户、首期融资和实际通电。</w:t>
      </w:r>
    </w:p>
    <w:p w14:paraId="7ADB900F" w14:textId="77777777" w:rsidR="007B5C49" w:rsidRDefault="00000000">
      <w:r>
        <w:t>高温使干冷耗电、蒸发冷却耗水，液冷最终仍要室外排热。中东还需进口大量设备和人才，并受先进芯片出口许可影响。其优势是土地、主权资本和可协调电源，适合国家级首期项目快速突破；后续利用率决定能否形成区域云和AI服务市场。</w:t>
      </w:r>
    </w:p>
    <w:p w14:paraId="54327726" w14:textId="77777777" w:rsidR="007B5C49" w:rsidRDefault="00000000">
      <w:pPr>
        <w:pStyle w:val="Heading2"/>
      </w:pPr>
      <w:r>
        <w:t xml:space="preserve">5. </w:t>
      </w:r>
      <w:r>
        <w:t>中国：工程和政策协调强，先进芯片与利用率决定产出</w:t>
      </w:r>
    </w:p>
    <w:p w14:paraId="2F11D5A1" w14:textId="77777777" w:rsidR="007B5C49" w:rsidRDefault="00000000">
      <w:r>
        <w:t>“东数西算”以8个枢纽、10个集群组织能源和算力地理。国家数据局称2026年一季度全国智算188万PFLOPS（FP16），八大枢纽已建智算占全国80%以上。PFLOPS不能换算为MW，且“已建算力”不等于满负荷使用。</w:t>
      </w:r>
    </w:p>
    <w:p w14:paraId="5A3D5FBF" w14:textId="77777777" w:rsidR="007B5C49" w:rsidRDefault="00000000">
      <w:r>
        <w:t>西部有能源与土地，东部有客户和低时延需求。关键约束是高速网络成本、任务可迁移性、商业结算、先进芯片供给和实际利用率。离线训练、渲染等可西移，在线推理与数据密集业务仍需靠近东部客户。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600"/>
        <w:gridCol w:w="2600"/>
        <w:gridCol w:w="3700"/>
      </w:tblGrid>
      <w:tr w:rsidR="007B5C49" w14:paraId="0DE49D41" w14:textId="77777777">
        <w:trPr>
          <w:tblHeader/>
          <w:jc w:val="center"/>
        </w:trPr>
        <w:tc>
          <w:tcPr>
            <w:tcW w:w="1900" w:type="dxa"/>
            <w:shd w:val="clear" w:color="auto" w:fill="D9EAF7"/>
          </w:tcPr>
          <w:p w14:paraId="7F8F0F8E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区域</w:t>
            </w:r>
          </w:p>
        </w:tc>
        <w:tc>
          <w:tcPr>
            <w:tcW w:w="2600" w:type="dxa"/>
            <w:shd w:val="clear" w:color="auto" w:fill="D9EAF7"/>
          </w:tcPr>
          <w:p w14:paraId="2E54AD61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第一瓶颈</w:t>
            </w:r>
          </w:p>
        </w:tc>
        <w:tc>
          <w:tcPr>
            <w:tcW w:w="2600" w:type="dxa"/>
            <w:shd w:val="clear" w:color="auto" w:fill="D9EAF7"/>
          </w:tcPr>
          <w:p w14:paraId="018C2035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第二瓶颈</w:t>
            </w:r>
          </w:p>
        </w:tc>
        <w:tc>
          <w:tcPr>
            <w:tcW w:w="3700" w:type="dxa"/>
            <w:shd w:val="clear" w:color="auto" w:fill="D9EAF7"/>
          </w:tcPr>
          <w:p w14:paraId="77BC4D0B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2026—2030主要解法</w:t>
            </w:r>
          </w:p>
        </w:tc>
      </w:tr>
      <w:tr w:rsidR="007B5C49" w14:paraId="6254B71B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1671880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美国核心市场</w:t>
            </w:r>
          </w:p>
        </w:tc>
        <w:tc>
          <w:tcPr>
            <w:tcW w:w="2600" w:type="dxa"/>
            <w:vAlign w:val="center"/>
          </w:tcPr>
          <w:p w14:paraId="1C7C3DF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并网/输电/成本分摊</w:t>
            </w:r>
          </w:p>
        </w:tc>
        <w:tc>
          <w:tcPr>
            <w:tcW w:w="2600" w:type="dxa"/>
            <w:vAlign w:val="center"/>
          </w:tcPr>
          <w:p w14:paraId="6562539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变压器、许可、社区</w:t>
            </w:r>
          </w:p>
        </w:tc>
        <w:tc>
          <w:tcPr>
            <w:tcW w:w="3700" w:type="dxa"/>
            <w:vAlign w:val="center"/>
          </w:tcPr>
          <w:p w14:paraId="082DDBC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能源型新市场、共址电源、灵活负荷</w:t>
            </w:r>
          </w:p>
        </w:tc>
      </w:tr>
      <w:tr w:rsidR="007B5C49" w14:paraId="00F42A69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67017CE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欧洲核心市场</w:t>
            </w:r>
          </w:p>
        </w:tc>
        <w:tc>
          <w:tcPr>
            <w:tcW w:w="2600" w:type="dxa"/>
            <w:vAlign w:val="center"/>
          </w:tcPr>
          <w:p w14:paraId="3F21413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电价、规划和连接资格</w:t>
            </w:r>
          </w:p>
        </w:tc>
        <w:tc>
          <w:tcPr>
            <w:tcW w:w="2600" w:type="dxa"/>
            <w:vAlign w:val="center"/>
          </w:tcPr>
          <w:p w14:paraId="79CFEDF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披露、碳与热回收</w:t>
            </w:r>
          </w:p>
        </w:tc>
        <w:tc>
          <w:tcPr>
            <w:tcW w:w="3700" w:type="dxa"/>
            <w:vAlign w:val="center"/>
          </w:tcPr>
          <w:p w14:paraId="38E9EB4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区域分层、Nordics/Spain承接训练</w:t>
            </w:r>
          </w:p>
        </w:tc>
      </w:tr>
      <w:tr w:rsidR="007B5C49" w14:paraId="1B1DF616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320BBE4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新加坡/柔佛</w:t>
            </w:r>
          </w:p>
        </w:tc>
        <w:tc>
          <w:tcPr>
            <w:tcW w:w="2600" w:type="dxa"/>
            <w:vAlign w:val="center"/>
          </w:tcPr>
          <w:p w14:paraId="078FBC9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配额→电网/水/施工</w:t>
            </w:r>
          </w:p>
        </w:tc>
        <w:tc>
          <w:tcPr>
            <w:tcW w:w="2600" w:type="dxa"/>
            <w:vAlign w:val="center"/>
          </w:tcPr>
          <w:p w14:paraId="304258B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湿热冷却、跨境网络</w:t>
            </w:r>
          </w:p>
        </w:tc>
        <w:tc>
          <w:tcPr>
            <w:tcW w:w="3700" w:type="dxa"/>
            <w:vAlign w:val="center"/>
          </w:tcPr>
          <w:p w14:paraId="7C531A1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核心互联+周边大园区</w:t>
            </w:r>
          </w:p>
        </w:tc>
      </w:tr>
      <w:tr w:rsidR="007B5C49" w14:paraId="40B00F0A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67766B8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中东</w:t>
            </w:r>
          </w:p>
        </w:tc>
        <w:tc>
          <w:tcPr>
            <w:tcW w:w="2600" w:type="dxa"/>
            <w:vAlign w:val="center"/>
          </w:tcPr>
          <w:p w14:paraId="4508FDF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客户/芯片/生态兑现</w:t>
            </w:r>
          </w:p>
        </w:tc>
        <w:tc>
          <w:tcPr>
            <w:tcW w:w="2600" w:type="dxa"/>
            <w:vAlign w:val="center"/>
          </w:tcPr>
          <w:p w14:paraId="05034B8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高温排热、人才与进口设备</w:t>
            </w:r>
          </w:p>
        </w:tc>
        <w:tc>
          <w:tcPr>
            <w:tcW w:w="3700" w:type="dxa"/>
            <w:vAlign w:val="center"/>
          </w:tcPr>
          <w:p w14:paraId="6A75B51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主权资本首期+国际伙伴</w:t>
            </w:r>
          </w:p>
        </w:tc>
      </w:tr>
      <w:tr w:rsidR="007B5C49" w14:paraId="25FB61B9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3D3DBF8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中国</w:t>
            </w:r>
          </w:p>
        </w:tc>
        <w:tc>
          <w:tcPr>
            <w:tcW w:w="2600" w:type="dxa"/>
            <w:vAlign w:val="center"/>
          </w:tcPr>
          <w:p w14:paraId="04E8C60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先进芯片与利用率</w:t>
            </w:r>
          </w:p>
        </w:tc>
        <w:tc>
          <w:tcPr>
            <w:tcW w:w="2600" w:type="dxa"/>
            <w:vAlign w:val="center"/>
          </w:tcPr>
          <w:p w14:paraId="7100DDC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东西网络/任务调度</w:t>
            </w:r>
          </w:p>
        </w:tc>
        <w:tc>
          <w:tcPr>
            <w:tcW w:w="3700" w:type="dxa"/>
            <w:vAlign w:val="center"/>
          </w:tcPr>
          <w:p w14:paraId="49498EE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枢纽调度、国产供应链与客户迁移</w:t>
            </w:r>
          </w:p>
        </w:tc>
      </w:tr>
    </w:tbl>
    <w:p w14:paraId="37E0C615" w14:textId="77777777" w:rsidR="007B5C49" w:rsidRDefault="007B5C49">
      <w:pPr>
        <w:spacing w:after="40"/>
      </w:pPr>
    </w:p>
    <w:p w14:paraId="451BDF3B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6883186B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594FBED6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区域分化</w:t>
            </w:r>
          </w:p>
          <w:p w14:paraId="635900DD" w14:textId="77777777" w:rsidR="007B5C49" w:rsidRDefault="00000000">
            <w:pPr>
              <w:spacing w:after="0" w:line="288" w:lineRule="auto"/>
            </w:pPr>
            <w:r>
              <w:t>全球AI需求相似 → 各地电网、政策、气候和客户基础不同 → 同一机架形成不同交付成本和时间 → 训练容量向电力型市场集中 → 推理、合规和互联留在客户型市场 → 全球形成分层而非单一中心。</w:t>
            </w:r>
          </w:p>
        </w:tc>
      </w:tr>
    </w:tbl>
    <w:p w14:paraId="084C9D90" w14:textId="77777777" w:rsidR="007B5C49" w:rsidRDefault="007B5C49">
      <w:pPr>
        <w:spacing w:after="40"/>
      </w:pPr>
    </w:p>
    <w:p w14:paraId="7E4544DF" w14:textId="77777777" w:rsidR="007B5C49" w:rsidRDefault="00000000">
      <w:pPr>
        <w:pStyle w:val="QALabel"/>
      </w:pPr>
      <w:r>
        <w:lastRenderedPageBreak/>
        <w:t>来源</w:t>
      </w:r>
    </w:p>
    <w:p w14:paraId="42701B9E" w14:textId="77777777" w:rsidR="007B5C49" w:rsidRDefault="00000000">
      <w:pPr>
        <w:spacing w:after="80"/>
        <w:ind w:left="360" w:hanging="288"/>
      </w:pPr>
      <w:r>
        <w:rPr>
          <w:b/>
        </w:rPr>
        <w:t>• IEA｜Energy and AI Executive Summary</w:t>
      </w:r>
      <w:r>
        <w:t>：美国、全球和地区电力影响</w:t>
      </w:r>
      <w:r>
        <w:rPr>
          <w:color w:val="1F4E79"/>
        </w:rPr>
        <w:br/>
        <w:t>https://www.iea.org/reports/energy-and-ai/executive-summary%C2%A0</w:t>
      </w:r>
    </w:p>
    <w:p w14:paraId="61E058EF" w14:textId="77777777" w:rsidR="007B5C49" w:rsidRDefault="00000000">
      <w:pPr>
        <w:spacing w:after="80"/>
        <w:ind w:left="360" w:hanging="288"/>
      </w:pPr>
      <w:r>
        <w:rPr>
          <w:b/>
        </w:rPr>
        <w:t>• FERC｜PJM co-location review</w:t>
      </w:r>
      <w:r>
        <w:t>：共址与费用规则</w:t>
      </w:r>
      <w:r>
        <w:rPr>
          <w:color w:val="1F4E79"/>
        </w:rPr>
        <w:br/>
        <w:t>https://ferc.gov/news-events/news/ferc-orders-action-co-location-issues-related-data-centers-running-ai</w:t>
      </w:r>
    </w:p>
    <w:p w14:paraId="76C0AF2C" w14:textId="77777777" w:rsidR="007B5C49" w:rsidRDefault="00000000">
      <w:pPr>
        <w:spacing w:after="80"/>
        <w:ind w:left="360" w:hanging="288"/>
      </w:pPr>
      <w:r>
        <w:rPr>
          <w:b/>
        </w:rPr>
        <w:t>• Singapore EDB｜DC-CFA2</w:t>
      </w:r>
      <w:r>
        <w:t>：至少200MW政策容量</w:t>
      </w:r>
      <w:r>
        <w:rPr>
          <w:color w:val="1F4E79"/>
        </w:rPr>
        <w:br/>
        <w:t>https://www.edb.gov.sg/en/about-edb/media-releases-publications/launch-of-second-data-centre-call-for-application.html</w:t>
      </w:r>
    </w:p>
    <w:p w14:paraId="590D2FD5" w14:textId="77777777" w:rsidR="007B5C49" w:rsidRDefault="00000000">
      <w:pPr>
        <w:spacing w:after="80"/>
        <w:ind w:left="360" w:hanging="288"/>
      </w:pPr>
      <w:r>
        <w:rPr>
          <w:b/>
        </w:rPr>
        <w:t>• 国家数据局｜2026东数西算进展</w:t>
      </w:r>
      <w:r>
        <w:t>：188万PFLOPS与枢纽占比</w:t>
      </w:r>
      <w:r>
        <w:rPr>
          <w:color w:val="1F4E79"/>
        </w:rPr>
        <w:br/>
        <w:t>https://www.nda.gov.cn/sjj/ywpd/sjzg/0429/20260428225238659058846_pc.html</w:t>
      </w:r>
    </w:p>
    <w:p w14:paraId="69F0DA2A" w14:textId="77777777" w:rsidR="007B5C49" w:rsidRDefault="00000000">
      <w:pPr>
        <w:pStyle w:val="Heading1"/>
        <w:pageBreakBefore/>
      </w:pPr>
      <w:r>
        <w:lastRenderedPageBreak/>
        <w:t>Q33</w:t>
      </w:r>
      <w:r>
        <w:t>：超大资本开支与长期算力合同会产生哪些融资风险？</w:t>
      </w:r>
    </w:p>
    <w:p w14:paraId="57EE6AA7" w14:textId="77777777" w:rsidR="007B5C49" w:rsidRDefault="00000000">
      <w:pPr>
        <w:pStyle w:val="QALabel"/>
      </w:pPr>
      <w:r>
        <w:t>通俗问题</w:t>
      </w:r>
    </w:p>
    <w:p w14:paraId="707E69FF" w14:textId="77777777" w:rsidR="007B5C49" w:rsidRDefault="00000000">
      <w:r>
        <w:t>大厂一年投入上千亿美元，模型公司又签几十GW长期合同，这些项目都有客户，为什么仍可能出现财务风险？</w:t>
      </w:r>
    </w:p>
    <w:p w14:paraId="3CB559F7" w14:textId="77777777" w:rsidR="007B5C49" w:rsidRDefault="00000000">
      <w:pPr>
        <w:pStyle w:val="QALabel"/>
      </w:pPr>
      <w:r>
        <w:t>主要研究（专业）</w:t>
      </w:r>
    </w:p>
    <w:p w14:paraId="14493C03" w14:textId="77777777" w:rsidR="007B5C49" w:rsidRDefault="00000000">
      <w:r>
        <w:t>资本开支、资产期限、融资租赁、项目债、take-or-pay、客户集中和技术残值风险。</w:t>
      </w:r>
    </w:p>
    <w:p w14:paraId="58900C6A" w14:textId="77777777" w:rsidR="007B5C49" w:rsidRDefault="00000000">
      <w:pPr>
        <w:pStyle w:val="QALabel"/>
      </w:pPr>
      <w:r>
        <w:t>研究方向</w:t>
      </w:r>
    </w:p>
    <w:p w14:paraId="293929BB" w14:textId="77777777" w:rsidR="007B5C49" w:rsidRDefault="00000000">
      <w:pPr>
        <w:pStyle w:val="ListBullet"/>
        <w:spacing w:after="80" w:line="288" w:lineRule="auto"/>
        <w:ind w:left="403" w:hanging="259"/>
      </w:pPr>
      <w:r>
        <w:t>比较Hyperscaler自有现金流与Neocloud资产级融资。</w:t>
      </w:r>
    </w:p>
    <w:p w14:paraId="1102C201" w14:textId="77777777" w:rsidR="007B5C49" w:rsidRDefault="00000000">
      <w:pPr>
        <w:pStyle w:val="ListBullet"/>
        <w:spacing w:after="80" w:line="288" w:lineRule="auto"/>
        <w:ind w:left="403" w:hanging="259"/>
      </w:pPr>
      <w:r>
        <w:t>拆分建筑、电力设施、GPU和长期合同的期限错配。</w:t>
      </w:r>
    </w:p>
    <w:p w14:paraId="31D95663" w14:textId="77777777" w:rsidR="007B5C49" w:rsidRDefault="00000000">
      <w:pPr>
        <w:pStyle w:val="ListBullet"/>
        <w:spacing w:after="80" w:line="288" w:lineRule="auto"/>
        <w:ind w:left="403" w:hanging="259"/>
      </w:pPr>
      <w:r>
        <w:t>说明RPO/合同额为何不等于已收现金和利润。</w:t>
      </w:r>
    </w:p>
    <w:p w14:paraId="79D3EC61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333CBCA5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52202BF7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37437DC5" w14:textId="77777777" w:rsidR="007B5C49" w:rsidRDefault="00000000">
            <w:pPr>
              <w:spacing w:after="0" w:line="288" w:lineRule="auto"/>
            </w:pPr>
            <w:r>
              <w:t>风险不是“没有需求”，而是资金和资产期限错配：建筑可用15—40年，GPU经济寿命可能3—6年，客户合同常约5—15年，债务和租赁又有自己的偿还曲线。如果项目晚通电、客户集中、芯片快速贬值或推理价格下降，合同收入可能不足以覆盖利息、租金和更新资本。大厂主要承受折旧和回报率风险，Neocloud还承担再融资与流动性风险。</w:t>
            </w:r>
          </w:p>
        </w:tc>
      </w:tr>
    </w:tbl>
    <w:p w14:paraId="3C1DC3C2" w14:textId="77777777" w:rsidR="007B5C49" w:rsidRDefault="007B5C49">
      <w:pPr>
        <w:spacing w:after="40"/>
      </w:pPr>
    </w:p>
    <w:p w14:paraId="5CEBBDB2" w14:textId="77777777" w:rsidR="007B5C49" w:rsidRDefault="00000000">
      <w:pPr>
        <w:pStyle w:val="QALabel"/>
      </w:pPr>
      <w:r>
        <w:t>详细支撑</w:t>
      </w:r>
    </w:p>
    <w:p w14:paraId="5AD935CC" w14:textId="77777777" w:rsidR="007B5C49" w:rsidRDefault="00000000">
      <w:pPr>
        <w:pStyle w:val="Heading2"/>
      </w:pPr>
      <w:r>
        <w:t>1. 2026</w:t>
      </w:r>
      <w:r>
        <w:t>资本开支已上升到国家级基础设施尺度</w:t>
      </w:r>
    </w:p>
    <w:p w14:paraId="59F1AEAC" w14:textId="77777777" w:rsidR="007B5C49" w:rsidRDefault="00000000">
      <w:r>
        <w:t>Alphabet预计2026年CapEx 1,750亿—1,850亿美元，其中约60%服务器、40%数据中心和网络；Meta预计1,150亿—1,350亿美元；Amazon预计全公司约2,000亿美元，投资范围含AI、芯片、机器人和卫星，并非全是数据中心。三者中点简单相加约5,000亿美元，但口径不同，不能当作全球AI数据中心CapEx。</w:t>
      </w:r>
    </w:p>
    <w:p w14:paraId="27C6D4FA" w14:textId="77777777" w:rsidR="007B5C49" w:rsidRDefault="00000000">
      <w:r>
        <w:t>Microsoft FY2026前三个披露季度CapEx分别349亿、375亿和319亿美元，包含大量融资租赁；每季短寿命GPU/CPU占比约一半至三分之二。季度相加可以反映投资强度，但Microsoft财年和其他公司自然年不同，且融资租赁与现金购置需分开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2500"/>
        <w:gridCol w:w="3000"/>
        <w:gridCol w:w="3100"/>
      </w:tblGrid>
      <w:tr w:rsidR="007B5C49" w14:paraId="5E0E9F87" w14:textId="77777777">
        <w:trPr>
          <w:tblHeader/>
          <w:jc w:val="center"/>
        </w:trPr>
        <w:tc>
          <w:tcPr>
            <w:tcW w:w="2200" w:type="dxa"/>
            <w:shd w:val="clear" w:color="auto" w:fill="D9EAF7"/>
          </w:tcPr>
          <w:p w14:paraId="11E54228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公司/期间</w:t>
            </w:r>
          </w:p>
        </w:tc>
        <w:tc>
          <w:tcPr>
            <w:tcW w:w="2500" w:type="dxa"/>
            <w:shd w:val="clear" w:color="auto" w:fill="D9EAF7"/>
          </w:tcPr>
          <w:p w14:paraId="2327A903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公开投入指标</w:t>
            </w:r>
          </w:p>
        </w:tc>
        <w:tc>
          <w:tcPr>
            <w:tcW w:w="3000" w:type="dxa"/>
            <w:shd w:val="clear" w:color="auto" w:fill="D9EAF7"/>
          </w:tcPr>
          <w:p w14:paraId="438B9F92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口径边界</w:t>
            </w:r>
          </w:p>
        </w:tc>
        <w:tc>
          <w:tcPr>
            <w:tcW w:w="3100" w:type="dxa"/>
            <w:shd w:val="clear" w:color="auto" w:fill="D9EAF7"/>
          </w:tcPr>
          <w:p w14:paraId="5E7588D1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主要财务压力</w:t>
            </w:r>
          </w:p>
        </w:tc>
      </w:tr>
      <w:tr w:rsidR="007B5C49" w14:paraId="3F4DB9C5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720AE39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Alphabet 2026</w:t>
            </w:r>
          </w:p>
        </w:tc>
        <w:tc>
          <w:tcPr>
            <w:tcW w:w="2500" w:type="dxa"/>
            <w:vAlign w:val="center"/>
          </w:tcPr>
          <w:p w14:paraId="26C9369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$175bn—$185bn CapEx</w:t>
            </w:r>
          </w:p>
        </w:tc>
        <w:tc>
          <w:tcPr>
            <w:tcW w:w="3000" w:type="dxa"/>
            <w:vAlign w:val="center"/>
          </w:tcPr>
          <w:p w14:paraId="10406E4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约60%服务器、40%DC/网络</w:t>
            </w:r>
          </w:p>
        </w:tc>
        <w:tc>
          <w:tcPr>
            <w:tcW w:w="3100" w:type="dxa"/>
            <w:vAlign w:val="center"/>
          </w:tcPr>
          <w:p w14:paraId="12D2E2A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折旧和能源成本加速</w:t>
            </w:r>
          </w:p>
        </w:tc>
      </w:tr>
      <w:tr w:rsidR="007B5C49" w14:paraId="29BE8845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23DC8EA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Meta 2026</w:t>
            </w:r>
          </w:p>
        </w:tc>
        <w:tc>
          <w:tcPr>
            <w:tcW w:w="2500" w:type="dxa"/>
            <w:vAlign w:val="center"/>
          </w:tcPr>
          <w:p w14:paraId="5F58D56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$115bn—$135bn CapEx</w:t>
            </w:r>
          </w:p>
        </w:tc>
        <w:tc>
          <w:tcPr>
            <w:tcW w:w="3000" w:type="dxa"/>
            <w:vAlign w:val="center"/>
          </w:tcPr>
          <w:p w14:paraId="6E0000F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含融资租赁本金支付</w:t>
            </w:r>
          </w:p>
        </w:tc>
        <w:tc>
          <w:tcPr>
            <w:tcW w:w="3100" w:type="dxa"/>
            <w:vAlign w:val="center"/>
          </w:tcPr>
          <w:p w14:paraId="1131420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AI回报与核心业务现金流</w:t>
            </w:r>
          </w:p>
        </w:tc>
      </w:tr>
      <w:tr w:rsidR="007B5C49" w14:paraId="7EB24DC1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0D7E795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Amazon 2026</w:t>
            </w:r>
          </w:p>
        </w:tc>
        <w:tc>
          <w:tcPr>
            <w:tcW w:w="2500" w:type="dxa"/>
            <w:vAlign w:val="center"/>
          </w:tcPr>
          <w:p w14:paraId="4802A46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约$200bn全公司CapEx</w:t>
            </w:r>
          </w:p>
        </w:tc>
        <w:tc>
          <w:tcPr>
            <w:tcW w:w="3000" w:type="dxa"/>
            <w:vAlign w:val="center"/>
          </w:tcPr>
          <w:p w14:paraId="2869BF1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不全是AWS/DC</w:t>
            </w:r>
          </w:p>
        </w:tc>
        <w:tc>
          <w:tcPr>
            <w:tcW w:w="3100" w:type="dxa"/>
            <w:vAlign w:val="center"/>
          </w:tcPr>
          <w:p w14:paraId="7BD392C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自由现金流下降、投资组合回报</w:t>
            </w:r>
          </w:p>
        </w:tc>
      </w:tr>
      <w:tr w:rsidR="007B5C49" w14:paraId="6285CA03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195DDC2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Microsoft FY26 Q1—Q3</w:t>
            </w:r>
          </w:p>
        </w:tc>
        <w:tc>
          <w:tcPr>
            <w:tcW w:w="2500" w:type="dxa"/>
            <w:vAlign w:val="center"/>
          </w:tcPr>
          <w:p w14:paraId="40D475F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$34.9bn/$37.5bn/$31.9bn</w:t>
            </w:r>
          </w:p>
        </w:tc>
        <w:tc>
          <w:tcPr>
            <w:tcW w:w="3000" w:type="dxa"/>
            <w:vAlign w:val="center"/>
          </w:tcPr>
          <w:p w14:paraId="31BDCFA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含融资租赁；财年季度</w:t>
            </w:r>
          </w:p>
        </w:tc>
        <w:tc>
          <w:tcPr>
            <w:tcW w:w="3100" w:type="dxa"/>
            <w:vAlign w:val="center"/>
          </w:tcPr>
          <w:p w14:paraId="59D52F5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短寿命资产占比与租赁义务</w:t>
            </w:r>
          </w:p>
        </w:tc>
      </w:tr>
    </w:tbl>
    <w:p w14:paraId="41A3B1C7" w14:textId="77777777" w:rsidR="007B5C49" w:rsidRDefault="007B5C49">
      <w:pPr>
        <w:spacing w:after="40"/>
      </w:pPr>
    </w:p>
    <w:p w14:paraId="3FE7ED38" w14:textId="77777777" w:rsidR="007B5C49" w:rsidRDefault="00000000">
      <w:pPr>
        <w:pStyle w:val="Heading2"/>
      </w:pPr>
      <w:r>
        <w:lastRenderedPageBreak/>
        <w:t>2. Hyperscaler</w:t>
      </w:r>
      <w:r>
        <w:t>的优势是现金流和多业务分摊</w:t>
      </w:r>
    </w:p>
    <w:p w14:paraId="3F845396" w14:textId="77777777" w:rsidR="007B5C49" w:rsidRDefault="00000000">
      <w:r>
        <w:t>AWS 2025收入1,287亿美元、经营利润456亿美元；Alphabet 2025经营现金流1,647亿美元；Meta 2025经营利润833亿美元。它们可以用广告、电商和成熟云业务支撑基础设施，并在内部模型、外部云客户和传统负载之间调配容量。</w:t>
      </w:r>
    </w:p>
    <w:p w14:paraId="52877DF4" w14:textId="77777777" w:rsidR="007B5C49" w:rsidRDefault="00000000">
      <w:r>
        <w:t>但大厂仍有风险：需求低于预期会形成折旧和能源成本；过早锁定芯片可能快速落后；自研ASIC失败会损失研发与产能；电力项目延迟使服务器和建筑错配。Alphabet明确预计2026年折旧增速加快，证明CapEx最终会进入损益表。</w:t>
      </w:r>
    </w:p>
    <w:p w14:paraId="32F7D907" w14:textId="77777777" w:rsidR="007B5C49" w:rsidRDefault="00000000">
      <w:pPr>
        <w:pStyle w:val="Heading2"/>
      </w:pPr>
      <w:r>
        <w:t>3. Neocloud</w:t>
      </w:r>
      <w:r>
        <w:t>靠合同融资，收入可见度高但杠杆更敏感</w:t>
      </w:r>
    </w:p>
    <w:p w14:paraId="694D9DC8" w14:textId="77777777" w:rsidR="007B5C49" w:rsidRDefault="00000000">
      <w:r>
        <w:t>CoreWeave从2023年约70MW活跃功率增至2024年360MW、2025年超过850MW；2025年底合同电力约3.1GW、RPO 607亿美元、加权合同期限约5年。到2026年一季度公司称活跃功率超过1GW、收入积压接近1,000亿美元，并目标2030年超过8GW。活跃、合同、积压和目标四个口径不能相加。</w:t>
      </w:r>
    </w:p>
    <w:p w14:paraId="61AB035B" w14:textId="77777777" w:rsidR="007B5C49" w:rsidRDefault="00000000">
      <w:r>
        <w:t>对应增长需要巨额负债：CoreWeave 2025年底总债务216亿美元、经营租赁负债82亿美元；2026年一季度总债务251亿美元、经营租赁负债101亿美元。Q1收入20.78亿美元，但利息净支出5.36亿美元、净亏损7.40亿美元。高RPO支撑融资，却不消除交付、客户信用和利率风险。</w:t>
      </w:r>
    </w:p>
    <w:p w14:paraId="78ACA401" w14:textId="77777777" w:rsidR="007B5C49" w:rsidRDefault="00000000">
      <w:pPr>
        <w:pStyle w:val="Heading2"/>
      </w:pPr>
      <w:r>
        <w:t xml:space="preserve">4. </w:t>
      </w:r>
      <w:r>
        <w:t>合同需要看五个条款，而不只看总金额</w:t>
      </w:r>
    </w:p>
    <w:p w14:paraId="121CB46D" w14:textId="77777777" w:rsidR="007B5C49" w:rsidRDefault="00000000">
      <w:r>
        <w:t>第一是take-or-pay强度及提前终止权；第二是通电/性能未达标的赔偿；第三是电价、芯片和网络成本能否传导；第四是合同期限与GPU更新周期；第五是客户集中与信用。相同100亿美元RPO，若客户可延期、价格固定而能源上涨，其融资价值远低于投资级客户的刚性付款。</w:t>
      </w:r>
    </w:p>
    <w:p w14:paraId="72426906" w14:textId="77777777" w:rsidR="007B5C49" w:rsidRDefault="00000000">
      <w:r>
        <w:t>设备残值也关键。建筑和变电站可以换租户，专用GPU和网络代际更快；如果新芯片使每token成本大降，旧集群可能需要降价。债务摊还速度若慢于GPU经济价值下降，资产覆盖会恶化。</w:t>
      </w:r>
    </w:p>
    <w:p w14:paraId="78C40A8E" w14:textId="77777777" w:rsidR="007B5C49" w:rsidRDefault="00000000">
      <w:pPr>
        <w:pStyle w:val="Heading2"/>
      </w:pPr>
      <w:r>
        <w:t xml:space="preserve">5. </w:t>
      </w:r>
      <w:r>
        <w:t>项目财务模型必须按层拆分</w:t>
      </w:r>
    </w:p>
    <w:p w14:paraId="13D5E1B3" w14:textId="77777777" w:rsidR="007B5C49" w:rsidRDefault="00000000">
      <w:r>
        <w:t>建筑/电力基础设施用长期资本和长期租约；GPU/服务器用较短设备融资和明确更新准备金；运营收入按利用率、价格和电费情景测算。不要用园区远期GW乘单一每MW收入，忽略分期、PUE、空置和芯片换代。</w:t>
      </w:r>
    </w:p>
    <w:p w14:paraId="0F404A1A" w14:textId="77777777" w:rsidR="007B5C49" w:rsidRDefault="00000000">
      <w:r>
        <w:t>压力测试至少包括：通电晚12—24个月、设备成本上升15%、利用率下降20个百分点、算力单价下降30%、利率上升200基点、最大客户违约或不续约。能在这些情景下维持债务服务和更新资本，才是真正可融资项目。</w:t>
      </w:r>
    </w:p>
    <w:p w14:paraId="30677228" w14:textId="77777777" w:rsidR="007B5C49" w:rsidRDefault="00000000">
      <w:pPr>
        <w:pStyle w:val="QALabel"/>
      </w:pPr>
      <w:r>
        <w:lastRenderedPageBreak/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7EDE5A7B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0B93308A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融资传导</w:t>
            </w:r>
          </w:p>
          <w:p w14:paraId="28B9E6F7" w14:textId="77777777" w:rsidR="007B5C49" w:rsidRDefault="00000000">
            <w:pPr>
              <w:spacing w:after="0" w:line="288" w:lineRule="auto"/>
            </w:pPr>
            <w:r>
              <w:t>长期AI合同提供收入可见度 → 开发商以合同融资建设DC和采购GPU → 通电、利用率和价格决定现金流 → 债务/租赁优先偿付 → 剩余现金必须覆盖GPU更新 → 任一环节恶化会把技术风险传成再融资和流动性风险。</w:t>
            </w:r>
          </w:p>
        </w:tc>
      </w:tr>
    </w:tbl>
    <w:p w14:paraId="33422F33" w14:textId="77777777" w:rsidR="007B5C49" w:rsidRDefault="007B5C49">
      <w:pPr>
        <w:spacing w:after="40"/>
      </w:pPr>
    </w:p>
    <w:p w14:paraId="0D197D70" w14:textId="77777777" w:rsidR="007B5C49" w:rsidRDefault="00000000">
      <w:pPr>
        <w:pStyle w:val="QALabel"/>
      </w:pPr>
      <w:r>
        <w:t>来源</w:t>
      </w:r>
    </w:p>
    <w:p w14:paraId="25EDF739" w14:textId="77777777" w:rsidR="007B5C49" w:rsidRDefault="00000000">
      <w:pPr>
        <w:spacing w:after="80"/>
        <w:ind w:left="360" w:hanging="288"/>
      </w:pPr>
      <w:r>
        <w:rPr>
          <w:b/>
        </w:rPr>
        <w:t>• Alphabet｜2025 Q4 Earnings Call</w:t>
      </w:r>
      <w:r>
        <w:t>：2026 CapEx、结构和折旧</w:t>
      </w:r>
      <w:r>
        <w:rPr>
          <w:color w:val="1F4E79"/>
        </w:rPr>
        <w:br/>
        <w:t>https://abc.xyz/investor/events/event-details/2026/2025-Q4-Earnings-Call-2026-Dr_C033hS6/default.aspx</w:t>
      </w:r>
    </w:p>
    <w:p w14:paraId="35320EC3" w14:textId="77777777" w:rsidR="007B5C49" w:rsidRDefault="00000000">
      <w:pPr>
        <w:spacing w:after="80"/>
        <w:ind w:left="360" w:hanging="288"/>
      </w:pPr>
      <w:r>
        <w:rPr>
          <w:b/>
        </w:rPr>
        <w:t>• Meta｜FY2025 Results</w:t>
      </w:r>
      <w:r>
        <w:t>：2026 CapEx指引</w:t>
      </w:r>
      <w:r>
        <w:rPr>
          <w:color w:val="1F4E79"/>
        </w:rPr>
        <w:br/>
        <w:t>https://investor.atmeta.com/investor-news/press-release-details/2026/Meta-Reports-Fourth-Quarter-and-Full-Year-2025-Results/</w:t>
      </w:r>
    </w:p>
    <w:p w14:paraId="5C6D2C80" w14:textId="77777777" w:rsidR="007B5C49" w:rsidRDefault="00000000">
      <w:pPr>
        <w:spacing w:after="80"/>
        <w:ind w:left="360" w:hanging="288"/>
      </w:pPr>
      <w:r>
        <w:rPr>
          <w:b/>
        </w:rPr>
        <w:t>• Amazon｜FY2025 Results</w:t>
      </w:r>
      <w:r>
        <w:t>：2026投资与现金流</w:t>
      </w:r>
      <w:r>
        <w:rPr>
          <w:color w:val="1F4E79"/>
        </w:rPr>
        <w:br/>
        <w:t>https://ir.aboutamazon.com/news-release/news-release-details/2026/Amazon-com-Announces-Fourth-Quarter-Results/default.aspx</w:t>
      </w:r>
    </w:p>
    <w:p w14:paraId="63510649" w14:textId="77777777" w:rsidR="007B5C49" w:rsidRDefault="00000000">
      <w:pPr>
        <w:spacing w:after="80"/>
        <w:ind w:left="360" w:hanging="288"/>
      </w:pPr>
      <w:r>
        <w:rPr>
          <w:b/>
        </w:rPr>
        <w:t>• Microsoft｜FY2026 Q3 Call</w:t>
      </w:r>
      <w:r>
        <w:t>：季度CapEx与资产结构</w:t>
      </w:r>
      <w:r>
        <w:rPr>
          <w:color w:val="1F4E79"/>
        </w:rPr>
        <w:br/>
        <w:t>https://www.microsoft.com/en-us/investor/events/fy-2026/earnings-fy-2026-q3</w:t>
      </w:r>
    </w:p>
    <w:p w14:paraId="366B0BEA" w14:textId="77777777" w:rsidR="007B5C49" w:rsidRDefault="00000000">
      <w:pPr>
        <w:spacing w:after="80"/>
        <w:ind w:left="360" w:hanging="288"/>
      </w:pPr>
      <w:r>
        <w:rPr>
          <w:b/>
        </w:rPr>
        <w:t>• CoreWeave｜2025 Form 10-K</w:t>
      </w:r>
      <w:r>
        <w:t>：活跃/合同功率、RPO、债务与租赁</w:t>
      </w:r>
      <w:r>
        <w:rPr>
          <w:color w:val="1F4E79"/>
        </w:rPr>
        <w:br/>
        <w:t>https://www.sec.gov/Archives/edgar/data/1769628/000176962826000104/crwv-20251231.htm</w:t>
      </w:r>
    </w:p>
    <w:p w14:paraId="43B4F157" w14:textId="77777777" w:rsidR="007B5C49" w:rsidRDefault="00000000">
      <w:pPr>
        <w:spacing w:after="80"/>
        <w:ind w:left="360" w:hanging="288"/>
      </w:pPr>
      <w:r>
        <w:rPr>
          <w:b/>
        </w:rPr>
        <w:t>• CoreWeave｜Q1 2026 Results</w:t>
      </w:r>
      <w:r>
        <w:t>：收入、积压、功率和亏损</w:t>
      </w:r>
      <w:r>
        <w:rPr>
          <w:color w:val="1F4E79"/>
        </w:rPr>
        <w:br/>
        <w:t>https://investors.coreweave.com/news/news-details/2026/CoreWeave-Reports-Strong-First-Quarter-2026-Results/</w:t>
      </w:r>
    </w:p>
    <w:p w14:paraId="0F9B6E93" w14:textId="77777777" w:rsidR="007B5C49" w:rsidRDefault="00000000">
      <w:pPr>
        <w:pStyle w:val="Heading1"/>
        <w:pageBreakBefore/>
      </w:pPr>
      <w:r>
        <w:lastRenderedPageBreak/>
        <w:t>Q34</w:t>
      </w:r>
      <w:r>
        <w:t>：</w:t>
      </w:r>
      <w:r>
        <w:t>2026—2030</w:t>
      </w:r>
      <w:r>
        <w:t>基准、乐观与压力情景分别是什么？</w:t>
      </w:r>
    </w:p>
    <w:p w14:paraId="58EDBA51" w14:textId="77777777" w:rsidR="007B5C49" w:rsidRDefault="00000000">
      <w:pPr>
        <w:pStyle w:val="QALabel"/>
      </w:pPr>
      <w:r>
        <w:t>通俗问题</w:t>
      </w:r>
    </w:p>
    <w:p w14:paraId="3311A91E" w14:textId="77777777" w:rsidR="007B5C49" w:rsidRDefault="00000000">
      <w:r>
        <w:t>未来四年数据中心会一直短缺，还是会像过去科技投资周期一样过度建设？应该用什么数字做三种情景？</w:t>
      </w:r>
    </w:p>
    <w:p w14:paraId="4791A8C2" w14:textId="77777777" w:rsidR="007B5C49" w:rsidRDefault="00000000">
      <w:pPr>
        <w:pStyle w:val="QALabel"/>
      </w:pPr>
      <w:r>
        <w:t>主要研究（专业）</w:t>
      </w:r>
    </w:p>
    <w:p w14:paraId="3A03F18B" w14:textId="77777777" w:rsidR="007B5C49" w:rsidRDefault="00000000">
      <w:r>
        <w:t>以全球用电和IT工作负载需求为锚，构建供给兑现、效率、利用率和资本约束的可更新情景。</w:t>
      </w:r>
    </w:p>
    <w:p w14:paraId="44563DE2" w14:textId="77777777" w:rsidR="007B5C49" w:rsidRDefault="00000000">
      <w:pPr>
        <w:pStyle w:val="QALabel"/>
      </w:pPr>
      <w:r>
        <w:t>研究方向</w:t>
      </w:r>
    </w:p>
    <w:p w14:paraId="3B90DF84" w14:textId="77777777" w:rsidR="007B5C49" w:rsidRDefault="00000000">
      <w:pPr>
        <w:pStyle w:val="ListBullet"/>
        <w:spacing w:after="80" w:line="288" w:lineRule="auto"/>
        <w:ind w:left="403" w:hanging="259"/>
      </w:pPr>
      <w:r>
        <w:t>以IEA 945TWh和McKinsey 219GW作为不同口径的基准锚，不直接相加。</w:t>
      </w:r>
    </w:p>
    <w:p w14:paraId="3FDBB1AE" w14:textId="77777777" w:rsidR="007B5C49" w:rsidRDefault="00000000">
      <w:pPr>
        <w:pStyle w:val="ListBullet"/>
        <w:spacing w:after="80" w:line="288" w:lineRule="auto"/>
        <w:ind w:left="403" w:hanging="259"/>
      </w:pPr>
      <w:r>
        <w:t>对乐观与压力情景明确触发条件。</w:t>
      </w:r>
    </w:p>
    <w:p w14:paraId="6A3C3B2C" w14:textId="77777777" w:rsidR="007B5C49" w:rsidRDefault="00000000">
      <w:pPr>
        <w:pStyle w:val="ListBullet"/>
        <w:spacing w:after="80" w:line="288" w:lineRule="auto"/>
        <w:ind w:left="403" w:hanging="259"/>
      </w:pPr>
      <w:r>
        <w:t>分别判断训练、推理、传统云和企业托管的表现。</w:t>
      </w:r>
    </w:p>
    <w:p w14:paraId="23B6F475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7A678CD8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3CCCEE71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1CE438E6" w14:textId="77777777" w:rsidR="007B5C49" w:rsidRDefault="00000000">
            <w:pPr>
              <w:spacing w:after="0" w:line="288" w:lineRule="auto"/>
            </w:pPr>
            <w:r>
              <w:t>基准情景是全球数据中心用电由2024年415TWh升至2030年约945TWh，工作负载功率需求由2025年82.3GW升至2030年219GW；电力和设备延迟使供给逐步而非一次性落地。乐观情景由AI采用、推理需求和供应链改善推动，2030年需求可高出基准约15%—25%；压力情景下效率提升、融资收紧和项目延期使需求低15%—25%，但核心电力市场仍可能紧张。以上区间为本研究情景，不是IEA或公司指引。</w:t>
            </w:r>
          </w:p>
        </w:tc>
      </w:tr>
    </w:tbl>
    <w:p w14:paraId="71932AA2" w14:textId="77777777" w:rsidR="007B5C49" w:rsidRDefault="007B5C49">
      <w:pPr>
        <w:spacing w:after="40"/>
      </w:pPr>
    </w:p>
    <w:p w14:paraId="35D785E8" w14:textId="77777777" w:rsidR="007B5C49" w:rsidRDefault="00000000">
      <w:pPr>
        <w:pStyle w:val="QALabel"/>
      </w:pPr>
      <w:r>
        <w:t>详细支撑</w:t>
      </w:r>
    </w:p>
    <w:p w14:paraId="2838F544" w14:textId="77777777" w:rsidR="007B5C49" w:rsidRDefault="00000000">
      <w:pPr>
        <w:pStyle w:val="Heading2"/>
      </w:pPr>
      <w:r>
        <w:t xml:space="preserve">1. </w:t>
      </w:r>
      <w:r>
        <w:t>基准锚点来自两个不可直接相加的模型</w:t>
      </w:r>
    </w:p>
    <w:p w14:paraId="2C25FF55" w14:textId="77777777" w:rsidR="007B5C49" w:rsidRDefault="00000000">
      <w:r>
        <w:t>IEA按设施用电估计全球数据中心由2024年415TWh升至2030年945TWh，约占全球用电3%。McKinsey按工作负载功率估计2025年82.3GW升至2030年219GW，其中非AI63.5GW、AI训练62.2GW、AI推理93.3GW。一个是年电量，一个是工作负载功率需求，不能相加或通过8,760小时简单互换。</w:t>
      </w:r>
    </w:p>
    <w:p w14:paraId="48C11A3F" w14:textId="77777777" w:rsidR="007B5C49" w:rsidRDefault="00000000">
      <w:r>
        <w:t>Berkeley Lab给美国2030年9.5%—15.3%全国用电区间，中央11.8%，说明即使同一国家也存在较宽不确定性。情景的价值不是给单点，而是明确什么变量让结果向上或向下。</w:t>
      </w:r>
    </w:p>
    <w:p w14:paraId="3318CFD5" w14:textId="77777777" w:rsidR="007B5C49" w:rsidRDefault="00000000">
      <w:pPr>
        <w:pStyle w:val="Heading2"/>
      </w:pPr>
      <w:r>
        <w:t xml:space="preserve">2. </w:t>
      </w:r>
      <w:r>
        <w:t>本研究三情景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2100"/>
        <w:gridCol w:w="2400"/>
        <w:gridCol w:w="3300"/>
        <w:gridCol w:w="2600"/>
      </w:tblGrid>
      <w:tr w:rsidR="007B5C49" w14:paraId="2299CA03" w14:textId="77777777">
        <w:trPr>
          <w:tblHeader/>
          <w:jc w:val="center"/>
        </w:trPr>
        <w:tc>
          <w:tcPr>
            <w:tcW w:w="1900" w:type="dxa"/>
            <w:shd w:val="clear" w:color="auto" w:fill="D9EAF7"/>
          </w:tcPr>
          <w:p w14:paraId="59E9FC43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情景</w:t>
            </w:r>
          </w:p>
        </w:tc>
        <w:tc>
          <w:tcPr>
            <w:tcW w:w="2100" w:type="dxa"/>
            <w:shd w:val="clear" w:color="auto" w:fill="D9EAF7"/>
          </w:tcPr>
          <w:p w14:paraId="007F8709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2030相对基准需求</w:t>
            </w:r>
          </w:p>
        </w:tc>
        <w:tc>
          <w:tcPr>
            <w:tcW w:w="2400" w:type="dxa"/>
            <w:shd w:val="clear" w:color="auto" w:fill="D9EAF7"/>
          </w:tcPr>
          <w:p w14:paraId="376C1EF0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供给兑现</w:t>
            </w:r>
          </w:p>
        </w:tc>
        <w:tc>
          <w:tcPr>
            <w:tcW w:w="3300" w:type="dxa"/>
            <w:shd w:val="clear" w:color="auto" w:fill="D9EAF7"/>
          </w:tcPr>
          <w:p w14:paraId="49EBBFA5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主要假设</w:t>
            </w:r>
          </w:p>
        </w:tc>
        <w:tc>
          <w:tcPr>
            <w:tcW w:w="2600" w:type="dxa"/>
            <w:shd w:val="clear" w:color="auto" w:fill="D9EAF7"/>
          </w:tcPr>
          <w:p w14:paraId="7423F5CE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市场结果</w:t>
            </w:r>
          </w:p>
        </w:tc>
      </w:tr>
      <w:tr w:rsidR="007B5C49" w14:paraId="46BDC7DC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00E7976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乐观/加速</w:t>
            </w:r>
          </w:p>
        </w:tc>
        <w:tc>
          <w:tcPr>
            <w:tcW w:w="2100" w:type="dxa"/>
            <w:vAlign w:val="center"/>
          </w:tcPr>
          <w:p w14:paraId="4FA81AB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基准+15%—25%</w:t>
            </w:r>
          </w:p>
        </w:tc>
        <w:tc>
          <w:tcPr>
            <w:tcW w:w="2400" w:type="dxa"/>
            <w:vAlign w:val="center"/>
          </w:tcPr>
          <w:p w14:paraId="7F16BA1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电网、现场电源和芯片按期改善</w:t>
            </w:r>
          </w:p>
        </w:tc>
        <w:tc>
          <w:tcPr>
            <w:tcW w:w="3300" w:type="dxa"/>
            <w:vAlign w:val="center"/>
          </w:tcPr>
          <w:p w14:paraId="25ED420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Agent/视频推理爆发；融资充足；效率反弹被用量吸收</w:t>
            </w:r>
          </w:p>
        </w:tc>
        <w:tc>
          <w:tcPr>
            <w:tcW w:w="2600" w:type="dxa"/>
            <w:vAlign w:val="center"/>
          </w:tcPr>
          <w:p w14:paraId="1A0B836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能源型新市场扩张，价格仍高</w:t>
            </w:r>
          </w:p>
        </w:tc>
      </w:tr>
      <w:tr w:rsidR="007B5C49" w14:paraId="4050AC1E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79A925E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基准</w:t>
            </w:r>
          </w:p>
        </w:tc>
        <w:tc>
          <w:tcPr>
            <w:tcW w:w="2100" w:type="dxa"/>
            <w:vAlign w:val="center"/>
          </w:tcPr>
          <w:p w14:paraId="691FE6B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IEA 945TWh；工作负载219GW锚</w:t>
            </w:r>
          </w:p>
        </w:tc>
        <w:tc>
          <w:tcPr>
            <w:tcW w:w="2400" w:type="dxa"/>
            <w:vAlign w:val="center"/>
          </w:tcPr>
          <w:p w14:paraId="07E38FA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分期延迟但持续交付</w:t>
            </w:r>
          </w:p>
        </w:tc>
        <w:tc>
          <w:tcPr>
            <w:tcW w:w="3300" w:type="dxa"/>
            <w:vAlign w:val="center"/>
          </w:tcPr>
          <w:p w14:paraId="400A5C2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推理快增；训练稳定扩张；效率逐代改善</w:t>
            </w:r>
          </w:p>
        </w:tc>
        <w:tc>
          <w:tcPr>
            <w:tcW w:w="2600" w:type="dxa"/>
            <w:vAlign w:val="center"/>
          </w:tcPr>
          <w:p w14:paraId="687DE1E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核心市场短缺，外围逐步平衡</w:t>
            </w:r>
          </w:p>
        </w:tc>
      </w:tr>
      <w:tr w:rsidR="007B5C49" w14:paraId="036F853F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71E7DA2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压力/消化</w:t>
            </w:r>
          </w:p>
        </w:tc>
        <w:tc>
          <w:tcPr>
            <w:tcW w:w="2100" w:type="dxa"/>
            <w:vAlign w:val="center"/>
          </w:tcPr>
          <w:p w14:paraId="66A81F0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基准-15%—25%</w:t>
            </w:r>
          </w:p>
        </w:tc>
        <w:tc>
          <w:tcPr>
            <w:tcW w:w="2400" w:type="dxa"/>
            <w:vAlign w:val="center"/>
          </w:tcPr>
          <w:p w14:paraId="5ABAE66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规划项目延期/取消增加</w:t>
            </w:r>
          </w:p>
        </w:tc>
        <w:tc>
          <w:tcPr>
            <w:tcW w:w="3300" w:type="dxa"/>
            <w:vAlign w:val="center"/>
          </w:tcPr>
          <w:p w14:paraId="4F2599E4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AI收入慢；效率更强；资本成本高；客户整合</w:t>
            </w:r>
          </w:p>
        </w:tc>
        <w:tc>
          <w:tcPr>
            <w:tcW w:w="2600" w:type="dxa"/>
            <w:vAlign w:val="center"/>
          </w:tcPr>
          <w:p w14:paraId="708D9A9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部分新兴市场过剩，核心电力仍稀缺</w:t>
            </w:r>
          </w:p>
        </w:tc>
      </w:tr>
    </w:tbl>
    <w:p w14:paraId="685769D2" w14:textId="77777777" w:rsidR="007B5C49" w:rsidRDefault="007B5C49">
      <w:pPr>
        <w:spacing w:after="40"/>
      </w:pPr>
    </w:p>
    <w:p w14:paraId="7C83965F" w14:textId="77777777" w:rsidR="007B5C49" w:rsidRDefault="00000000">
      <w:r>
        <w:lastRenderedPageBreak/>
        <w:t>相对区间是研究假设。IEA自身对2035年给出约700—1,700TWh的更宽敏感性范围，但时间点不同；本报告不把2035区间硬插值为2030预测，而只用其验证不确定性方向。</w:t>
      </w:r>
    </w:p>
    <w:p w14:paraId="5F2CA8BB" w14:textId="77777777" w:rsidR="007B5C49" w:rsidRDefault="00000000">
      <w:pPr>
        <w:pStyle w:val="Heading2"/>
      </w:pPr>
      <w:r>
        <w:t xml:space="preserve">3. </w:t>
      </w:r>
      <w:r>
        <w:t>乐观情景需要供需两边同时突破</w:t>
      </w:r>
    </w:p>
    <w:p w14:paraId="4F51EF44" w14:textId="77777777" w:rsidR="007B5C49" w:rsidRDefault="00000000">
      <w:r>
        <w:t>需求侧：推理token增长、Agent和视频生成大规模商业化，AI训练持续扩展；供给侧：HBM/封装、GPU/ASIC、800G网络、液冷和变压器爬坡，电网允许灵活负荷和现场电源。仅需求强而电力不交付，会形成更高租金和等待，并非更高运行MW。</w:t>
      </w:r>
    </w:p>
    <w:p w14:paraId="1554DBAC" w14:textId="77777777" w:rsidR="007B5C49" w:rsidRDefault="00000000">
      <w:r>
        <w:t>IEA Lift-Off逻辑指出供应链更韧性和位置/供电灵活可加快部署，但长并网队列也可能让额外用电更多由化石能源满足。乐观容量并不自动等于低碳情景。</w:t>
      </w:r>
    </w:p>
    <w:p w14:paraId="737C1266" w14:textId="77777777" w:rsidR="007B5C49" w:rsidRDefault="00000000">
      <w:pPr>
        <w:pStyle w:val="Heading2"/>
      </w:pPr>
      <w:r>
        <w:t xml:space="preserve">4. </w:t>
      </w:r>
      <w:r>
        <w:t>压力情景并非</w:t>
      </w:r>
      <w:r>
        <w:t>“</w:t>
      </w:r>
      <w:r>
        <w:t>行业崩溃</w:t>
      </w:r>
      <w:r>
        <w:t>”</w:t>
      </w:r>
      <w:r>
        <w:t>，而是项目分化</w:t>
      </w:r>
    </w:p>
    <w:p w14:paraId="79DAC6BE" w14:textId="77777777" w:rsidR="007B5C49" w:rsidRDefault="00000000">
      <w:r>
        <w:t>压力来自模型效率和小模型降低单位计算、AI应用付费慢于资本开支、利率与电价上升、并网延期、客户减少重复预订。计划阶段和无锚定客户的远期GW先取消；已投运、低成本电力、成熟客户和互联核心资产仍有价值。</w:t>
      </w:r>
    </w:p>
    <w:p w14:paraId="5907523F" w14:textId="77777777" w:rsidR="007B5C49" w:rsidRDefault="00000000">
      <w:r>
        <w:t>训练需求可能先放缓或集中到少数大厂，推理仍随应用扩散增长；传统云保持较低但稳定增速。Neocloud若合同集中和债务重，最容易出现再融资压力；拥有多业务现金流的Hyperscaler可放慢CapEx但继续使用既有资产。</w:t>
      </w:r>
    </w:p>
    <w:p w14:paraId="08EB1208" w14:textId="77777777" w:rsidR="007B5C49" w:rsidRDefault="00000000">
      <w:pPr>
        <w:pStyle w:val="Heading2"/>
      </w:pPr>
      <w:r>
        <w:t xml:space="preserve">5. </w:t>
      </w:r>
      <w:r>
        <w:t>供给过剩要看</w:t>
      </w:r>
      <w:r>
        <w:t>“</w:t>
      </w:r>
      <w:r>
        <w:t>可用且匹配</w:t>
      </w:r>
      <w:r>
        <w:t>”</w:t>
      </w:r>
      <w:r>
        <w:t>的容量</w:t>
      </w:r>
    </w:p>
    <w:p w14:paraId="3D1F79E6" w14:textId="77777777" w:rsidR="007B5C49" w:rsidRDefault="00000000">
      <w:r>
        <w:t>一个市场总体MW过剩，不代表130kW液冷机柜、800G网络和低延迟互联过剩。传统风冷白空间不能无成本转成AI容量；偏远训练园区也不能替代都市推理和企业合规节点。供需平衡至少按功率密度、冷却、网络、位置、交付期和合同期限切分。</w:t>
      </w:r>
    </w:p>
    <w:p w14:paraId="7B9440D9" w14:textId="77777777" w:rsidR="007B5C49" w:rsidRDefault="00000000">
      <w:r>
        <w:t>真正的周期顶部信号是：多个市场同时出现交付后空置、预租率下降、租金回落、设备交期缩短、项目取消增加和二手GPU价格下跌，而不是单个远期项目暂停。</w:t>
      </w:r>
    </w:p>
    <w:p w14:paraId="0188ABF0" w14:textId="77777777" w:rsidR="007B5C49" w:rsidRDefault="00000000">
      <w:pPr>
        <w:pStyle w:val="QALabel"/>
      </w:pPr>
      <w:r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39563464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7338C743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情景形成</w:t>
            </w:r>
          </w:p>
          <w:p w14:paraId="64415491" w14:textId="77777777" w:rsidR="007B5C49" w:rsidRDefault="00000000">
            <w:pPr>
              <w:spacing w:after="0" w:line="288" w:lineRule="auto"/>
            </w:pPr>
            <w:r>
              <w:t>AI使用量与单位计算效率共同决定需求 → 芯片、电网、设备和融资决定供给兑现 → 供需差决定租金、预租和投资 → 价格信号促使更多建设或项目取消 → 2030结果是多轮反馈，而非今天规划GW的简单累加。</w:t>
            </w:r>
          </w:p>
        </w:tc>
      </w:tr>
    </w:tbl>
    <w:p w14:paraId="3B24A184" w14:textId="77777777" w:rsidR="007B5C49" w:rsidRDefault="007B5C49">
      <w:pPr>
        <w:spacing w:after="40"/>
      </w:pPr>
    </w:p>
    <w:p w14:paraId="07551FD8" w14:textId="77777777" w:rsidR="007B5C49" w:rsidRDefault="00000000">
      <w:pPr>
        <w:pStyle w:val="QALabel"/>
      </w:pPr>
      <w:r>
        <w:t>来源</w:t>
      </w:r>
    </w:p>
    <w:p w14:paraId="67B3619B" w14:textId="77777777" w:rsidR="007B5C49" w:rsidRDefault="00000000">
      <w:pPr>
        <w:spacing w:after="80"/>
        <w:ind w:left="360" w:hanging="288"/>
      </w:pPr>
      <w:r>
        <w:rPr>
          <w:b/>
        </w:rPr>
        <w:t>• IEA｜Energy Demand from AI</w:t>
      </w:r>
      <w:r>
        <w:t>：2030基准与敏感情景</w:t>
      </w:r>
      <w:r>
        <w:rPr>
          <w:color w:val="1F4E79"/>
        </w:rPr>
        <w:br/>
        <w:t>https://www.iea.org/reports/energy-and-ai/energy-demand-from-ai</w:t>
      </w:r>
    </w:p>
    <w:p w14:paraId="67B463BA" w14:textId="77777777" w:rsidR="007B5C49" w:rsidRDefault="00000000">
      <w:pPr>
        <w:spacing w:after="80"/>
        <w:ind w:left="360" w:hanging="288"/>
      </w:pPr>
      <w:r>
        <w:rPr>
          <w:b/>
        </w:rPr>
        <w:t>• McKinsey｜The future of AI workloads</w:t>
      </w:r>
      <w:r>
        <w:t>：2025—2030工作负载GW拆分</w:t>
      </w:r>
      <w:r>
        <w:rPr>
          <w:color w:val="1F4E79"/>
        </w:rPr>
        <w:br/>
        <w:t>https://www.mckinsey.com/featured-insights/week-in-charts/the-future-of-ai-workloads</w:t>
      </w:r>
    </w:p>
    <w:p w14:paraId="0E62D068" w14:textId="77777777" w:rsidR="007B5C49" w:rsidRDefault="00000000">
      <w:pPr>
        <w:spacing w:after="80"/>
        <w:ind w:left="360" w:hanging="288"/>
      </w:pPr>
      <w:r>
        <w:rPr>
          <w:b/>
        </w:rPr>
        <w:lastRenderedPageBreak/>
        <w:t>• Berkeley Lab｜US Data Center Energy Usage 2025 Update</w:t>
      </w:r>
      <w:r>
        <w:t>：美国2030区间</w:t>
      </w:r>
      <w:r>
        <w:rPr>
          <w:color w:val="1F4E79"/>
        </w:rPr>
        <w:br/>
        <w:t>https://bies.lbl.gov/publications/united-states-data-center-energy-2025</w:t>
      </w:r>
    </w:p>
    <w:p w14:paraId="7FE1E697" w14:textId="77777777" w:rsidR="007B5C49" w:rsidRDefault="00000000">
      <w:pPr>
        <w:pStyle w:val="Heading1"/>
        <w:pageBreakBefore/>
      </w:pPr>
      <w:r>
        <w:lastRenderedPageBreak/>
        <w:t>Q35</w:t>
      </w:r>
      <w:r>
        <w:t>：应用哪些指标持续判断行业是短缺、过热还是转向？</w:t>
      </w:r>
    </w:p>
    <w:p w14:paraId="185833A2" w14:textId="77777777" w:rsidR="007B5C49" w:rsidRDefault="00000000">
      <w:pPr>
        <w:pStyle w:val="QALabel"/>
      </w:pPr>
      <w:r>
        <w:t>通俗问题</w:t>
      </w:r>
    </w:p>
    <w:p w14:paraId="0AC17C3C" w14:textId="77777777" w:rsidR="007B5C49" w:rsidRDefault="00000000">
      <w:r>
        <w:t>新闻每天都在宣布新园区和大合同，怎样建立一套不会被宣传数字误导的行业仪表盘？</w:t>
      </w:r>
    </w:p>
    <w:p w14:paraId="3BC7CDFB" w14:textId="77777777" w:rsidR="007B5C49" w:rsidRDefault="00000000">
      <w:pPr>
        <w:pStyle w:val="QALabel"/>
      </w:pPr>
      <w:r>
        <w:t>主要研究（专业）</w:t>
      </w:r>
    </w:p>
    <w:p w14:paraId="7B35FB42" w14:textId="77777777" w:rsidR="007B5C49" w:rsidRDefault="00000000">
      <w:r>
        <w:t>以项目状态漏斗、供需、价格、设备交期、资本与运行效率构建月度/季度监测框架。</w:t>
      </w:r>
    </w:p>
    <w:p w14:paraId="60F51473" w14:textId="77777777" w:rsidR="007B5C49" w:rsidRDefault="00000000">
      <w:pPr>
        <w:pStyle w:val="QALabel"/>
      </w:pPr>
      <w:r>
        <w:t>研究方向</w:t>
      </w:r>
    </w:p>
    <w:p w14:paraId="351E7B2F" w14:textId="77777777" w:rsidR="007B5C49" w:rsidRDefault="00000000">
      <w:pPr>
        <w:pStyle w:val="ListBullet"/>
        <w:spacing w:after="80" w:line="288" w:lineRule="auto"/>
        <w:ind w:left="403" w:hanging="259"/>
      </w:pPr>
      <w:r>
        <w:t>为每个指标给出定义、频率和方向。</w:t>
      </w:r>
    </w:p>
    <w:p w14:paraId="6D689A21" w14:textId="77777777" w:rsidR="007B5C49" w:rsidRDefault="00000000">
      <w:pPr>
        <w:pStyle w:val="ListBullet"/>
        <w:spacing w:after="80" w:line="288" w:lineRule="auto"/>
        <w:ind w:left="403" w:hanging="259"/>
      </w:pPr>
      <w:r>
        <w:t>建立从规划GW到有效算力的去重漏斗。</w:t>
      </w:r>
    </w:p>
    <w:p w14:paraId="60EDDEF2" w14:textId="77777777" w:rsidR="007B5C49" w:rsidRDefault="00000000">
      <w:pPr>
        <w:pStyle w:val="ListBullet"/>
        <w:spacing w:after="80" w:line="288" w:lineRule="auto"/>
        <w:ind w:left="403" w:hanging="259"/>
      </w:pPr>
      <w:r>
        <w:t>定义短缺、健康扩张和过热/压力的组合信号。</w:t>
      </w:r>
    </w:p>
    <w:p w14:paraId="208EC69A" w14:textId="77777777" w:rsidR="007B5C49" w:rsidRDefault="00000000">
      <w:pPr>
        <w:pStyle w:val="QALabel"/>
      </w:pPr>
      <w:r>
        <w:t>核心答案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634CBE13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2065CFDF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一句话结论</w:t>
            </w:r>
          </w:p>
          <w:p w14:paraId="7CE47440" w14:textId="77777777" w:rsidR="007B5C49" w:rsidRDefault="00000000">
            <w:pPr>
              <w:spacing w:after="0" w:line="288" w:lineRule="auto"/>
            </w:pPr>
            <w:r>
              <w:t>最重要的不是“宣布多少GW”，而是规划容量依次通过土地、许可、电力、融资、开工、设备到场、通电、IT安装和利用率九道闸门。行业仪表盘应同时跟踪运营/在建IT MW、空置与预租、并网日期、设备交期、CapEx/现金流/RPO、GPU价格与利用率、PUE/WUE。只有多个指标同向，才能判断短缺或过剩。</w:t>
            </w:r>
          </w:p>
        </w:tc>
      </w:tr>
    </w:tbl>
    <w:p w14:paraId="1224BE4A" w14:textId="77777777" w:rsidR="007B5C49" w:rsidRDefault="007B5C49">
      <w:pPr>
        <w:spacing w:after="40"/>
      </w:pPr>
    </w:p>
    <w:p w14:paraId="26A4D921" w14:textId="77777777" w:rsidR="007B5C49" w:rsidRDefault="00000000">
      <w:pPr>
        <w:pStyle w:val="QALabel"/>
      </w:pPr>
      <w:r>
        <w:t>详细支撑</w:t>
      </w:r>
    </w:p>
    <w:p w14:paraId="1D2A7BF7" w14:textId="77777777" w:rsidR="007B5C49" w:rsidRDefault="00000000">
      <w:pPr>
        <w:pStyle w:val="Heading2"/>
      </w:pPr>
      <w:r>
        <w:t xml:space="preserve">1. </w:t>
      </w:r>
      <w:r>
        <w:t>建立九级项目状态漏斗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0"/>
        <w:gridCol w:w="2100"/>
        <w:gridCol w:w="3500"/>
        <w:gridCol w:w="3300"/>
      </w:tblGrid>
      <w:tr w:rsidR="007B5C49" w14:paraId="2EF06B9A" w14:textId="77777777">
        <w:trPr>
          <w:tblHeader/>
          <w:jc w:val="center"/>
        </w:trPr>
        <w:tc>
          <w:tcPr>
            <w:tcW w:w="1300" w:type="dxa"/>
            <w:shd w:val="clear" w:color="auto" w:fill="D9EAF7"/>
          </w:tcPr>
          <w:p w14:paraId="01E27652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级别</w:t>
            </w:r>
          </w:p>
        </w:tc>
        <w:tc>
          <w:tcPr>
            <w:tcW w:w="2100" w:type="dxa"/>
            <w:shd w:val="clear" w:color="auto" w:fill="D9EAF7"/>
          </w:tcPr>
          <w:p w14:paraId="67E1D51E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状态</w:t>
            </w:r>
          </w:p>
        </w:tc>
        <w:tc>
          <w:tcPr>
            <w:tcW w:w="3500" w:type="dxa"/>
            <w:shd w:val="clear" w:color="auto" w:fill="D9EAF7"/>
          </w:tcPr>
          <w:p w14:paraId="5DB9DBFB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最低证据</w:t>
            </w:r>
          </w:p>
        </w:tc>
        <w:tc>
          <w:tcPr>
            <w:tcW w:w="3300" w:type="dxa"/>
            <w:shd w:val="clear" w:color="auto" w:fill="D9EAF7"/>
          </w:tcPr>
          <w:p w14:paraId="3E39153C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可计入口径</w:t>
            </w:r>
          </w:p>
        </w:tc>
      </w:tr>
      <w:tr w:rsidR="007B5C49" w14:paraId="16DBDE44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585CAD6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L1</w:t>
            </w:r>
          </w:p>
        </w:tc>
        <w:tc>
          <w:tcPr>
            <w:tcW w:w="2100" w:type="dxa"/>
            <w:vAlign w:val="center"/>
          </w:tcPr>
          <w:p w14:paraId="7674A2E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宣布/愿景</w:t>
            </w:r>
          </w:p>
        </w:tc>
        <w:tc>
          <w:tcPr>
            <w:tcW w:w="3500" w:type="dxa"/>
            <w:vAlign w:val="center"/>
          </w:tcPr>
          <w:p w14:paraId="73996B8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公司或政府公告</w:t>
            </w:r>
          </w:p>
        </w:tc>
        <w:tc>
          <w:tcPr>
            <w:tcW w:w="3300" w:type="dxa"/>
            <w:vAlign w:val="center"/>
          </w:tcPr>
          <w:p w14:paraId="5FBDFE9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远期管线，不算供给</w:t>
            </w:r>
          </w:p>
        </w:tc>
      </w:tr>
      <w:tr w:rsidR="007B5C49" w14:paraId="290F429B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0BEA852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L2</w:t>
            </w:r>
          </w:p>
        </w:tc>
        <w:tc>
          <w:tcPr>
            <w:tcW w:w="2100" w:type="dxa"/>
            <w:vAlign w:val="center"/>
          </w:tcPr>
          <w:p w14:paraId="3F03410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土地控制</w:t>
            </w:r>
          </w:p>
        </w:tc>
        <w:tc>
          <w:tcPr>
            <w:tcW w:w="3500" w:type="dxa"/>
            <w:vAlign w:val="center"/>
          </w:tcPr>
          <w:p w14:paraId="7AE34A5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产权/期权/租约</w:t>
            </w:r>
          </w:p>
        </w:tc>
        <w:tc>
          <w:tcPr>
            <w:tcW w:w="3300" w:type="dxa"/>
            <w:vAlign w:val="center"/>
          </w:tcPr>
          <w:p w14:paraId="7CA6E0E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候选项目</w:t>
            </w:r>
          </w:p>
        </w:tc>
      </w:tr>
      <w:tr w:rsidR="007B5C49" w14:paraId="7EA9B38E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497B06CE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L3</w:t>
            </w:r>
          </w:p>
        </w:tc>
        <w:tc>
          <w:tcPr>
            <w:tcW w:w="2100" w:type="dxa"/>
            <w:vAlign w:val="center"/>
          </w:tcPr>
          <w:p w14:paraId="0FC0E62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许可/规划批准</w:t>
            </w:r>
          </w:p>
        </w:tc>
        <w:tc>
          <w:tcPr>
            <w:tcW w:w="3500" w:type="dxa"/>
            <w:vAlign w:val="center"/>
          </w:tcPr>
          <w:p w14:paraId="764A2D6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主管机关决定</w:t>
            </w:r>
          </w:p>
        </w:tc>
        <w:tc>
          <w:tcPr>
            <w:tcW w:w="3300" w:type="dxa"/>
            <w:vAlign w:val="center"/>
          </w:tcPr>
          <w:p w14:paraId="16BD7E7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获批管线</w:t>
            </w:r>
          </w:p>
        </w:tc>
      </w:tr>
      <w:tr w:rsidR="007B5C49" w14:paraId="139886A5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4F5A595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L4</w:t>
            </w:r>
          </w:p>
        </w:tc>
        <w:tc>
          <w:tcPr>
            <w:tcW w:w="2100" w:type="dxa"/>
            <w:vAlign w:val="center"/>
          </w:tcPr>
          <w:p w14:paraId="5822BAD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电力与并网</w:t>
            </w:r>
          </w:p>
        </w:tc>
        <w:tc>
          <w:tcPr>
            <w:tcW w:w="3500" w:type="dxa"/>
            <w:vAlign w:val="center"/>
          </w:tcPr>
          <w:p w14:paraId="4765DE0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正式协议、可交付日期和容量</w:t>
            </w:r>
          </w:p>
        </w:tc>
        <w:tc>
          <w:tcPr>
            <w:tcW w:w="3300" w:type="dxa"/>
            <w:vAlign w:val="center"/>
          </w:tcPr>
          <w:p w14:paraId="2A04C22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合同电力，不算运行</w:t>
            </w:r>
          </w:p>
        </w:tc>
      </w:tr>
      <w:tr w:rsidR="007B5C49" w14:paraId="403F3C36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5D7217D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L5</w:t>
            </w:r>
          </w:p>
        </w:tc>
        <w:tc>
          <w:tcPr>
            <w:tcW w:w="2100" w:type="dxa"/>
            <w:vAlign w:val="center"/>
          </w:tcPr>
          <w:p w14:paraId="7D08AFB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融资关闭/锚定客户</w:t>
            </w:r>
          </w:p>
        </w:tc>
        <w:tc>
          <w:tcPr>
            <w:tcW w:w="3500" w:type="dxa"/>
            <w:vAlign w:val="center"/>
          </w:tcPr>
          <w:p w14:paraId="514B382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资金到位、刚性合同</w:t>
            </w:r>
          </w:p>
        </w:tc>
        <w:tc>
          <w:tcPr>
            <w:tcW w:w="3300" w:type="dxa"/>
            <w:vAlign w:val="center"/>
          </w:tcPr>
          <w:p w14:paraId="4DB55308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可融资项目</w:t>
            </w:r>
          </w:p>
        </w:tc>
      </w:tr>
      <w:tr w:rsidR="007B5C49" w14:paraId="61D78920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54F5C97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L6</w:t>
            </w:r>
          </w:p>
        </w:tc>
        <w:tc>
          <w:tcPr>
            <w:tcW w:w="2100" w:type="dxa"/>
            <w:vAlign w:val="center"/>
          </w:tcPr>
          <w:p w14:paraId="743DEE7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实质开工</w:t>
            </w:r>
          </w:p>
        </w:tc>
        <w:tc>
          <w:tcPr>
            <w:tcW w:w="3500" w:type="dxa"/>
            <w:vAlign w:val="center"/>
          </w:tcPr>
          <w:p w14:paraId="06F2DD3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土建/设备订单/FAT节点</w:t>
            </w:r>
          </w:p>
        </w:tc>
        <w:tc>
          <w:tcPr>
            <w:tcW w:w="3300" w:type="dxa"/>
            <w:vAlign w:val="center"/>
          </w:tcPr>
          <w:p w14:paraId="2E1E776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在建IT MW</w:t>
            </w:r>
          </w:p>
        </w:tc>
      </w:tr>
      <w:tr w:rsidR="007B5C49" w14:paraId="3FD4DB06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24B4813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L7</w:t>
            </w:r>
          </w:p>
        </w:tc>
        <w:tc>
          <w:tcPr>
            <w:tcW w:w="2100" w:type="dxa"/>
            <w:vAlign w:val="center"/>
          </w:tcPr>
          <w:p w14:paraId="3BCF0196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机械/电气完成</w:t>
            </w:r>
          </w:p>
        </w:tc>
        <w:tc>
          <w:tcPr>
            <w:tcW w:w="3500" w:type="dxa"/>
            <w:vAlign w:val="center"/>
          </w:tcPr>
          <w:p w14:paraId="0F7CBE1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变电、冷却与设施验收</w:t>
            </w:r>
          </w:p>
        </w:tc>
        <w:tc>
          <w:tcPr>
            <w:tcW w:w="3300" w:type="dxa"/>
            <w:vAlign w:val="center"/>
          </w:tcPr>
          <w:p w14:paraId="3F94859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可通电容量</w:t>
            </w:r>
          </w:p>
        </w:tc>
      </w:tr>
      <w:tr w:rsidR="007B5C49" w14:paraId="39CCC962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63E35CB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L8</w:t>
            </w:r>
          </w:p>
        </w:tc>
        <w:tc>
          <w:tcPr>
            <w:tcW w:w="2100" w:type="dxa"/>
            <w:vAlign w:val="center"/>
          </w:tcPr>
          <w:p w14:paraId="24694CD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IT安装并投运</w:t>
            </w:r>
          </w:p>
        </w:tc>
        <w:tc>
          <w:tcPr>
            <w:tcW w:w="3500" w:type="dxa"/>
            <w:vAlign w:val="center"/>
          </w:tcPr>
          <w:p w14:paraId="76B4FACA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服务器、网络和软件验收</w:t>
            </w:r>
          </w:p>
        </w:tc>
        <w:tc>
          <w:tcPr>
            <w:tcW w:w="3300" w:type="dxa"/>
            <w:vAlign w:val="center"/>
          </w:tcPr>
          <w:p w14:paraId="180603CF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运营IT MW</w:t>
            </w:r>
          </w:p>
        </w:tc>
      </w:tr>
      <w:tr w:rsidR="007B5C49" w14:paraId="1DAA7F3F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00567C6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L9</w:t>
            </w:r>
          </w:p>
        </w:tc>
        <w:tc>
          <w:tcPr>
            <w:tcW w:w="2100" w:type="dxa"/>
            <w:vAlign w:val="center"/>
          </w:tcPr>
          <w:p w14:paraId="10EE95E5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有效利用</w:t>
            </w:r>
          </w:p>
        </w:tc>
        <w:tc>
          <w:tcPr>
            <w:tcW w:w="3500" w:type="dxa"/>
            <w:vAlign w:val="center"/>
          </w:tcPr>
          <w:p w14:paraId="2BF920F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计量功率、作业/收入利用率</w:t>
            </w:r>
          </w:p>
        </w:tc>
        <w:tc>
          <w:tcPr>
            <w:tcW w:w="3300" w:type="dxa"/>
            <w:vAlign w:val="center"/>
          </w:tcPr>
          <w:p w14:paraId="0F71D950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有效算力/收入容量</w:t>
            </w:r>
          </w:p>
        </w:tc>
      </w:tr>
    </w:tbl>
    <w:p w14:paraId="30E05BAB" w14:textId="77777777" w:rsidR="007B5C49" w:rsidRDefault="007B5C49">
      <w:pPr>
        <w:spacing w:after="40"/>
      </w:pPr>
    </w:p>
    <w:p w14:paraId="2A298969" w14:textId="77777777" w:rsidR="007B5C49" w:rsidRDefault="00000000">
      <w:r>
        <w:t>每个项目只在最高已完成级别记录一次，容量保留首期和终局两个字段。芯片协议、云合同和园区开发若指向同一地点，用项目ID去重；不把10GW芯片协议再加到10GW园区管线。</w:t>
      </w:r>
    </w:p>
    <w:p w14:paraId="16895644" w14:textId="77777777" w:rsidR="007B5C49" w:rsidRDefault="00000000">
      <w:pPr>
        <w:pStyle w:val="Heading2"/>
      </w:pPr>
      <w:r>
        <w:t xml:space="preserve">2. </w:t>
      </w:r>
      <w:r>
        <w:t>供需和价格指标每季度更新</w:t>
      </w:r>
    </w:p>
    <w:p w14:paraId="2DBF2F5E" w14:textId="77777777" w:rsidR="007B5C49" w:rsidRDefault="00000000">
      <w:r>
        <w:t>供给：主要托管市场运营与在建MW、在建预租率、未来12/24/36个月交付；需求：净吸纳、最大交易、云RPO和已签专用容量；价格：批发租金、交叉连接、电力附加费和建设成本。空置率需注明样本，只代表可租托管市场，不含Hyperscaler全部自建容量。</w:t>
      </w:r>
    </w:p>
    <w:p w14:paraId="1A88F9A0" w14:textId="77777777" w:rsidR="007B5C49" w:rsidRDefault="00000000">
      <w:r>
        <w:lastRenderedPageBreak/>
        <w:t>短缺组合信号是空置低、预租高、交付期长、租金上升和净吸纳强；健康扩张是供应增长且预租保持、租金稳定；过热信号是交付后空置上升、预租下滑、租金回落和项目取消同步增加。</w:t>
      </w:r>
    </w:p>
    <w:p w14:paraId="13DD25C0" w14:textId="77777777" w:rsidR="007B5C49" w:rsidRDefault="00000000">
      <w:pPr>
        <w:pStyle w:val="Heading2"/>
      </w:pPr>
      <w:r>
        <w:t xml:space="preserve">3. </w:t>
      </w:r>
      <w:r>
        <w:t>电力与设备指标按月</w:t>
      </w:r>
      <w:r>
        <w:t>/</w:t>
      </w:r>
      <w:r>
        <w:t>季度监测</w:t>
      </w:r>
    </w:p>
    <w:p w14:paraId="25FDFA30" w14:textId="77777777" w:rsidR="007B5C49" w:rsidRDefault="00000000">
      <w:r>
        <w:t>记录公用事业大负荷申请、正式接入、网络升级责任、预计通电日期和延期月数；设备侧跟踪大型变压器、开关柜、发电机、UPS、CDU和冷机的报价交期、FAT通过率和现场到货。排队GW不能作为获批GW，框架采购不能作为已订设备。</w:t>
      </w:r>
    </w:p>
    <w:p w14:paraId="1B73C933" w14:textId="77777777" w:rsidR="007B5C49" w:rsidRDefault="00000000">
      <w:r>
        <w:t>DOE目前给出配电变压器1—2年、大型变压器3—4年作为美国供应链压力参考。若交期连续缩短且价格回落，说明供给链改善；若项目仍延期，瓶颈可能已经转到许可、施工或调试。</w:t>
      </w:r>
    </w:p>
    <w:p w14:paraId="43FA6120" w14:textId="77777777" w:rsidR="007B5C49" w:rsidRDefault="00000000">
      <w:pPr>
        <w:pStyle w:val="Heading2"/>
      </w:pPr>
      <w:r>
        <w:t xml:space="preserve">4. </w:t>
      </w:r>
      <w:r>
        <w:t>芯片和有效算力指标要超越数量</w:t>
      </w:r>
    </w:p>
    <w:p w14:paraId="776CD9EB" w14:textId="77777777" w:rsidR="007B5C49" w:rsidRDefault="00000000">
      <w:r>
        <w:t>跟踪GPU/ASIC实际交付、HBM与先进封装产能、800G/1.6T网络、机架到场至验收时间、故障率、平均功率和利用率。训练看集群有效作业时间与模型迭代；推理看token、并发、延迟和单位token成本。芯片数量缺少功耗、利用率和系统边界时不换算MW。</w:t>
      </w:r>
    </w:p>
    <w:p w14:paraId="25F10FA6" w14:textId="77777777" w:rsidR="007B5C49" w:rsidRDefault="00000000">
      <w:r>
        <w:t>二手GPU价格、云GPU租价和新旧代际每token性能是周期指标。若新机架交付增、租价降但利用率强，属于效率扩张；若租价、二手价格和利用率同时下跌，才更接近供给过剩。</w:t>
      </w:r>
    </w:p>
    <w:p w14:paraId="2BF20FC6" w14:textId="77777777" w:rsidR="007B5C49" w:rsidRDefault="00000000">
      <w:pPr>
        <w:pStyle w:val="Heading2"/>
      </w:pPr>
      <w:r>
        <w:t xml:space="preserve">5. </w:t>
      </w:r>
      <w:r>
        <w:t>资本指标识别</w:t>
      </w:r>
      <w:r>
        <w:t>“</w:t>
      </w:r>
      <w:r>
        <w:t>签得多但赚不到钱</w:t>
      </w:r>
      <w:r>
        <w:t>”</w:t>
      </w:r>
    </w:p>
    <w:p w14:paraId="0053E8D0" w14:textId="77777777" w:rsidR="007B5C49" w:rsidRDefault="00000000">
      <w:r>
        <w:t>Hyperscaler跟踪CapEx/经营现金流、折旧、融资租赁、Cloud增长和RPO；Neocloud跟踪活跃MW、合同MW、RPO、最大客户占比、债务、利息/收入、租赁义务、现金和未提款额度。RPO增长要与交付CapEx和利息成本一起看。</w:t>
      </w:r>
    </w:p>
    <w:p w14:paraId="2E172AC9" w14:textId="77777777" w:rsidR="007B5C49" w:rsidRDefault="00000000">
      <w:r>
        <w:t>CoreWeave 2026Q1的示例是活跃功率超过1GW、积压近1,000亿美元，同时总债务251亿美元、租赁负债101亿美元、季度净利息5.36亿美元。它既是需求强的证据，也是融资敏感度高的证据，不能只取其中一面。</w:t>
      </w:r>
    </w:p>
    <w:p w14:paraId="49D135D7" w14:textId="77777777" w:rsidR="007B5C49" w:rsidRDefault="00000000">
      <w:pPr>
        <w:pStyle w:val="Heading2"/>
      </w:pPr>
      <w:r>
        <w:t xml:space="preserve">6. </w:t>
      </w:r>
      <w:r>
        <w:t>建议形成三色判断而不是单点结论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4800"/>
        <w:gridCol w:w="3300"/>
      </w:tblGrid>
      <w:tr w:rsidR="007B5C49" w14:paraId="3977A984" w14:textId="77777777">
        <w:trPr>
          <w:tblHeader/>
          <w:jc w:val="center"/>
        </w:trPr>
        <w:tc>
          <w:tcPr>
            <w:tcW w:w="2200" w:type="dxa"/>
            <w:shd w:val="clear" w:color="auto" w:fill="D9EAF7"/>
          </w:tcPr>
          <w:p w14:paraId="7A0B52A4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状态</w:t>
            </w:r>
          </w:p>
        </w:tc>
        <w:tc>
          <w:tcPr>
            <w:tcW w:w="4800" w:type="dxa"/>
            <w:shd w:val="clear" w:color="auto" w:fill="D9EAF7"/>
          </w:tcPr>
          <w:p w14:paraId="1F6E601B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至少三个同向信号</w:t>
            </w:r>
          </w:p>
        </w:tc>
        <w:tc>
          <w:tcPr>
            <w:tcW w:w="3300" w:type="dxa"/>
            <w:shd w:val="clear" w:color="auto" w:fill="D9EAF7"/>
          </w:tcPr>
          <w:p w14:paraId="6869AF51" w14:textId="77777777" w:rsidR="007B5C49" w:rsidRDefault="00000000">
            <w:pPr>
              <w:spacing w:after="0"/>
              <w:jc w:val="center"/>
            </w:pPr>
            <w:r>
              <w:rPr>
                <w:b/>
                <w:sz w:val="17"/>
              </w:rPr>
              <w:t>研究含义</w:t>
            </w:r>
          </w:p>
        </w:tc>
      </w:tr>
      <w:tr w:rsidR="007B5C49" w14:paraId="6A37F590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3EAF06C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红色：持续短缺</w:t>
            </w:r>
          </w:p>
        </w:tc>
        <w:tc>
          <w:tcPr>
            <w:tcW w:w="4800" w:type="dxa"/>
            <w:vAlign w:val="center"/>
          </w:tcPr>
          <w:p w14:paraId="5BA46B6B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空置&lt;3%、在建预租&gt;70%、通电延期/租金上升、设备交期不降</w:t>
            </w:r>
          </w:p>
        </w:tc>
        <w:tc>
          <w:tcPr>
            <w:tcW w:w="3300" w:type="dxa"/>
            <w:vAlign w:val="center"/>
          </w:tcPr>
          <w:p w14:paraId="4DB9C143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优先锁定电力和交付，不只锁价格</w:t>
            </w:r>
          </w:p>
        </w:tc>
      </w:tr>
      <w:tr w:rsidR="007B5C49" w14:paraId="69E4610E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7FD4876D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黄色：健康扩张/分化</w:t>
            </w:r>
          </w:p>
        </w:tc>
        <w:tc>
          <w:tcPr>
            <w:tcW w:w="4800" w:type="dxa"/>
            <w:vAlign w:val="center"/>
          </w:tcPr>
          <w:p w14:paraId="175C52F1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供应与吸纳同步、租金稳定、核心紧外围松、利用率高</w:t>
            </w:r>
          </w:p>
        </w:tc>
        <w:tc>
          <w:tcPr>
            <w:tcW w:w="3300" w:type="dxa"/>
            <w:vAlign w:val="center"/>
          </w:tcPr>
          <w:p w14:paraId="4BE6A212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按区域和产品类型选择</w:t>
            </w:r>
          </w:p>
        </w:tc>
      </w:tr>
      <w:tr w:rsidR="007B5C49" w14:paraId="37012FB1" w14:textId="77777777">
        <w:trPr>
          <w:cantSplit/>
          <w:jc w:val="center"/>
        </w:trPr>
        <w:tc>
          <w:tcPr>
            <w:tcW w:w="2200" w:type="dxa"/>
            <w:vAlign w:val="center"/>
          </w:tcPr>
          <w:p w14:paraId="796C5217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蓝色：过热/压力</w:t>
            </w:r>
          </w:p>
        </w:tc>
        <w:tc>
          <w:tcPr>
            <w:tcW w:w="4800" w:type="dxa"/>
            <w:vAlign w:val="center"/>
          </w:tcPr>
          <w:p w14:paraId="4B962DCC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空置上升、预租下降、租金和二手GPU同跌、取消/违约增加</w:t>
            </w:r>
          </w:p>
        </w:tc>
        <w:tc>
          <w:tcPr>
            <w:tcW w:w="3300" w:type="dxa"/>
            <w:vAlign w:val="center"/>
          </w:tcPr>
          <w:p w14:paraId="5B67C519" w14:textId="77777777" w:rsidR="007B5C49" w:rsidRDefault="00000000">
            <w:pPr>
              <w:spacing w:after="0" w:line="259" w:lineRule="auto"/>
            </w:pPr>
            <w:r>
              <w:rPr>
                <w:sz w:val="17"/>
              </w:rPr>
              <w:t>降低远期管线权重，审查杠杆</w:t>
            </w:r>
          </w:p>
        </w:tc>
      </w:tr>
    </w:tbl>
    <w:p w14:paraId="438F6A73" w14:textId="77777777" w:rsidR="007B5C49" w:rsidRDefault="007B5C49">
      <w:pPr>
        <w:spacing w:after="40"/>
      </w:pPr>
    </w:p>
    <w:p w14:paraId="6FF38CC0" w14:textId="77777777" w:rsidR="007B5C49" w:rsidRDefault="00000000">
      <w:r>
        <w:t>阈值是研究预警值，不是全球统一标准。成熟核心市场3%空置可能仍紧，新兴大园区一次交付就会显著改变空置。判断必须与历史区间和项目结构比较。</w:t>
      </w:r>
    </w:p>
    <w:p w14:paraId="6D6B8CD2" w14:textId="77777777" w:rsidR="007B5C49" w:rsidRDefault="00000000">
      <w:pPr>
        <w:pStyle w:val="QALabel"/>
      </w:pPr>
      <w:r>
        <w:lastRenderedPageBreak/>
        <w:t>推导链条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00"/>
      </w:tblGrid>
      <w:tr w:rsidR="007B5C49" w14:paraId="4822F5F2" w14:textId="77777777">
        <w:trPr>
          <w:tblHeader/>
          <w:jc w:val="center"/>
        </w:trPr>
        <w:tc>
          <w:tcPr>
            <w:tcW w:w="9600" w:type="dxa"/>
            <w:shd w:val="clear" w:color="auto" w:fill="EAF2F8"/>
            <w:vAlign w:val="center"/>
          </w:tcPr>
          <w:p w14:paraId="520643DB" w14:textId="77777777" w:rsidR="007B5C49" w:rsidRDefault="00000000">
            <w:pPr>
              <w:spacing w:after="60"/>
            </w:pPr>
            <w:r>
              <w:rPr>
                <w:b/>
                <w:color w:val="17365D"/>
              </w:rPr>
              <w:t>监测闭环</w:t>
            </w:r>
          </w:p>
          <w:p w14:paraId="5566143B" w14:textId="77777777" w:rsidR="007B5C49" w:rsidRDefault="00000000">
            <w:pPr>
              <w:spacing w:after="0" w:line="288" w:lineRule="auto"/>
            </w:pPr>
            <w:r>
              <w:t>公告进入L1 → 每过一道许可/电力/融资/施工闸门提高兑现概率 → 运营MW与吸纳决定空置和价格 → 价格与利用率决定下一轮CapEx → 资本和设备信号反过来改变项目取消率 → 仪表盘持续修正2030情景。</w:t>
            </w:r>
          </w:p>
        </w:tc>
      </w:tr>
    </w:tbl>
    <w:p w14:paraId="00422EF1" w14:textId="77777777" w:rsidR="007B5C49" w:rsidRDefault="007B5C49">
      <w:pPr>
        <w:spacing w:after="40"/>
      </w:pPr>
    </w:p>
    <w:p w14:paraId="060F87DB" w14:textId="77777777" w:rsidR="007B5C49" w:rsidRDefault="00000000">
      <w:pPr>
        <w:pStyle w:val="QALabel"/>
      </w:pPr>
      <w:r>
        <w:t>来源</w:t>
      </w:r>
    </w:p>
    <w:p w14:paraId="1CDB87CC" w14:textId="77777777" w:rsidR="007B5C49" w:rsidRDefault="00000000">
      <w:pPr>
        <w:spacing w:after="80"/>
        <w:ind w:left="360" w:hanging="288"/>
      </w:pPr>
      <w:r>
        <w:rPr>
          <w:b/>
        </w:rPr>
        <w:t>• DOE｜Transformer lead times</w:t>
      </w:r>
      <w:r>
        <w:t>：设备交期基准</w:t>
      </w:r>
      <w:r>
        <w:rPr>
          <w:color w:val="1F4E79"/>
        </w:rPr>
        <w:br/>
        <w:t>https://www.energy.gov/oe/distribution-transformer-webinar-text-alternative</w:t>
      </w:r>
    </w:p>
    <w:p w14:paraId="2CF5578A" w14:textId="77777777" w:rsidR="007B5C49" w:rsidRDefault="00000000">
      <w:pPr>
        <w:spacing w:after="80"/>
        <w:ind w:left="360" w:hanging="288"/>
      </w:pPr>
      <w:r>
        <w:rPr>
          <w:b/>
        </w:rPr>
        <w:t>• CoreWeave｜Q1 2026 Results</w:t>
      </w:r>
      <w:r>
        <w:t>：活跃功率、积压和财务数据</w:t>
      </w:r>
      <w:r>
        <w:rPr>
          <w:color w:val="1F4E79"/>
        </w:rPr>
        <w:br/>
        <w:t>https://investors.coreweave.com/news/news-details/2026/CoreWeave-Reports-Strong-First-Quarter-2026-Results/</w:t>
      </w:r>
    </w:p>
    <w:p w14:paraId="5B2C2628" w14:textId="77777777" w:rsidR="007B5C49" w:rsidRDefault="00000000">
      <w:pPr>
        <w:spacing w:after="80"/>
        <w:ind w:left="360" w:hanging="288"/>
      </w:pPr>
      <w:r>
        <w:rPr>
          <w:b/>
        </w:rPr>
        <w:t>• CoreWeave｜Q1 2026 Form 10-Q</w:t>
      </w:r>
      <w:r>
        <w:t>：债务与租赁负债</w:t>
      </w:r>
      <w:r>
        <w:rPr>
          <w:color w:val="1F4E79"/>
        </w:rPr>
        <w:br/>
        <w:t>https://www.sec.gov/Archives/edgar/data/1769628/000176962826000222/crwv-20260331.htm</w:t>
      </w:r>
    </w:p>
    <w:p w14:paraId="47C0A6A2" w14:textId="77777777" w:rsidR="007B5C49" w:rsidRDefault="00000000">
      <w:pPr>
        <w:spacing w:after="80"/>
        <w:ind w:left="360" w:hanging="288"/>
      </w:pPr>
      <w:r>
        <w:rPr>
          <w:b/>
        </w:rPr>
        <w:t>• FERC｜Large Load Interconnection</w:t>
      </w:r>
      <w:r>
        <w:t>：大负荷接入规则和状态</w:t>
      </w:r>
      <w:r>
        <w:rPr>
          <w:color w:val="1F4E79"/>
        </w:rPr>
        <w:br/>
        <w:t>https://www.ferc.gov/rm26-4</w:t>
      </w:r>
    </w:p>
    <w:sectPr w:rsidR="007B5C49" w:rsidSect="00034616">
      <w:headerReference w:type="default" r:id="rId8"/>
      <w:footerReference w:type="default" r:id="rId9"/>
      <w:pgSz w:w="12240" w:h="15840"/>
      <w:pgMar w:top="1123" w:right="1238" w:bottom="1080" w:left="1238" w:header="518" w:footer="5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3E942D" w14:textId="77777777" w:rsidR="002829FC" w:rsidRDefault="002829FC">
      <w:pPr>
        <w:spacing w:after="0" w:line="240" w:lineRule="auto"/>
      </w:pPr>
      <w:r>
        <w:separator/>
      </w:r>
    </w:p>
  </w:endnote>
  <w:endnote w:type="continuationSeparator" w:id="0">
    <w:p w14:paraId="0FA99DC8" w14:textId="77777777" w:rsidR="002829FC" w:rsidRDefault="00282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SC ExtraLight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070577" w14:textId="77777777" w:rsidR="007B5C49" w:rsidRDefault="00000000">
    <w:pPr>
      <w:pStyle w:val="Footer"/>
      <w:jc w:val="center"/>
    </w:pPr>
    <w:r>
      <w:rPr>
        <w:color w:val="666666"/>
        <w:sz w:val="16"/>
      </w:rPr>
      <w:t>内部研究资料｜数据刷新至 2026-08-02｜</w:t>
    </w:r>
    <w:r>
      <w:fldChar w:fldCharType="begin"/>
    </w:r>
    <w:r>
      <w:instrText>PAGE</w:instrText>
    </w:r>
    <w:r>
      <w:fldChar w:fldCharType="separate"/>
    </w:r>
    <w:r w:rsidR="00000E3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FEE9F9" w14:textId="77777777" w:rsidR="002829FC" w:rsidRDefault="002829FC">
      <w:pPr>
        <w:spacing w:after="0" w:line="240" w:lineRule="auto"/>
      </w:pPr>
      <w:r>
        <w:separator/>
      </w:r>
    </w:p>
  </w:footnote>
  <w:footnote w:type="continuationSeparator" w:id="0">
    <w:p w14:paraId="100D21E0" w14:textId="77777777" w:rsidR="002829FC" w:rsidRDefault="00282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69A2C4" w14:textId="77777777" w:rsidR="007B5C49" w:rsidRDefault="00000000">
    <w:pPr>
      <w:pStyle w:val="Header"/>
      <w:jc w:val="right"/>
    </w:pPr>
    <w:r>
      <w:rPr>
        <w:color w:val="666666"/>
        <w:sz w:val="17"/>
      </w:rPr>
      <w:t>全球数据中心行业深度研究 Q&amp;A 总报告｜Q1—Q35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2183926">
    <w:abstractNumId w:val="8"/>
  </w:num>
  <w:num w:numId="2" w16cid:durableId="74130940">
    <w:abstractNumId w:val="6"/>
  </w:num>
  <w:num w:numId="3" w16cid:durableId="1021128468">
    <w:abstractNumId w:val="5"/>
  </w:num>
  <w:num w:numId="4" w16cid:durableId="1319335395">
    <w:abstractNumId w:val="4"/>
  </w:num>
  <w:num w:numId="5" w16cid:durableId="1638296715">
    <w:abstractNumId w:val="7"/>
  </w:num>
  <w:num w:numId="6" w16cid:durableId="1979147994">
    <w:abstractNumId w:val="3"/>
  </w:num>
  <w:num w:numId="7" w16cid:durableId="369065014">
    <w:abstractNumId w:val="2"/>
  </w:num>
  <w:num w:numId="8" w16cid:durableId="499080123">
    <w:abstractNumId w:val="1"/>
  </w:num>
  <w:num w:numId="9" w16cid:durableId="10733546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E3A"/>
    <w:rsid w:val="00034616"/>
    <w:rsid w:val="0006063C"/>
    <w:rsid w:val="0015074B"/>
    <w:rsid w:val="002829FC"/>
    <w:rsid w:val="0029639D"/>
    <w:rsid w:val="00326F90"/>
    <w:rsid w:val="006C286C"/>
    <w:rsid w:val="007B5C4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B4242"/>
  <w14:defaultImageDpi w14:val="300"/>
  <w15:docId w15:val="{66EAE5F4-3BD3-FF4E-A912-428833F17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erif SC ExtraLight" w:eastAsia="Noto Serif SC ExtraLight" w:hAnsi="Noto Serif SC ExtraLight"/>
      <w:color w:val="11111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erif SC ExtraLight" w:eastAsia="Noto Serif SC ExtraLight" w:hAnsi="Noto Serif SC ExtraLight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erif SC ExtraLight" w:eastAsia="Noto Serif SC ExtraLight" w:hAnsi="Noto Serif SC ExtraLight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erif SC ExtraLight" w:eastAsia="Noto Serif SC ExtraLight" w:hAnsi="Noto Serif SC ExtraLight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erif SC ExtraLight" w:eastAsia="Noto Serif SC ExtraLight" w:hAnsi="Noto Serif SC ExtraLight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erif SC ExtraLight" w:eastAsia="Noto Serif SC ExtraLight" w:hAnsi="Noto Serif SC ExtraLight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erif SC ExtraLight" w:eastAsia="Noto Serif SC ExtraLight" w:hAnsi="Noto Serif SC ExtraLight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erif SC ExtraLight" w:eastAsia="Noto Serif SC ExtraLight" w:hAnsi="Noto Serif SC ExtraLight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erif SC ExtraLight" w:eastAsia="Noto Serif SC ExtraLight" w:hAnsi="Noto Serif SC ExtraLight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erif SC ExtraLight" w:eastAsia="Noto Serif SC ExtraLight" w:hAnsi="Noto Serif SC ExtraLight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erif SC ExtraLight" w:eastAsia="Noto Serif SC ExtraLight" w:hAnsi="Noto Serif SC ExtraLight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erif SC ExtraLight" w:eastAsia="Noto Serif SC ExtraLight" w:hAnsi="Noto Serif SC ExtraLight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erif SC ExtraLight" w:eastAsia="Noto Serif SC ExtraLight" w:hAnsi="Noto Serif SC ExtraLight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erif SC ExtraLight" w:eastAsia="Noto Serif SC ExtraLight" w:hAnsi="Noto Serif SC ExtraLight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erif SC ExtraLight" w:eastAsia="Noto Serif SC ExtraLight" w:hAnsi="Noto Serif SC ExtraLight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erif SC ExtraLight" w:eastAsia="Noto Serif SC ExtraLight" w:hAnsi="Noto Serif SC ExtraLight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erif SC ExtraLight" w:eastAsia="Noto Serif SC ExtraLight" w:hAnsi="Noto Serif SC ExtraLight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erif SC ExtraLight" w:eastAsia="Noto Serif SC ExtraLight" w:hAnsi="Noto Serif SC ExtraLight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erif SC ExtraLight" w:eastAsia="Noto Serif SC ExtraLight" w:hAnsi="Noto Serif SC ExtraLight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Label">
    <w:name w:val="QA Label"/>
    <w:pPr>
      <w:keepNext/>
      <w:spacing w:before="160" w:after="60"/>
    </w:pPr>
    <w:rPr>
      <w:rFonts w:ascii="Noto Serif SC ExtraLight" w:eastAsia="Noto Serif SC ExtraLight" w:hAnsi="Noto Serif SC ExtraLight"/>
      <w:b/>
      <w:color w:val="17365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101</Pages>
  <Words>14670</Words>
  <Characters>83625</Characters>
  <Application>Microsoft Office Word</Application>
  <DocSecurity>0</DocSecurity>
  <Lines>696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Larry XIE</cp:lastModifiedBy>
  <cp:revision>2</cp:revision>
  <dcterms:created xsi:type="dcterms:W3CDTF">2026-08-14T03:35:00Z</dcterms:created>
  <dcterms:modified xsi:type="dcterms:W3CDTF">2026-08-14T03:35:00Z</dcterms:modified>
  <cp:category/>
</cp:coreProperties>
</file>