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413278">
        <w:rPr>
          <w:rFonts w:ascii="Arial" w:hAnsi="Arial" w:cs="Arial"/>
          <w:color w:val="FF0000"/>
          <w:sz w:val="19"/>
          <w:szCs w:val="19"/>
          <w:shd w:val="clear" w:color="auto" w:fill="FFFFFF"/>
        </w:rPr>
        <w:t>inter</w:t>
      </w:r>
      <w:r w:rsidR="00286475">
        <w:rPr>
          <w:rFonts w:ascii="Arial" w:hAnsi="Arial" w:cs="Arial"/>
          <w:color w:val="FF0000"/>
          <w:sz w:val="19"/>
          <w:szCs w:val="19"/>
          <w:shd w:val="clear" w:color="auto" w:fill="FFFFFF"/>
        </w:rPr>
        <w:t>leaves</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513BD0">
        <w:rPr>
          <w:rFonts w:ascii="Arial" w:hAnsi="Arial" w:cs="Arial"/>
          <w:color w:val="FF0000"/>
          <w:sz w:val="19"/>
          <w:szCs w:val="19"/>
          <w:shd w:val="clear" w:color="auto" w:fill="FFFFFF"/>
        </w:rPr>
        <w:t>increases</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r w:rsidR="00B40591">
        <w:rPr>
          <w:rFonts w:ascii="Arial" w:hAnsi="Arial" w:cs="Arial"/>
          <w:color w:val="222222"/>
          <w:sz w:val="19"/>
          <w:szCs w:val="19"/>
        </w:rPr>
        <w:br/>
      </w:r>
      <w:r w:rsidR="00B40591">
        <w:rPr>
          <w:rFonts w:ascii="Arial" w:hAnsi="Arial" w:cs="Arial"/>
          <w:color w:val="222222"/>
          <w:sz w:val="19"/>
          <w:szCs w:val="19"/>
          <w:shd w:val="clear" w:color="auto" w:fill="FFFFFF"/>
        </w:rPr>
        <w:t xml:space="preserve">The idea behind the approach </w:t>
      </w:r>
      <w:r w:rsidR="00B40591" w:rsidRPr="0029461A">
        <w:rPr>
          <w:rFonts w:ascii="Arial" w:hAnsi="Arial" w:cs="Arial"/>
          <w:color w:val="222222"/>
          <w:sz w:val="19"/>
          <w:szCs w:val="19"/>
          <w:shd w:val="clear" w:color="auto" w:fill="FFFFFF"/>
        </w:rPr>
        <w:t>is quite similar</w:t>
      </w:r>
      <w:r w:rsidR="00B40591">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6950B1" w:rsidRPr="009B2BC5"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DE7F07">
        <w:rPr>
          <w:rFonts w:ascii="Arial" w:hAnsi="Arial" w:cs="Arial"/>
          <w:color w:val="FF0000"/>
          <w:sz w:val="19"/>
          <w:szCs w:val="19"/>
          <w:shd w:val="clear" w:color="auto" w:fill="FFFFFF"/>
        </w:rPr>
        <w:t xml:space="preserve"> have added one section (Page, ) </w:t>
      </w:r>
      <w:r w:rsidR="000D2957">
        <w:rPr>
          <w:rFonts w:ascii="Arial" w:hAnsi="Arial" w:cs="Arial"/>
          <w:color w:val="FF0000"/>
          <w:sz w:val="19"/>
          <w:szCs w:val="19"/>
          <w:shd w:val="clear" w:color="auto" w:fill="FFFFFF"/>
        </w:rPr>
        <w:t>to discuss the relationships and differences between these two works</w:t>
      </w:r>
      <w:r w:rsidR="004E5D18">
        <w:rPr>
          <w:rFonts w:ascii="Arial" w:hAnsi="Arial" w:cs="Arial"/>
          <w:color w:val="FF0000"/>
          <w:sz w:val="19"/>
          <w:szCs w:val="19"/>
          <w:shd w:val="clear" w:color="auto" w:fill="FFFFFF"/>
        </w:rPr>
        <w:t>.</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6950B1" w:rsidRDefault="006950B1" w:rsidP="00476D2D">
      <w:pPr>
        <w:rPr>
          <w:rFonts w:ascii="Arial" w:hAnsi="Arial" w:cs="Arial"/>
          <w:color w:val="222222"/>
          <w:sz w:val="19"/>
          <w:szCs w:val="19"/>
          <w:shd w:val="clear" w:color="auto" w:fill="FFFFFF"/>
        </w:rPr>
      </w:pPr>
      <w:r>
        <w:rPr>
          <w:rFonts w:ascii="Arial" w:hAnsi="Arial" w:cs="Arial"/>
          <w:color w:val="222222"/>
          <w:sz w:val="19"/>
          <w:szCs w:val="19"/>
        </w:rPr>
        <w:t>####################################################################################</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C2006E" w:rsidRPr="00142D5E">
        <w:rPr>
          <w:rFonts w:ascii="Arial" w:hAnsi="Arial" w:cs="Arial"/>
          <w:color w:val="FF0000"/>
          <w:sz w:val="19"/>
          <w:szCs w:val="19"/>
          <w:shd w:val="clear" w:color="auto" w:fill="FFFFFF"/>
        </w:rPr>
        <w:t>this point in this paper</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6950B1" w:rsidRDefault="006950B1">
      <w:pPr>
        <w:rPr>
          <w:rFonts w:ascii="Arial" w:hAnsi="Arial" w:cs="Arial"/>
          <w:color w:val="222222"/>
          <w:sz w:val="19"/>
          <w:szCs w:val="19"/>
          <w:shd w:val="clear" w:color="auto" w:fill="FFFFFF"/>
        </w:rPr>
      </w:pPr>
      <w:r>
        <w:rPr>
          <w:rFonts w:ascii="Arial" w:hAnsi="Arial" w:cs="Arial"/>
          <w:color w:val="222222"/>
          <w:sz w:val="19"/>
          <w:szCs w:val="19"/>
        </w:rPr>
        <w:t>####################################################################################</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 xml:space="preserve">As suggested,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7966B3">
        <w:rPr>
          <w:rFonts w:ascii="Arial" w:hAnsi="Arial" w:cs="Arial"/>
          <w:color w:val="FF0000"/>
          <w:sz w:val="19"/>
          <w:szCs w:val="19"/>
          <w:shd w:val="clear" w:color="auto" w:fill="FFFFFF"/>
        </w:rPr>
        <w:t xml:space="preserve">some </w:t>
      </w:r>
      <w:r w:rsidR="00291E89">
        <w:rPr>
          <w:rFonts w:ascii="Arial" w:hAnsi="Arial" w:cs="Arial"/>
          <w:color w:val="FF0000"/>
          <w:sz w:val="19"/>
          <w:szCs w:val="19"/>
          <w:shd w:val="clear" w:color="auto" w:fill="FFFFFF"/>
        </w:rPr>
        <w:t>popular code</w:t>
      </w:r>
      <w:r w:rsidR="00603EF5">
        <w:rPr>
          <w:rFonts w:ascii="Arial" w:hAnsi="Arial" w:cs="Arial"/>
          <w:color w:val="FF0000"/>
          <w:sz w:val="19"/>
          <w:szCs w:val="19"/>
          <w:shd w:val="clear" w:color="auto" w:fill="FFFFFF"/>
        </w:rPr>
        <w:t>-based fault localization works, e.g.,</w:t>
      </w:r>
      <w:r w:rsidR="00BA6BFC" w:rsidRPr="00BA6BFC">
        <w:t xml:space="preserve"> </w:t>
      </w:r>
      <w:r w:rsidR="00BA6BFC" w:rsidRPr="00BA6BFC">
        <w:rPr>
          <w:rFonts w:ascii="Arial" w:hAnsi="Arial" w:cs="Arial"/>
          <w:color w:val="FF0000"/>
          <w:sz w:val="19"/>
          <w:szCs w:val="19"/>
          <w:shd w:val="clear" w:color="auto" w:fill="FFFFFF"/>
        </w:rPr>
        <w:t>Tarantula</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1</w:t>
      </w:r>
      <w:r w:rsidR="00BA6BFC">
        <w:rPr>
          <w:rFonts w:ascii="Arial" w:hAnsi="Arial" w:cs="Arial" w:hint="eastAsia"/>
          <w:color w:val="FF0000"/>
          <w:sz w:val="19"/>
          <w:szCs w:val="19"/>
          <w:shd w:val="clear" w:color="auto" w:fill="FFFFFF"/>
        </w:rPr>
        <w:t>]</w:t>
      </w:r>
      <w:r w:rsidR="00BA6BFC">
        <w:rPr>
          <w:rFonts w:ascii="Arial" w:hAnsi="Arial" w:cs="Arial"/>
          <w:color w:val="FF0000"/>
          <w:sz w:val="19"/>
          <w:szCs w:val="19"/>
          <w:shd w:val="clear" w:color="auto" w:fill="FFFFFF"/>
        </w:rPr>
        <w:t xml:space="preserve">, </w:t>
      </w:r>
      <w:r w:rsidR="00743F0C" w:rsidRPr="00743F0C">
        <w:rPr>
          <w:rFonts w:ascii="Arial" w:hAnsi="Arial" w:cs="Arial"/>
          <w:color w:val="FF0000"/>
          <w:sz w:val="19"/>
          <w:szCs w:val="19"/>
          <w:shd w:val="clear" w:color="auto" w:fill="FFFFFF"/>
        </w:rPr>
        <w:t>The nearest neighbor</w:t>
      </w:r>
      <w:r w:rsidR="00767AB2">
        <w:rPr>
          <w:rFonts w:ascii="Arial" w:hAnsi="Arial" w:cs="Arial"/>
          <w:color w:val="FF0000"/>
          <w:sz w:val="19"/>
          <w:szCs w:val="19"/>
          <w:shd w:val="clear" w:color="auto" w:fill="FFFFFF"/>
        </w:rPr>
        <w:t xml:space="preserve"> [2]</w:t>
      </w:r>
      <w:r w:rsidR="006623F4">
        <w:rPr>
          <w:rFonts w:ascii="Arial" w:hAnsi="Arial" w:cs="Arial"/>
          <w:color w:val="FF0000"/>
          <w:sz w:val="19"/>
          <w:szCs w:val="19"/>
          <w:shd w:val="clear" w:color="auto" w:fill="FFFFFF"/>
        </w:rPr>
        <w:t xml:space="preserve">, </w:t>
      </w:r>
      <w:r w:rsidR="00603EF5">
        <w:rPr>
          <w:rFonts w:ascii="Arial" w:hAnsi="Arial" w:cs="Arial"/>
          <w:color w:val="FF0000"/>
          <w:sz w:val="19"/>
          <w:szCs w:val="19"/>
          <w:shd w:val="clear" w:color="auto" w:fill="FFFFFF"/>
        </w:rPr>
        <w:t xml:space="preserve"> </w:t>
      </w:r>
      <w:r w:rsidR="003E3A2B" w:rsidRPr="003E3A2B">
        <w:rPr>
          <w:rFonts w:ascii="Arial" w:hAnsi="Arial" w:cs="Arial"/>
          <w:color w:val="FF0000"/>
          <w:sz w:val="19"/>
          <w:szCs w:val="19"/>
          <w:shd w:val="clear" w:color="auto" w:fill="FFFFFF"/>
        </w:rPr>
        <w:t xml:space="preserve">Delta debugging </w:t>
      </w:r>
      <w:r w:rsidR="003E3A2B">
        <w:rPr>
          <w:rFonts w:ascii="Arial" w:hAnsi="Arial" w:cs="Arial"/>
          <w:color w:val="FF0000"/>
          <w:sz w:val="19"/>
          <w:szCs w:val="19"/>
          <w:shd w:val="clear" w:color="auto" w:fill="FFFFFF"/>
        </w:rPr>
        <w:t xml:space="preserve">[3],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32343C">
        <w:rPr>
          <w:rFonts w:ascii="Arial" w:hAnsi="Arial" w:cs="Arial"/>
          <w:color w:val="FF0000"/>
          <w:sz w:val="19"/>
          <w:szCs w:val="19"/>
          <w:shd w:val="clear" w:color="auto" w:fill="FFFFFF"/>
        </w:rPr>
        <w:t xml:space="preserve">, and </w:t>
      </w:r>
      <w:r w:rsidR="0073714D">
        <w:rPr>
          <w:rFonts w:ascii="Arial" w:hAnsi="Arial" w:cs="Arial"/>
          <w:color w:val="FF0000"/>
          <w:sz w:val="19"/>
          <w:szCs w:val="19"/>
          <w:shd w:val="clear" w:color="auto" w:fill="FFFFFF"/>
        </w:rPr>
        <w:t>analyzed</w:t>
      </w:r>
      <w:r w:rsidR="00330493">
        <w:rPr>
          <w:rFonts w:ascii="Arial" w:hAnsi="Arial" w:cs="Arial"/>
          <w:color w:val="FF0000"/>
          <w:sz w:val="19"/>
          <w:szCs w:val="19"/>
          <w:shd w:val="clear" w:color="auto" w:fill="FFFFFF"/>
        </w:rPr>
        <w:t xml:space="preserve"> the </w:t>
      </w:r>
      <w:r w:rsidR="0051596C">
        <w:rPr>
          <w:rFonts w:ascii="Arial" w:hAnsi="Arial" w:cs="Arial"/>
          <w:color w:val="FF0000"/>
          <w:sz w:val="19"/>
          <w:szCs w:val="19"/>
          <w:shd w:val="clear" w:color="auto" w:fill="FFFFFF"/>
        </w:rPr>
        <w:t>similarities</w:t>
      </w:r>
      <w:r w:rsidR="00330493">
        <w:rPr>
          <w:rFonts w:ascii="Arial" w:hAnsi="Arial" w:cs="Arial"/>
          <w:color w:val="FF0000"/>
          <w:sz w:val="19"/>
          <w:szCs w:val="19"/>
          <w:shd w:val="clear" w:color="auto" w:fill="FFFFFF"/>
        </w:rPr>
        <w:t xml:space="preserve"> and </w:t>
      </w:r>
      <w:r w:rsidR="0051596C">
        <w:rPr>
          <w:rFonts w:ascii="Arial" w:hAnsi="Arial" w:cs="Arial"/>
          <w:color w:val="FF0000"/>
          <w:sz w:val="19"/>
          <w:szCs w:val="19"/>
          <w:shd w:val="clear" w:color="auto" w:fill="FFFFFF"/>
        </w:rPr>
        <w:t>differences</w:t>
      </w:r>
      <w:r w:rsidR="00330493">
        <w:rPr>
          <w:rFonts w:ascii="Arial" w:hAnsi="Arial" w:cs="Arial"/>
          <w:color w:val="FF0000"/>
          <w:sz w:val="19"/>
          <w:szCs w:val="19"/>
          <w:shd w:val="clear" w:color="auto" w:fill="FFFFFF"/>
        </w:rPr>
        <w:t xml:space="preserve"> between them with our work.</w:t>
      </w:r>
      <w:r w:rsidR="00E21282">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2F6CD2" w:rsidRDefault="00B968AA"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4B004A" w:rsidRPr="004B004A">
        <w:rPr>
          <w:rFonts w:ascii="Arial" w:hAnsi="Arial" w:cs="Arial"/>
          <w:color w:val="FF0000"/>
          <w:sz w:val="19"/>
          <w:szCs w:val="19"/>
          <w:shd w:val="clear" w:color="auto" w:fill="FFFFFF"/>
        </w:rPr>
        <w:t>Jones JA, Harrold MJ, Stasko J. Visualization of test information to assist fault localization. In</w:t>
      </w:r>
      <w:r w:rsidR="00D1236D">
        <w:rPr>
          <w:rFonts w:ascii="Arial" w:hAnsi="Arial" w:cs="Arial"/>
          <w:color w:val="FF0000"/>
          <w:sz w:val="19"/>
          <w:szCs w:val="19"/>
          <w:shd w:val="clear" w:color="auto" w:fill="FFFFFF"/>
        </w:rPr>
        <w:t xml:space="preserve"> </w:t>
      </w:r>
      <w:r w:rsidR="004B004A" w:rsidRPr="004B004A">
        <w:rPr>
          <w:rFonts w:ascii="Arial" w:hAnsi="Arial" w:cs="Arial"/>
          <w:color w:val="FF0000"/>
          <w:sz w:val="19"/>
          <w:szCs w:val="19"/>
          <w:shd w:val="clear" w:color="auto" w:fill="FFFFFF"/>
        </w:rPr>
        <w:t>Proceedings of the 24th international conference on Software engineering 2002 May 19 (pp. 467-477). ACM.</w:t>
      </w:r>
    </w:p>
    <w:p w:rsidR="002F6CD2"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F65C08" w:rsidRPr="00F65C08">
        <w:rPr>
          <w:rFonts w:ascii="Arial" w:hAnsi="Arial" w:cs="Arial"/>
          <w:color w:val="FF0000"/>
          <w:sz w:val="19"/>
          <w:szCs w:val="19"/>
          <w:shd w:val="clear" w:color="auto" w:fill="FFFFFF"/>
        </w:rPr>
        <w:t>Renieres M, Reiss SP. Fault localization with nearest neighbor queries. In</w:t>
      </w:r>
      <w:r w:rsidR="00D1236D">
        <w:rPr>
          <w:rFonts w:ascii="Arial" w:hAnsi="Arial" w:cs="Arial"/>
          <w:color w:val="FF0000"/>
          <w:sz w:val="19"/>
          <w:szCs w:val="19"/>
          <w:shd w:val="clear" w:color="auto" w:fill="FFFFFF"/>
        </w:rPr>
        <w:t xml:space="preserve"> </w:t>
      </w:r>
      <w:r w:rsidR="00F65C08" w:rsidRPr="00F65C08">
        <w:rPr>
          <w:rFonts w:ascii="Arial" w:hAnsi="Arial" w:cs="Arial"/>
          <w:color w:val="FF0000"/>
          <w:sz w:val="19"/>
          <w:szCs w:val="19"/>
          <w:shd w:val="clear" w:color="auto" w:fill="FFFFFF"/>
        </w:rPr>
        <w:t>Automated Software Engineering, 2003. Proceedings. 18th IEEE International Conference on 2003 Oct 6 (pp. 30-39). IEEE.</w:t>
      </w:r>
    </w:p>
    <w:p w:rsidR="00B313DC" w:rsidRDefault="002F6CD2"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See :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1111F" w:rsidRDefault="00D1111F" w:rsidP="00D1111F">
      <w:pPr>
        <w:rPr>
          <w:rFonts w:ascii="Arial" w:hAnsi="Arial" w:cs="Arial"/>
          <w:color w:val="222222"/>
          <w:sz w:val="19"/>
          <w:szCs w:val="19"/>
          <w:shd w:val="clear" w:color="auto" w:fill="FFFFFF"/>
        </w:rPr>
      </w:pPr>
      <w:r>
        <w:rPr>
          <w:rFonts w:ascii="Arial" w:hAnsi="Arial" w:cs="Arial"/>
          <w:color w:val="222222"/>
          <w:sz w:val="19"/>
          <w:szCs w:val="19"/>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Page </w:t>
      </w:r>
      <w:r>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problems focus on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mainly focus on the test sufficiency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it mainly focus on the quality of MFS identification. To be convenient, we separately discuss these two problems later in this paper.</w:t>
      </w:r>
      <w:r w:rsidR="00CF6E0A">
        <w:rPr>
          <w:rFonts w:ascii="Arial" w:hAnsi="Arial" w:cs="Arial"/>
          <w:color w:val="FF0000"/>
          <w:sz w:val="19"/>
          <w:szCs w:val="19"/>
          <w:shd w:val="clear" w:color="auto" w:fill="FFFFFF"/>
        </w:rPr>
        <w:t xml:space="preserve"> </w:t>
      </w:r>
      <w:r w:rsidR="00EB5E13">
        <w:rPr>
          <w:rFonts w:ascii="Arial" w:hAnsi="Arial" w:cs="Arial"/>
          <w:color w:val="FF0000"/>
          <w:sz w:val="19"/>
          <w:szCs w:val="19"/>
          <w:shd w:val="clear" w:color="auto" w:fill="FFFFFF"/>
        </w:rPr>
        <w:t>According</w:t>
      </w:r>
      <w:r w:rsidR="00E727E9">
        <w:rPr>
          <w:rFonts w:ascii="Arial" w:hAnsi="Arial" w:cs="Arial"/>
          <w:color w:val="FF0000"/>
          <w:sz w:val="19"/>
          <w:szCs w:val="19"/>
          <w:shd w:val="clear" w:color="auto" w:fill="FFFFFF"/>
        </w:rPr>
        <w:t xml:space="preserve"> to this comment,</w:t>
      </w:r>
      <w:r w:rsidR="00EB5E13">
        <w:rPr>
          <w:rFonts w:ascii="Arial" w:hAnsi="Arial" w:cs="Arial"/>
          <w:color w:val="FF0000"/>
          <w:sz w:val="19"/>
          <w:szCs w:val="19"/>
          <w:shd w:val="clear" w:color="auto" w:fill="FFFFFF"/>
        </w:rPr>
        <w:t xml:space="preserve"> </w:t>
      </w:r>
      <w:bookmarkStart w:id="0" w:name="_GoBack"/>
      <w:bookmarkEnd w:id="0"/>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lastRenderedPageBreak/>
        <w:t>(</w:t>
      </w:r>
      <w:r w:rsidR="000C1460">
        <w:rPr>
          <w:rFonts w:ascii="Arial" w:hAnsi="Arial" w:cs="Arial"/>
          <w:color w:val="FF0000"/>
          <w:sz w:val="19"/>
          <w:szCs w:val="19"/>
          <w:shd w:val="clear" w:color="auto" w:fill="FFFFFF"/>
        </w:rPr>
        <w:t xml:space="preserve">See Section 4.2.1  in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(only when a passing test case appears, it will rollback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remain 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See Table 5, Page )</w:t>
      </w:r>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 xml:space="preserve"> Page</w:t>
      </w:r>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t>
      </w:r>
      <w:r>
        <w:rPr>
          <w:rFonts w:ascii="Arial" w:hAnsi="Arial" w:cs="Arial"/>
          <w:color w:val="222222"/>
          <w:sz w:val="19"/>
          <w:szCs w:val="19"/>
          <w:shd w:val="clear" w:color="auto" w:fill="FFFFFF"/>
        </w:rPr>
        <w:lastRenderedPageBreak/>
        <w:t>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in </w:t>
      </w:r>
      <w:r w:rsidR="006E34BE">
        <w:rPr>
          <w:rFonts w:ascii="Arial" w:hAnsi="Arial" w:cs="Arial"/>
          <w:color w:val="FF0000"/>
          <w:sz w:val="19"/>
          <w:szCs w:val="19"/>
          <w:shd w:val="clear" w:color="auto" w:fill="FFFFFF"/>
        </w:rPr>
        <w:t xml:space="preserve"> Page</w:t>
      </w:r>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2053B"/>
    <w:rsid w:val="00120E2F"/>
    <w:rsid w:val="001229A1"/>
    <w:rsid w:val="00123A99"/>
    <w:rsid w:val="00124F51"/>
    <w:rsid w:val="00125E8F"/>
    <w:rsid w:val="0012712A"/>
    <w:rsid w:val="00130045"/>
    <w:rsid w:val="001319C6"/>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E4A"/>
    <w:rsid w:val="0018219B"/>
    <w:rsid w:val="0018266B"/>
    <w:rsid w:val="00183878"/>
    <w:rsid w:val="001838F7"/>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3DB1"/>
    <w:rsid w:val="002A4892"/>
    <w:rsid w:val="002A48B7"/>
    <w:rsid w:val="002A7230"/>
    <w:rsid w:val="002B0B9B"/>
    <w:rsid w:val="002B1995"/>
    <w:rsid w:val="002B5C62"/>
    <w:rsid w:val="002B5FE7"/>
    <w:rsid w:val="002B7965"/>
    <w:rsid w:val="002C0689"/>
    <w:rsid w:val="002C24E4"/>
    <w:rsid w:val="002D12D7"/>
    <w:rsid w:val="002D19E6"/>
    <w:rsid w:val="002D1A5D"/>
    <w:rsid w:val="002D3052"/>
    <w:rsid w:val="002D36E7"/>
    <w:rsid w:val="002D4489"/>
    <w:rsid w:val="002D4E0E"/>
    <w:rsid w:val="002D5FA1"/>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52EF"/>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58FF"/>
    <w:rsid w:val="004363CD"/>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6D2D"/>
    <w:rsid w:val="00477995"/>
    <w:rsid w:val="004816CA"/>
    <w:rsid w:val="00483645"/>
    <w:rsid w:val="00485A7F"/>
    <w:rsid w:val="00485C41"/>
    <w:rsid w:val="00485D58"/>
    <w:rsid w:val="00492CE3"/>
    <w:rsid w:val="0049481C"/>
    <w:rsid w:val="004971AB"/>
    <w:rsid w:val="004A0172"/>
    <w:rsid w:val="004A38C9"/>
    <w:rsid w:val="004A5D05"/>
    <w:rsid w:val="004A657E"/>
    <w:rsid w:val="004B004A"/>
    <w:rsid w:val="004B0D4D"/>
    <w:rsid w:val="004B160A"/>
    <w:rsid w:val="004B29DF"/>
    <w:rsid w:val="004B3A62"/>
    <w:rsid w:val="004B5F41"/>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51CA"/>
    <w:rsid w:val="00526FB8"/>
    <w:rsid w:val="00532B5F"/>
    <w:rsid w:val="00532F51"/>
    <w:rsid w:val="005330EE"/>
    <w:rsid w:val="005333B4"/>
    <w:rsid w:val="005334AE"/>
    <w:rsid w:val="005357BD"/>
    <w:rsid w:val="00535EC8"/>
    <w:rsid w:val="00537951"/>
    <w:rsid w:val="00540825"/>
    <w:rsid w:val="005420CC"/>
    <w:rsid w:val="00542BFF"/>
    <w:rsid w:val="00542DAF"/>
    <w:rsid w:val="00542FFE"/>
    <w:rsid w:val="00545C84"/>
    <w:rsid w:val="0054750C"/>
    <w:rsid w:val="00553C1D"/>
    <w:rsid w:val="005548A5"/>
    <w:rsid w:val="00557525"/>
    <w:rsid w:val="00561A5C"/>
    <w:rsid w:val="00562D80"/>
    <w:rsid w:val="00562E64"/>
    <w:rsid w:val="00563435"/>
    <w:rsid w:val="0056371D"/>
    <w:rsid w:val="00566F1A"/>
    <w:rsid w:val="00570BBD"/>
    <w:rsid w:val="0057322C"/>
    <w:rsid w:val="00573762"/>
    <w:rsid w:val="00575684"/>
    <w:rsid w:val="005811A5"/>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3F6"/>
    <w:rsid w:val="00677806"/>
    <w:rsid w:val="00684C10"/>
    <w:rsid w:val="00685226"/>
    <w:rsid w:val="00686A64"/>
    <w:rsid w:val="006875ED"/>
    <w:rsid w:val="00691D7F"/>
    <w:rsid w:val="00693BB3"/>
    <w:rsid w:val="006950B1"/>
    <w:rsid w:val="006955A0"/>
    <w:rsid w:val="00696129"/>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7E99"/>
    <w:rsid w:val="00870070"/>
    <w:rsid w:val="00871129"/>
    <w:rsid w:val="00872D83"/>
    <w:rsid w:val="00873553"/>
    <w:rsid w:val="00875507"/>
    <w:rsid w:val="00883556"/>
    <w:rsid w:val="0089082B"/>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E3AB1"/>
    <w:rsid w:val="009E442C"/>
    <w:rsid w:val="009E6FCE"/>
    <w:rsid w:val="009E7265"/>
    <w:rsid w:val="009E7F5B"/>
    <w:rsid w:val="009F201A"/>
    <w:rsid w:val="009F36D4"/>
    <w:rsid w:val="009F5AF2"/>
    <w:rsid w:val="009F7E8A"/>
    <w:rsid w:val="00A0328E"/>
    <w:rsid w:val="00A0376D"/>
    <w:rsid w:val="00A03A2D"/>
    <w:rsid w:val="00A03DE0"/>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CB1"/>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6140"/>
    <w:rsid w:val="00D468BF"/>
    <w:rsid w:val="00D51606"/>
    <w:rsid w:val="00D51D7D"/>
    <w:rsid w:val="00D548CA"/>
    <w:rsid w:val="00D54A45"/>
    <w:rsid w:val="00D57870"/>
    <w:rsid w:val="00D60C8E"/>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73C6"/>
    <w:rsid w:val="00DB0A2B"/>
    <w:rsid w:val="00DB0B2B"/>
    <w:rsid w:val="00DB3BA3"/>
    <w:rsid w:val="00DB5666"/>
    <w:rsid w:val="00DB611C"/>
    <w:rsid w:val="00DB6226"/>
    <w:rsid w:val="00DB6A40"/>
    <w:rsid w:val="00DB6F65"/>
    <w:rsid w:val="00DC1405"/>
    <w:rsid w:val="00DC22FD"/>
    <w:rsid w:val="00DC2482"/>
    <w:rsid w:val="00DC2613"/>
    <w:rsid w:val="00DC4C0F"/>
    <w:rsid w:val="00DC7F09"/>
    <w:rsid w:val="00DD197F"/>
    <w:rsid w:val="00DD3924"/>
    <w:rsid w:val="00DD5D16"/>
    <w:rsid w:val="00DD6730"/>
    <w:rsid w:val="00DE42B4"/>
    <w:rsid w:val="00DE7F07"/>
    <w:rsid w:val="00DF18A6"/>
    <w:rsid w:val="00DF3E86"/>
    <w:rsid w:val="00DF6597"/>
    <w:rsid w:val="00DF6938"/>
    <w:rsid w:val="00E005F9"/>
    <w:rsid w:val="00E0217B"/>
    <w:rsid w:val="00E04B7C"/>
    <w:rsid w:val="00E05556"/>
    <w:rsid w:val="00E05CFC"/>
    <w:rsid w:val="00E14ABA"/>
    <w:rsid w:val="00E17CED"/>
    <w:rsid w:val="00E20289"/>
    <w:rsid w:val="00E21282"/>
    <w:rsid w:val="00E242C6"/>
    <w:rsid w:val="00E267F3"/>
    <w:rsid w:val="00E318DE"/>
    <w:rsid w:val="00E35184"/>
    <w:rsid w:val="00E35406"/>
    <w:rsid w:val="00E36F6D"/>
    <w:rsid w:val="00E40417"/>
    <w:rsid w:val="00E42C0E"/>
    <w:rsid w:val="00E4352F"/>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336A"/>
    <w:rsid w:val="00E759DA"/>
    <w:rsid w:val="00E77F94"/>
    <w:rsid w:val="00E80674"/>
    <w:rsid w:val="00E85C48"/>
    <w:rsid w:val="00E87897"/>
    <w:rsid w:val="00E87936"/>
    <w:rsid w:val="00E92047"/>
    <w:rsid w:val="00E928F3"/>
    <w:rsid w:val="00E92C58"/>
    <w:rsid w:val="00E94984"/>
    <w:rsid w:val="00EA05C3"/>
    <w:rsid w:val="00EA20E9"/>
    <w:rsid w:val="00EA2272"/>
    <w:rsid w:val="00EA23AF"/>
    <w:rsid w:val="00EA3BDD"/>
    <w:rsid w:val="00EA5F16"/>
    <w:rsid w:val="00EA6501"/>
    <w:rsid w:val="00EA6AF0"/>
    <w:rsid w:val="00EA74E9"/>
    <w:rsid w:val="00EB334B"/>
    <w:rsid w:val="00EB3862"/>
    <w:rsid w:val="00EB3A38"/>
    <w:rsid w:val="00EB5391"/>
    <w:rsid w:val="00EB5E13"/>
    <w:rsid w:val="00EC14EE"/>
    <w:rsid w:val="00EC2DB1"/>
    <w:rsid w:val="00EC31A5"/>
    <w:rsid w:val="00EC424C"/>
    <w:rsid w:val="00EC45BC"/>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5E6B"/>
    <w:rsid w:val="00F3701B"/>
    <w:rsid w:val="00F37E28"/>
    <w:rsid w:val="00F4639F"/>
    <w:rsid w:val="00F47598"/>
    <w:rsid w:val="00F47B17"/>
    <w:rsid w:val="00F47D37"/>
    <w:rsid w:val="00F528B7"/>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4BD1"/>
    <w:rsid w:val="00F96ED0"/>
    <w:rsid w:val="00F97282"/>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614F"/>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 w:type="table" w:styleId="TableGrid">
    <w:name w:val="Table Grid"/>
    <w:basedOn w:val="TableNormal"/>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4698</TotalTime>
  <Pages>13</Pages>
  <Words>5900</Words>
  <Characters>33630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1379</cp:revision>
  <dcterms:created xsi:type="dcterms:W3CDTF">2016-01-07T21:03:00Z</dcterms:created>
  <dcterms:modified xsi:type="dcterms:W3CDTF">2016-03-02T00:15:00Z</dcterms:modified>
</cp:coreProperties>
</file>