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,0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if each parameters of the SUT has only two values,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However, 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proofErr w:type="gramStart"/>
      <w:r w:rsidR="00217828"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Should this mean that you know in advance what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are the MFS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at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4A3C57">
        <w:rPr>
          <w:rFonts w:ascii="Arial" w:hAnsi="Arial" w:cs="Arial"/>
          <w:color w:val="FF0000"/>
          <w:sz w:val="19"/>
          <w:szCs w:val="19"/>
        </w:rPr>
        <w:t xml:space="preserve">put this one </w:t>
      </w:r>
      <w:r w:rsidR="00D91426">
        <w:rPr>
          <w:rFonts w:ascii="Arial" w:hAnsi="Arial" w:cs="Arial" w:hint="eastAsia"/>
          <w:color w:val="FF0000"/>
          <w:sz w:val="19"/>
          <w:szCs w:val="19"/>
        </w:rPr>
        <w:t>as</w:t>
      </w:r>
      <w:r w:rsidR="00D9142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definition of Safe value</w:t>
      </w:r>
      <w:r w:rsidR="002621B8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3747AE" w:rsidRDefault="006559B3" w:rsidP="00845C99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that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” as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>Also as listed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FB735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later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showed how </w:t>
      </w:r>
      <w:proofErr w:type="gramStart"/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>to .</w:t>
      </w:r>
      <w:proofErr w:type="gramEnd"/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short, </w:t>
      </w:r>
      <w:r w:rsidR="007C69B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there</w:t>
      </w:r>
      <w:r w:rsidR="00413A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First, </w:t>
      </w:r>
      <w:r w:rsidR="00C7465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EB47C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existence of </w:t>
      </w:r>
      <w:r w:rsidR="003D6377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value.</w:t>
      </w:r>
      <w:r w:rsidR="008F41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If there is not.</w:t>
      </w:r>
      <w:r w:rsidR="00E20F4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Second, how to find. </w:t>
      </w:r>
    </w:p>
    <w:p w:rsidR="003747AE" w:rsidRDefault="003747AE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475C1" w:rsidRDefault="000475C1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intend</w:t>
      </w:r>
      <w:proofErr w:type="gramEnd"/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say that </w:t>
      </w:r>
    </w:p>
    <w:p w:rsidR="00845C99" w:rsidRDefault="00D57CE2" w:rsidP="00845C99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Hence, </w:t>
      </w:r>
      <w:r w:rsidR="003F19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7631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re-phased </w:t>
      </w:r>
      <w:r w:rsidR="00784FD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sentences as following</w:t>
      </w:r>
      <w:r w:rsidR="007631B9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7631B9" w:rsidRDefault="007631B9" w:rsidP="00AB01A5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First, we formally define the “Safe value”</w:t>
      </w:r>
      <w:r w:rsidR="0043416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</w:t>
      </w:r>
      <w:r w:rsidR="002B1634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561913" w:rsidRDefault="00561913" w:rsidP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631B9" w:rsidRDefault="004E141D" w:rsidP="00AB01A5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Definition: </w:t>
      </w:r>
      <w:r w:rsidRPr="006C6962">
        <w:rPr>
          <w:rFonts w:ascii="Arial" w:hAnsi="Arial" w:cs="Arial" w:hint="eastAsia"/>
          <w:i/>
          <w:color w:val="FF0000"/>
          <w:sz w:val="19"/>
          <w:szCs w:val="19"/>
          <w:shd w:val="clear" w:color="auto" w:fill="FFFFFF"/>
        </w:rPr>
        <w:t>Safe Value</w:t>
      </w: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is a value of one parameter that is</w:t>
      </w:r>
      <w:r w:rsidR="008528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 the part of any MFS.</w:t>
      </w:r>
    </w:p>
    <w:p w:rsidR="00561913" w:rsidRDefault="00561913" w:rsidP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654EA" w:rsidRDefault="000654EA" w:rsidP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Second, </w:t>
      </w:r>
      <w:r w:rsidR="00150DE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0E6EAD">
        <w:rPr>
          <w:rFonts w:ascii="Arial" w:hAnsi="Arial" w:cs="Arial"/>
          <w:color w:val="FF0000"/>
          <w:sz w:val="19"/>
          <w:szCs w:val="19"/>
          <w:shd w:val="clear" w:color="auto" w:fill="FFFFFF"/>
        </w:rPr>
        <w:t>rephrase</w:t>
      </w:r>
      <w:r w:rsidR="00A206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 as:</w:t>
      </w:r>
    </w:p>
    <w:p w:rsidR="00561913" w:rsidRPr="00561913" w:rsidRDefault="00561913" w:rsidP="002B1634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20651" w:rsidRDefault="00561913" w:rsidP="00AB01A5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</w:t>
      </w:r>
      <w:r w:rsidR="002B1634" w:rsidRPr="002B1634">
        <w:rPr>
          <w:rFonts w:ascii="Arial" w:hAnsi="Arial" w:cs="Arial"/>
          <w:color w:val="FF0000"/>
          <w:sz w:val="19"/>
          <w:szCs w:val="19"/>
          <w:shd w:val="clear" w:color="auto" w:fill="FFFFFF"/>
        </w:rPr>
        <w:t>SS</w:t>
      </w:r>
      <w:r w:rsidR="002601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UMPTION 4. Each parameter </w:t>
      </w:r>
      <w:r w:rsidR="00463A38">
        <w:rPr>
          <w:rFonts w:ascii="Arial" w:hAnsi="Arial" w:cs="Arial"/>
          <w:color w:val="FF0000"/>
          <w:sz w:val="19"/>
          <w:szCs w:val="19"/>
          <w:shd w:val="clear" w:color="auto" w:fill="FFFFFF"/>
        </w:rPr>
        <w:t>has at least one safe value, which is</w:t>
      </w:r>
      <w:r w:rsidR="002601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known in advance.</w:t>
      </w:r>
    </w:p>
    <w:p w:rsidR="00B16DBF" w:rsidRPr="00463A38" w:rsidRDefault="00B16DBF" w:rsidP="00AB01A5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</w:p>
    <w:p w:rsidR="000E6EAD" w:rsidRDefault="000E6EAD" w:rsidP="00AB01A5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As you said that, this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assumption</w:t>
      </w: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is too strong.</w:t>
      </w:r>
    </w:p>
    <w:p w:rsidR="008A125B" w:rsidRDefault="008A125B" w:rsidP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02169" w:rsidRDefault="00A14023" w:rsidP="00AB01A5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 Value”</w:t>
      </w:r>
      <w:r w:rsidR="000930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itself, </w:t>
      </w:r>
      <w:r w:rsidR="006D6118">
        <w:rPr>
          <w:rFonts w:ascii="Arial" w:hAnsi="Arial" w:cs="Arial"/>
          <w:color w:val="FF0000"/>
          <w:sz w:val="19"/>
          <w:szCs w:val="19"/>
          <w:shd w:val="clear" w:color="auto" w:fill="FFFFFF"/>
        </w:rPr>
        <w:t>in fact,</w:t>
      </w:r>
      <w:r w:rsidR="00495BE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3E14D2" w:rsidRPr="00E302EC" w:rsidRDefault="003E14D2" w:rsidP="003E14D2">
      <w:pPr>
        <w:rPr>
          <w:rFonts w:ascii="Arial" w:hAnsi="Arial" w:cs="Arial"/>
          <w:color w:val="FF0000"/>
          <w:sz w:val="19"/>
          <w:szCs w:val="19"/>
        </w:rPr>
      </w:pPr>
    </w:p>
    <w:p w:rsidR="003E14D2" w:rsidRDefault="003E14D2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S</w:t>
      </w:r>
      <w:r>
        <w:rPr>
          <w:rFonts w:ascii="Arial" w:hAnsi="Arial" w:cs="Arial" w:hint="eastAsia"/>
          <w:color w:val="FF0000"/>
          <w:sz w:val="19"/>
          <w:szCs w:val="19"/>
        </w:rPr>
        <w:t xml:space="preserve">afe </w:t>
      </w:r>
      <w:r>
        <w:rPr>
          <w:rFonts w:ascii="Arial" w:hAnsi="Arial" w:cs="Arial"/>
          <w:color w:val="FF0000"/>
          <w:sz w:val="19"/>
          <w:szCs w:val="19"/>
        </w:rPr>
        <w:t>value</w:t>
      </w:r>
      <w:r>
        <w:rPr>
          <w:rFonts w:ascii="Arial" w:hAnsi="Arial" w:cs="Arial" w:hint="eastAsia"/>
          <w:color w:val="FF0000"/>
          <w:sz w:val="19"/>
          <w:szCs w:val="19"/>
        </w:rPr>
        <w:t>是最好的，</w:t>
      </w:r>
    </w:p>
    <w:p w:rsidR="008A125B" w:rsidRDefault="008A125B">
      <w:pPr>
        <w:rPr>
          <w:rFonts w:ascii="Arial" w:hAnsi="Arial" w:cs="Arial"/>
          <w:color w:val="FF0000"/>
          <w:sz w:val="19"/>
          <w:szCs w:val="19"/>
        </w:rPr>
      </w:pPr>
    </w:p>
    <w:p w:rsidR="008A125B" w:rsidRPr="00875FA4" w:rsidRDefault="008A125B">
      <w:pPr>
        <w:rPr>
          <w:rFonts w:ascii="Arial" w:hAnsi="Arial" w:cs="Arial" w:hint="eastAsia"/>
          <w:color w:val="FF0000"/>
          <w:sz w:val="19"/>
          <w:szCs w:val="19"/>
        </w:rPr>
      </w:pPr>
      <w:r>
        <w:rPr>
          <w:rFonts w:ascii="Arial" w:hAnsi="Arial" w:cs="Arial" w:hint="eastAsia"/>
          <w:color w:val="FF0000"/>
          <w:sz w:val="19"/>
          <w:szCs w:val="19"/>
        </w:rPr>
        <w:t xml:space="preserve">As how to get safe value, </w:t>
      </w:r>
      <w:r w:rsidR="002D4000">
        <w:rPr>
          <w:rFonts w:ascii="Arial" w:hAnsi="Arial" w:cs="Arial"/>
          <w:color w:val="FF0000"/>
          <w:sz w:val="19"/>
          <w:szCs w:val="19"/>
        </w:rPr>
        <w:t xml:space="preserve">as we discussed before, there should no way to. But there exist some in practice. </w:t>
      </w:r>
      <w:proofErr w:type="spellStart"/>
      <w:r w:rsidR="00132B8E">
        <w:rPr>
          <w:rFonts w:ascii="Arial" w:hAnsi="Arial" w:cs="Arial"/>
          <w:color w:val="FF0000"/>
          <w:sz w:val="19"/>
          <w:szCs w:val="19"/>
        </w:rPr>
        <w:t>Alouthg</w:t>
      </w:r>
      <w:proofErr w:type="spellEnd"/>
      <w:r w:rsidR="00132B8E">
        <w:rPr>
          <w:rFonts w:ascii="Arial" w:hAnsi="Arial" w:cs="Arial"/>
          <w:color w:val="FF0000"/>
          <w:sz w:val="19"/>
          <w:szCs w:val="19"/>
        </w:rPr>
        <w:t>.  Additionally, the safe value.</w:t>
      </w:r>
    </w:p>
    <w:p w:rsidR="003E14D2" w:rsidRDefault="003E14D2">
      <w:pPr>
        <w:rPr>
          <w:rFonts w:ascii="Arial" w:hAnsi="Arial" w:cs="Arial"/>
          <w:color w:val="FF0000"/>
          <w:sz w:val="19"/>
          <w:szCs w:val="19"/>
        </w:rPr>
      </w:pPr>
    </w:p>
    <w:p w:rsidR="00AA75B3" w:rsidRDefault="006F02FA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Surely, the safe value assumption is a very strong assumption.</w:t>
      </w:r>
      <w:r w:rsidR="00BB5660">
        <w:rPr>
          <w:rFonts w:ascii="Arial" w:hAnsi="Arial" w:cs="Arial"/>
          <w:color w:val="FF0000"/>
          <w:sz w:val="19"/>
          <w:szCs w:val="19"/>
        </w:rPr>
        <w:t xml:space="preserve"> </w:t>
      </w:r>
      <w:r w:rsidR="00A04536">
        <w:rPr>
          <w:rFonts w:ascii="Arial" w:hAnsi="Arial" w:cs="Arial"/>
          <w:color w:val="FF0000"/>
          <w:sz w:val="19"/>
          <w:szCs w:val="19"/>
        </w:rPr>
        <w:t xml:space="preserve">However, there are many ways to get the </w:t>
      </w:r>
      <w:r w:rsidR="007E4756">
        <w:rPr>
          <w:rFonts w:ascii="Arial" w:hAnsi="Arial" w:cs="Arial"/>
          <w:color w:val="FF0000"/>
          <w:sz w:val="19"/>
          <w:szCs w:val="19"/>
        </w:rPr>
        <w:t>negative</w:t>
      </w:r>
      <w:r w:rsidR="00A04536">
        <w:rPr>
          <w:rFonts w:ascii="Arial" w:hAnsi="Arial" w:cs="Arial"/>
          <w:color w:val="FF0000"/>
          <w:sz w:val="19"/>
          <w:szCs w:val="19"/>
        </w:rPr>
        <w:t xml:space="preserve"> ways and some handling measures.</w:t>
      </w:r>
      <w:r w:rsidR="00E47F43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006CEC" w:rsidRDefault="00983FEB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Y</w:t>
      </w:r>
      <w:r>
        <w:rPr>
          <w:rFonts w:ascii="Arial" w:hAnsi="Arial" w:cs="Arial" w:hint="eastAsia"/>
          <w:color w:val="FF0000"/>
          <w:sz w:val="19"/>
          <w:szCs w:val="19"/>
        </w:rPr>
        <w:t xml:space="preserve">es, </w:t>
      </w:r>
      <w:r w:rsidR="009D0587">
        <w:rPr>
          <w:rFonts w:ascii="Arial" w:hAnsi="Arial" w:cs="Arial"/>
          <w:color w:val="FF0000"/>
          <w:sz w:val="19"/>
          <w:szCs w:val="19"/>
        </w:rPr>
        <w:t xml:space="preserve">Martinez and </w:t>
      </w:r>
      <w:r w:rsidR="006446CF">
        <w:rPr>
          <w:rFonts w:ascii="Arial" w:hAnsi="Arial" w:cs="Arial"/>
          <w:color w:val="FF0000"/>
          <w:sz w:val="19"/>
          <w:szCs w:val="19"/>
        </w:rPr>
        <w:t>Zhang has discussed this safe value assumption very clearly. That is just assumption</w:t>
      </w:r>
      <w:r w:rsidR="00006CEC">
        <w:rPr>
          <w:rFonts w:ascii="Arial" w:hAnsi="Arial" w:cs="Arial"/>
          <w:color w:val="FF0000"/>
          <w:sz w:val="19"/>
          <w:szCs w:val="19"/>
        </w:rPr>
        <w:t xml:space="preserve">. </w:t>
      </w:r>
      <w:bookmarkStart w:id="0" w:name="_GoBack"/>
      <w:bookmarkEnd w:id="0"/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[1]</w:t>
      </w:r>
      <w:r w:rsidR="00D73A41" w:rsidRPr="00D73A41">
        <w:t xml:space="preserve"> </w:t>
      </w:r>
      <w:proofErr w:type="spellStart"/>
      <w:r w:rsidR="00D73A41" w:rsidRPr="00D73A41">
        <w:rPr>
          <w:rFonts w:ascii="Arial" w:hAnsi="Arial" w:cs="Arial"/>
          <w:color w:val="FF0000"/>
          <w:sz w:val="19"/>
          <w:szCs w:val="19"/>
        </w:rPr>
        <w:t>Martínez</w:t>
      </w:r>
      <w:proofErr w:type="spellEnd"/>
      <w:r w:rsidR="00D73A41" w:rsidRPr="00D73A41">
        <w:rPr>
          <w:rFonts w:ascii="Arial" w:hAnsi="Arial" w:cs="Arial"/>
          <w:color w:val="FF0000"/>
          <w:sz w:val="19"/>
          <w:szCs w:val="19"/>
        </w:rPr>
        <w:t xml:space="preserve"> C, Moura L, </w:t>
      </w:r>
      <w:proofErr w:type="spellStart"/>
      <w:r w:rsidR="00D73A41" w:rsidRPr="00D73A41">
        <w:rPr>
          <w:rFonts w:ascii="Arial" w:hAnsi="Arial" w:cs="Arial"/>
          <w:color w:val="FF0000"/>
          <w:sz w:val="19"/>
          <w:szCs w:val="19"/>
        </w:rPr>
        <w:t>Panario</w:t>
      </w:r>
      <w:proofErr w:type="spellEnd"/>
      <w:r w:rsidR="00D73A41" w:rsidRPr="00D73A41">
        <w:rPr>
          <w:rFonts w:ascii="Arial" w:hAnsi="Arial" w:cs="Arial"/>
          <w:color w:val="FF0000"/>
          <w:sz w:val="19"/>
          <w:szCs w:val="19"/>
        </w:rPr>
        <w:t xml:space="preserve"> D, et al. Locating errors using ELAs, covering arrays, and adaptive testing </w:t>
      </w:r>
      <w:proofErr w:type="gramStart"/>
      <w:r w:rsidR="00D73A41" w:rsidRPr="00D73A41">
        <w:rPr>
          <w:rFonts w:ascii="Arial" w:hAnsi="Arial" w:cs="Arial"/>
          <w:color w:val="FF0000"/>
          <w:sz w:val="19"/>
          <w:szCs w:val="19"/>
        </w:rPr>
        <w:t>algorithms[</w:t>
      </w:r>
      <w:proofErr w:type="gramEnd"/>
      <w:r w:rsidR="00D73A41" w:rsidRPr="00D73A41">
        <w:rPr>
          <w:rFonts w:ascii="Arial" w:hAnsi="Arial" w:cs="Arial"/>
          <w:color w:val="FF0000"/>
          <w:sz w:val="19"/>
          <w:szCs w:val="19"/>
        </w:rPr>
        <w:t>J]. SIAM Journal on Discrete Mathematics, 2009, 23(4): 1776-1799.</w:t>
      </w:r>
    </w:p>
    <w:p w:rsidR="00AC5B1C" w:rsidRDefault="00AC5B1C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 xml:space="preserve">Zhang Z, Zhang J. Characterizing failure-causing parameter interactions by adaptive </w:t>
      </w:r>
      <w:r w:rsidRPr="00AC5B1C">
        <w:rPr>
          <w:rFonts w:ascii="Arial" w:hAnsi="Arial" w:cs="Arial"/>
          <w:color w:val="FF0000"/>
          <w:sz w:val="19"/>
          <w:szCs w:val="19"/>
        </w:rPr>
        <w:lastRenderedPageBreak/>
        <w:t>testing[C]//Proceedings of the 2011 International Symposium on Software Testing and Analysis. ACM, 2011: 331-341.</w:t>
      </w:r>
    </w:p>
    <w:p w:rsidR="00912A9B" w:rsidRDefault="00912A9B">
      <w:pPr>
        <w:rPr>
          <w:rFonts w:ascii="Arial" w:hAnsi="Arial" w:cs="Arial"/>
          <w:color w:val="222222"/>
          <w:sz w:val="19"/>
          <w:szCs w:val="19"/>
        </w:rPr>
      </w:pPr>
    </w:p>
    <w:p w:rsidR="00912A9B" w:rsidRDefault="00912A9B">
      <w:pPr>
        <w:rPr>
          <w:rFonts w:ascii="Arial" w:hAnsi="Arial" w:cs="Arial"/>
          <w:color w:val="222222"/>
          <w:sz w:val="19"/>
          <w:szCs w:val="19"/>
        </w:rPr>
      </w:pPr>
    </w:p>
    <w:p w:rsidR="00912A9B" w:rsidRDefault="00912A9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假设知道这个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safe value </w:t>
      </w:r>
      <w:r>
        <w:rPr>
          <w:rFonts w:ascii="Arial" w:hAnsi="Arial" w:cs="Arial" w:hint="eastAsia"/>
          <w:color w:val="222222"/>
          <w:sz w:val="19"/>
          <w:szCs w:val="19"/>
        </w:rPr>
        <w:t>的存在。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实际使用中，这个假设，可疑度。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具有一定的可行性。</w:t>
      </w:r>
      <w:r w:rsidR="00424A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24A18">
        <w:rPr>
          <w:rFonts w:ascii="Arial" w:hAnsi="Arial" w:cs="Arial" w:hint="eastAsia"/>
          <w:color w:val="222222"/>
          <w:sz w:val="19"/>
          <w:szCs w:val="19"/>
        </w:rPr>
        <w:t>如果出现问题，会怎么样。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proofErr w:type="spellStart"/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proofErr w:type="spellEnd"/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</w:t>
      </w:r>
      <w:proofErr w:type="gramStart"/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</w:t>
      </w:r>
      <w:proofErr w:type="gramStart"/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proofErr w:type="gramEnd"/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</w:t>
      </w:r>
      <w:proofErr w:type="gramStart"/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proofErr w:type="gramStart"/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proofErr w:type="gramEnd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lastRenderedPageBreak/>
        <w:t>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proofErr w:type="spellStart"/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proofErr w:type="spellEnd"/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</w:t>
      </w:r>
      <w:proofErr w:type="gramStart"/>
      <w:r w:rsidR="00D440FB">
        <w:rPr>
          <w:rFonts w:ascii="Arial" w:hAnsi="Arial" w:cs="Arial"/>
          <w:color w:val="FF0000"/>
          <w:sz w:val="19"/>
          <w:szCs w:val="19"/>
        </w:rPr>
        <w:t>,-</w:t>
      </w:r>
      <w:proofErr w:type="gramEnd"/>
      <w:r w:rsidR="00D440FB">
        <w:rPr>
          <w:rFonts w:ascii="Arial" w:hAnsi="Arial" w:cs="Arial"/>
          <w:color w:val="FF0000"/>
          <w:sz w:val="19"/>
          <w:szCs w:val="19"/>
        </w:rPr>
        <w:t xml:space="preserve">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 xml:space="preserve">0, 0, </w:t>
      </w:r>
      <w:proofErr w:type="gramStart"/>
      <w:r w:rsidR="00140D1D" w:rsidRPr="00140D1D">
        <w:rPr>
          <w:rFonts w:ascii="Arial" w:hAnsi="Arial" w:cs="Arial"/>
          <w:color w:val="FF0000"/>
          <w:sz w:val="19"/>
          <w:szCs w:val="19"/>
        </w:rPr>
        <w:t>1</w:t>
      </w:r>
      <w:proofErr w:type="gramEnd"/>
      <w:r w:rsidR="00140D1D" w:rsidRPr="00140D1D">
        <w:rPr>
          <w:rFonts w:ascii="Arial" w:hAnsi="Arial" w:cs="Arial"/>
          <w:color w:val="FF0000"/>
          <w:sz w:val="19"/>
          <w:szCs w:val="19"/>
        </w:rPr>
        <w:t>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Then, I understand how t2, t3 are </w:t>
      </w:r>
      <w:proofErr w:type="spell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infered</w:t>
      </w:r>
      <w:proofErr w:type="spell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also understand that t1 is </w:t>
      </w:r>
      <w:proofErr w:type="spell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infered</w:t>
      </w:r>
      <w:proofErr w:type="spell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,0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A754D9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A7316E">
        <w:rPr>
          <w:rFonts w:ascii="Arial" w:hAnsi="Arial" w:cs="Arial"/>
          <w:color w:val="FF0000"/>
          <w:sz w:val="19"/>
          <w:szCs w:val="19"/>
        </w:rPr>
        <w:t xml:space="preserve"> </w:t>
      </w:r>
      <w:r w:rsidR="00435FA4" w:rsidRPr="00D61AE1">
        <w:rPr>
          <w:rFonts w:ascii="Arial" w:hAnsi="Arial" w:cs="Arial"/>
          <w:color w:val="FF0000"/>
          <w:sz w:val="19"/>
          <w:szCs w:val="19"/>
        </w:rPr>
        <w:t xml:space="preserve">As we explained in comments. </w:t>
      </w:r>
      <w:r w:rsidR="00A7316E">
        <w:rPr>
          <w:rFonts w:ascii="Arial" w:hAnsi="Arial" w:cs="Arial"/>
          <w:color w:val="FF0000"/>
          <w:sz w:val="19"/>
          <w:szCs w:val="19"/>
        </w:rPr>
        <w:t>These safe values are just by assumptions.</w:t>
      </w:r>
      <w:r w:rsidR="00D12AA2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2B3F18" w:rsidRDefault="002B3F18">
      <w:pPr>
        <w:rPr>
          <w:rFonts w:ascii="Arial" w:hAnsi="Arial" w:cs="Arial"/>
          <w:color w:val="FF0000"/>
          <w:sz w:val="19"/>
          <w:szCs w:val="19"/>
        </w:rPr>
      </w:pPr>
    </w:p>
    <w:p w:rsidR="00994758" w:rsidRDefault="00106C05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Also as </w:t>
      </w:r>
      <w:r w:rsidR="00E95FB5">
        <w:rPr>
          <w:rFonts w:ascii="Arial" w:hAnsi="Arial" w:cs="Arial"/>
          <w:color w:val="FF0000"/>
          <w:sz w:val="19"/>
          <w:szCs w:val="19"/>
        </w:rPr>
        <w:t xml:space="preserve">we said in the comment 6, </w:t>
      </w:r>
      <w:r w:rsidR="0025584E">
        <w:rPr>
          <w:rFonts w:ascii="Arial" w:hAnsi="Arial" w:cs="Arial"/>
          <w:color w:val="FF0000"/>
          <w:sz w:val="19"/>
          <w:szCs w:val="19"/>
        </w:rPr>
        <w:t xml:space="preserve">the </w:t>
      </w:r>
      <w:r w:rsidR="00E95FB5">
        <w:rPr>
          <w:rFonts w:ascii="Arial" w:hAnsi="Arial" w:cs="Arial"/>
          <w:color w:val="FF0000"/>
          <w:sz w:val="19"/>
          <w:szCs w:val="19"/>
        </w:rPr>
        <w:t xml:space="preserve">wrongly expressed </w:t>
      </w:r>
      <w:r w:rsidR="00E95FB5" w:rsidRPr="00E95FB5">
        <w:rPr>
          <w:rFonts w:ascii="Arial" w:hAnsi="Arial" w:cs="Arial"/>
          <w:color w:val="FF0000"/>
          <w:sz w:val="19"/>
          <w:szCs w:val="19"/>
        </w:rPr>
        <w:t>corollary 4.4</w:t>
      </w:r>
      <w:r w:rsidR="0025584E">
        <w:rPr>
          <w:rFonts w:ascii="Arial" w:hAnsi="Arial" w:cs="Arial"/>
          <w:color w:val="FF0000"/>
          <w:sz w:val="19"/>
          <w:szCs w:val="19"/>
        </w:rPr>
        <w:t xml:space="preserve"> </w:t>
      </w:r>
      <w:r w:rsidR="00E95FB5">
        <w:rPr>
          <w:rFonts w:ascii="Arial" w:hAnsi="Arial" w:cs="Arial"/>
          <w:color w:val="FF0000"/>
          <w:sz w:val="19"/>
          <w:szCs w:val="19"/>
        </w:rPr>
        <w:t>makes</w:t>
      </w:r>
      <w:r w:rsidR="00793B2D">
        <w:rPr>
          <w:rFonts w:ascii="Arial" w:hAnsi="Arial" w:cs="Arial"/>
          <w:color w:val="FF0000"/>
          <w:sz w:val="19"/>
          <w:szCs w:val="19"/>
        </w:rPr>
        <w:t xml:space="preserve"> </w:t>
      </w:r>
      <w:r w:rsidR="000A294D">
        <w:rPr>
          <w:rFonts w:ascii="Arial" w:hAnsi="Arial" w:cs="Arial"/>
          <w:color w:val="FF0000"/>
          <w:sz w:val="19"/>
          <w:szCs w:val="19"/>
        </w:rPr>
        <w:t xml:space="preserve">the inference of t14 and t15 </w:t>
      </w:r>
      <w:r w:rsidR="00882B47">
        <w:rPr>
          <w:rFonts w:ascii="Arial" w:hAnsi="Arial" w:cs="Arial"/>
          <w:color w:val="FF0000"/>
          <w:sz w:val="19"/>
          <w:szCs w:val="19"/>
        </w:rPr>
        <w:t xml:space="preserve">hard to understand. </w:t>
      </w:r>
      <w:r w:rsidR="00D8041B">
        <w:rPr>
          <w:rFonts w:ascii="Arial" w:hAnsi="Arial" w:cs="Arial"/>
          <w:color w:val="FF0000"/>
          <w:sz w:val="19"/>
          <w:szCs w:val="19"/>
        </w:rPr>
        <w:t xml:space="preserve">Based on the </w:t>
      </w:r>
      <w:r w:rsidR="001A3286">
        <w:rPr>
          <w:rFonts w:ascii="Arial" w:hAnsi="Arial" w:cs="Arial"/>
          <w:color w:val="FF0000"/>
          <w:sz w:val="19"/>
          <w:szCs w:val="19"/>
        </w:rPr>
        <w:t xml:space="preserve">re-phrased </w:t>
      </w:r>
      <w:r w:rsidR="001A3286" w:rsidRPr="001A3286">
        <w:rPr>
          <w:rFonts w:ascii="Arial" w:hAnsi="Arial" w:cs="Arial"/>
          <w:color w:val="FF0000"/>
          <w:sz w:val="19"/>
          <w:szCs w:val="19"/>
        </w:rPr>
        <w:t>corollary 4.4</w:t>
      </w:r>
      <w:r w:rsidR="001A3286">
        <w:rPr>
          <w:rFonts w:ascii="Arial" w:hAnsi="Arial" w:cs="Arial"/>
          <w:color w:val="FF0000"/>
          <w:sz w:val="19"/>
          <w:szCs w:val="19"/>
        </w:rPr>
        <w:t>, they are easy to explain.</w:t>
      </w:r>
      <w:r w:rsidR="002433D1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4849DF" w:rsidRDefault="004849DF">
      <w:pPr>
        <w:rPr>
          <w:rFonts w:ascii="Arial" w:hAnsi="Arial" w:cs="Arial"/>
          <w:color w:val="FF0000"/>
          <w:sz w:val="19"/>
          <w:szCs w:val="19"/>
        </w:rPr>
      </w:pPr>
    </w:p>
    <w:p w:rsidR="002433D1" w:rsidRDefault="002433D1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</w:t>
      </w:r>
      <w:r>
        <w:rPr>
          <w:rFonts w:ascii="Arial" w:hAnsi="Arial" w:cs="Arial" w:hint="eastAsia"/>
          <w:color w:val="FF0000"/>
          <w:sz w:val="19"/>
          <w:szCs w:val="19"/>
        </w:rPr>
        <w:t>irst</w:t>
      </w:r>
      <w:r w:rsidR="00501F52">
        <w:rPr>
          <w:rFonts w:ascii="Arial" w:hAnsi="Arial" w:cs="Arial"/>
          <w:color w:val="FF0000"/>
          <w:sz w:val="19"/>
          <w:szCs w:val="19"/>
        </w:rPr>
        <w:t>ly</w:t>
      </w:r>
      <w:r>
        <w:rPr>
          <w:rFonts w:ascii="Arial" w:hAnsi="Arial" w:cs="Arial"/>
          <w:color w:val="FF0000"/>
          <w:sz w:val="19"/>
          <w:szCs w:val="19"/>
        </w:rPr>
        <w:t xml:space="preserve">, t14 </w:t>
      </w:r>
      <w:r w:rsidR="00871850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E95FB5" w:rsidRDefault="00E95FB5">
      <w:pPr>
        <w:rPr>
          <w:rFonts w:ascii="Arial" w:hAnsi="Arial" w:cs="Arial"/>
          <w:color w:val="FF0000"/>
          <w:sz w:val="19"/>
          <w:szCs w:val="19"/>
        </w:rPr>
      </w:pPr>
    </w:p>
    <w:p w:rsidR="00F54046" w:rsidRPr="00994758" w:rsidRDefault="00222D4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 w:hint="eastAsia"/>
          <w:color w:val="FF0000"/>
          <w:sz w:val="19"/>
          <w:szCs w:val="19"/>
        </w:rPr>
        <w:t>Secondly, t15</w:t>
      </w:r>
      <w:r>
        <w:rPr>
          <w:rFonts w:ascii="Arial" w:hAnsi="Arial" w:cs="Arial"/>
          <w:color w:val="FF0000"/>
          <w:sz w:val="19"/>
          <w:szCs w:val="19"/>
        </w:rPr>
        <w:t>.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D063D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is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replaced it with </w:t>
      </w:r>
      <w:r w:rsidR="00DB20A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simpler</w:t>
      </w:r>
      <w:r w:rsidR="00DB20A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approach OFOT as what we did in the first version we submit.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proofErr w:type="gramStart"/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proofErr w:type="gramEnd"/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more</w:t>
      </w:r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detail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F40D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So apart from those </w:t>
      </w:r>
      <w:proofErr w:type="gramStart"/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So</w:t>
      </w:r>
      <w:proofErr w:type="gramEnd"/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70794" w:rsidRP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inferences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>, the remain</w:t>
      </w:r>
      <w:r w:rsidR="00CF750C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 part can be regarded the process of </w:t>
      </w:r>
      <w:r w:rsidR="00A97105" w:rsidRPr="00A97105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A9710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5070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That </w:t>
      </w:r>
      <w:r w:rsidR="008D755E">
        <w:rPr>
          <w:rFonts w:ascii="Arial" w:hAnsi="Arial" w:cs="Arial"/>
          <w:color w:val="FF0000"/>
          <w:sz w:val="19"/>
          <w:szCs w:val="19"/>
          <w:shd w:val="clear" w:color="auto" w:fill="FFFFFF"/>
        </w:rPr>
        <w:t>is they binary-</w:t>
      </w:r>
      <w:r w:rsidR="00F51175">
        <w:rPr>
          <w:rFonts w:ascii="Arial" w:hAnsi="Arial" w:cs="Arial"/>
          <w:color w:val="FF0000"/>
          <w:sz w:val="19"/>
          <w:szCs w:val="19"/>
          <w:shd w:val="clear" w:color="auto" w:fill="FFFFFF"/>
        </w:rPr>
        <w:t>search</w:t>
      </w:r>
      <w:r w:rsidR="008D755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failure-inducing factor.</w:t>
      </w:r>
      <w:r w:rsidR="000F45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C6AF9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more specifically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listed </w:t>
      </w:r>
      <w:r w:rsidR="007B4506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part in the following.  In this example, we can find the (-, 1, -, -) is </w:t>
      </w:r>
      <w:r w:rsidR="00BA3840">
        <w:rPr>
          <w:rFonts w:ascii="Arial" w:hAnsi="Arial" w:cs="Arial"/>
          <w:color w:val="FF0000"/>
          <w:sz w:val="19"/>
          <w:szCs w:val="19"/>
          <w:shd w:val="clear" w:color="auto" w:fill="FFFFFF"/>
        </w:rPr>
        <w:t>binary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D063D1" w:rsidRDefault="00D063D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63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for these </w:t>
      </w:r>
      <w:r w:rsidR="002C32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part, we just need to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考虑到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FIC_BS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只是增强版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二分法，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我们为了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更加说明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，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我们在文中不再使用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FIC</w:t>
      </w:r>
      <w:r w:rsidR="007C2D52">
        <w:rPr>
          <w:rFonts w:ascii="Arial" w:hAnsi="Arial" w:cs="Arial"/>
          <w:color w:val="222222"/>
          <w:sz w:val="19"/>
          <w:szCs w:val="19"/>
        </w:rPr>
        <w:t xml:space="preserve">_BS </w:t>
      </w:r>
      <w:r w:rsidR="007C2D52">
        <w:rPr>
          <w:rFonts w:ascii="Arial" w:hAnsi="Arial" w:cs="Arial" w:hint="eastAsia"/>
          <w:color w:val="222222"/>
          <w:sz w:val="19"/>
          <w:szCs w:val="19"/>
        </w:rPr>
        <w:t>说明例子，全部使用</w:t>
      </w:r>
      <w:r w:rsidR="005C6196">
        <w:rPr>
          <w:rFonts w:ascii="Arial" w:hAnsi="Arial" w:cs="Arial" w:hint="eastAsia"/>
          <w:color w:val="222222"/>
          <w:sz w:val="19"/>
          <w:szCs w:val="19"/>
        </w:rPr>
        <w:t>最简单。</w:t>
      </w: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6 : "the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7 : "which we will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discussED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11 : "focus on describing the FIC_BS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apprAOch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25, table XVII, versions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space of Grep 2.6.3 : 2^5 * 3^1 * ??4^1??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actually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32 : "Although our approach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33 : "FDA-CIT... approach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handleS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>We also added more real subjects as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 Comment 2 said, and as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have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.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For subjects with big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 better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5A67A1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CB556B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 xml:space="preserve">4 more real subjects (), in </w:t>
      </w:r>
      <w:proofErr w:type="gramStart"/>
      <w:r w:rsidR="00C343A3">
        <w:rPr>
          <w:rFonts w:ascii="Arial" w:hAnsi="Arial" w:cs="Arial"/>
          <w:color w:val="FF0000"/>
          <w:sz w:val="19"/>
          <w:szCs w:val="19"/>
        </w:rPr>
        <w:t xml:space="preserve">which </w:t>
      </w:r>
      <w:r w:rsidR="00DB1850">
        <w:rPr>
          <w:rFonts w:ascii="Arial" w:hAnsi="Arial" w:cs="Arial"/>
          <w:color w:val="FF0000"/>
          <w:sz w:val="19"/>
          <w:szCs w:val="19"/>
        </w:rPr>
        <w:t>,</w:t>
      </w:r>
      <w:proofErr w:type="gramEnd"/>
      <w:r w:rsidR="00DB1850">
        <w:rPr>
          <w:rFonts w:ascii="Arial" w:hAnsi="Arial" w:cs="Arial"/>
          <w:color w:val="FF0000"/>
          <w:sz w:val="19"/>
          <w:szCs w:val="19"/>
        </w:rPr>
        <w:t xml:space="preserve"> and , 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</w:p>
    <w:p w:rsidR="0086448B" w:rsidRDefault="00CB556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)to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page 4,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" an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5F4A"/>
    <w:rsid w:val="000062EE"/>
    <w:rsid w:val="00006CEC"/>
    <w:rsid w:val="00007434"/>
    <w:rsid w:val="00017D7A"/>
    <w:rsid w:val="00022DFB"/>
    <w:rsid w:val="00025575"/>
    <w:rsid w:val="00027906"/>
    <w:rsid w:val="00032DE3"/>
    <w:rsid w:val="000375B7"/>
    <w:rsid w:val="0004112D"/>
    <w:rsid w:val="000475C1"/>
    <w:rsid w:val="00051036"/>
    <w:rsid w:val="00051488"/>
    <w:rsid w:val="0005237B"/>
    <w:rsid w:val="0005439F"/>
    <w:rsid w:val="000609B6"/>
    <w:rsid w:val="000620B9"/>
    <w:rsid w:val="000654EA"/>
    <w:rsid w:val="00073BBF"/>
    <w:rsid w:val="00080275"/>
    <w:rsid w:val="00081209"/>
    <w:rsid w:val="000836F4"/>
    <w:rsid w:val="000854DB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4BB7"/>
    <w:rsid w:val="000C2BA5"/>
    <w:rsid w:val="000C36A1"/>
    <w:rsid w:val="000C652F"/>
    <w:rsid w:val="000C7480"/>
    <w:rsid w:val="000D229C"/>
    <w:rsid w:val="000D29CE"/>
    <w:rsid w:val="000D2F4B"/>
    <w:rsid w:val="000D7201"/>
    <w:rsid w:val="000E12A6"/>
    <w:rsid w:val="000E3B9C"/>
    <w:rsid w:val="000E6EAD"/>
    <w:rsid w:val="000E754C"/>
    <w:rsid w:val="000F1F7C"/>
    <w:rsid w:val="000F26D0"/>
    <w:rsid w:val="000F4409"/>
    <w:rsid w:val="000F4577"/>
    <w:rsid w:val="000F6CBE"/>
    <w:rsid w:val="000F7188"/>
    <w:rsid w:val="001044F2"/>
    <w:rsid w:val="00106C05"/>
    <w:rsid w:val="001079A7"/>
    <w:rsid w:val="001101DF"/>
    <w:rsid w:val="0012356F"/>
    <w:rsid w:val="001235A6"/>
    <w:rsid w:val="0012598C"/>
    <w:rsid w:val="00132180"/>
    <w:rsid w:val="00132B8E"/>
    <w:rsid w:val="00132D87"/>
    <w:rsid w:val="00136ED3"/>
    <w:rsid w:val="00140D1D"/>
    <w:rsid w:val="00141160"/>
    <w:rsid w:val="001428CC"/>
    <w:rsid w:val="00144437"/>
    <w:rsid w:val="00144BDF"/>
    <w:rsid w:val="00150BC5"/>
    <w:rsid w:val="00150DE9"/>
    <w:rsid w:val="00151D24"/>
    <w:rsid w:val="00161DDE"/>
    <w:rsid w:val="00170794"/>
    <w:rsid w:val="001769DA"/>
    <w:rsid w:val="00183D29"/>
    <w:rsid w:val="00184181"/>
    <w:rsid w:val="00187701"/>
    <w:rsid w:val="00191E41"/>
    <w:rsid w:val="00194776"/>
    <w:rsid w:val="00194DA4"/>
    <w:rsid w:val="00196562"/>
    <w:rsid w:val="00197040"/>
    <w:rsid w:val="001A04BB"/>
    <w:rsid w:val="001A3286"/>
    <w:rsid w:val="001A4512"/>
    <w:rsid w:val="001A5714"/>
    <w:rsid w:val="001A7605"/>
    <w:rsid w:val="001A78CC"/>
    <w:rsid w:val="001B1899"/>
    <w:rsid w:val="001B2ECE"/>
    <w:rsid w:val="001B3058"/>
    <w:rsid w:val="001B784C"/>
    <w:rsid w:val="001C44F8"/>
    <w:rsid w:val="001E25C3"/>
    <w:rsid w:val="001E5EC3"/>
    <w:rsid w:val="001E743D"/>
    <w:rsid w:val="001F64C9"/>
    <w:rsid w:val="00200749"/>
    <w:rsid w:val="002050B8"/>
    <w:rsid w:val="00207460"/>
    <w:rsid w:val="002075E7"/>
    <w:rsid w:val="002144CB"/>
    <w:rsid w:val="0021499C"/>
    <w:rsid w:val="00217828"/>
    <w:rsid w:val="00222174"/>
    <w:rsid w:val="00222706"/>
    <w:rsid w:val="00222D49"/>
    <w:rsid w:val="002267B0"/>
    <w:rsid w:val="00226D39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60178"/>
    <w:rsid w:val="00260196"/>
    <w:rsid w:val="0026185B"/>
    <w:rsid w:val="002620C8"/>
    <w:rsid w:val="002621B8"/>
    <w:rsid w:val="002651FE"/>
    <w:rsid w:val="0026602E"/>
    <w:rsid w:val="002722D6"/>
    <w:rsid w:val="002736B3"/>
    <w:rsid w:val="00274FBA"/>
    <w:rsid w:val="00280AAA"/>
    <w:rsid w:val="00285EE1"/>
    <w:rsid w:val="0028717A"/>
    <w:rsid w:val="00290913"/>
    <w:rsid w:val="00294239"/>
    <w:rsid w:val="0029690B"/>
    <w:rsid w:val="002A101F"/>
    <w:rsid w:val="002A127F"/>
    <w:rsid w:val="002A2B05"/>
    <w:rsid w:val="002B1634"/>
    <w:rsid w:val="002B343D"/>
    <w:rsid w:val="002B3F18"/>
    <w:rsid w:val="002B59F7"/>
    <w:rsid w:val="002B777C"/>
    <w:rsid w:val="002C32B0"/>
    <w:rsid w:val="002C5C89"/>
    <w:rsid w:val="002D0CFE"/>
    <w:rsid w:val="002D356D"/>
    <w:rsid w:val="002D4000"/>
    <w:rsid w:val="002D582F"/>
    <w:rsid w:val="002E2CE3"/>
    <w:rsid w:val="002E4FC9"/>
    <w:rsid w:val="002F126E"/>
    <w:rsid w:val="002F14CD"/>
    <w:rsid w:val="002F4951"/>
    <w:rsid w:val="002F6125"/>
    <w:rsid w:val="00306080"/>
    <w:rsid w:val="0030632D"/>
    <w:rsid w:val="00310027"/>
    <w:rsid w:val="0031060E"/>
    <w:rsid w:val="0031097A"/>
    <w:rsid w:val="0031212F"/>
    <w:rsid w:val="0031277F"/>
    <w:rsid w:val="003137BB"/>
    <w:rsid w:val="0031423F"/>
    <w:rsid w:val="00314DF9"/>
    <w:rsid w:val="00316ADA"/>
    <w:rsid w:val="0032413C"/>
    <w:rsid w:val="003262A8"/>
    <w:rsid w:val="0032649D"/>
    <w:rsid w:val="00326FC2"/>
    <w:rsid w:val="00330E6B"/>
    <w:rsid w:val="0033533A"/>
    <w:rsid w:val="00337A17"/>
    <w:rsid w:val="00337BD5"/>
    <w:rsid w:val="003439BB"/>
    <w:rsid w:val="0034763E"/>
    <w:rsid w:val="00351149"/>
    <w:rsid w:val="0035177C"/>
    <w:rsid w:val="00352C56"/>
    <w:rsid w:val="0036368A"/>
    <w:rsid w:val="00363740"/>
    <w:rsid w:val="00363D67"/>
    <w:rsid w:val="00364599"/>
    <w:rsid w:val="00366E1F"/>
    <w:rsid w:val="003712DC"/>
    <w:rsid w:val="00371752"/>
    <w:rsid w:val="0037339F"/>
    <w:rsid w:val="003747AE"/>
    <w:rsid w:val="00381C80"/>
    <w:rsid w:val="003942ED"/>
    <w:rsid w:val="00395948"/>
    <w:rsid w:val="003A03CF"/>
    <w:rsid w:val="003A35C2"/>
    <w:rsid w:val="003B2506"/>
    <w:rsid w:val="003B3188"/>
    <w:rsid w:val="003C076F"/>
    <w:rsid w:val="003C16F8"/>
    <w:rsid w:val="003C1A17"/>
    <w:rsid w:val="003C6AF9"/>
    <w:rsid w:val="003C6C01"/>
    <w:rsid w:val="003D142B"/>
    <w:rsid w:val="003D1AE8"/>
    <w:rsid w:val="003D4216"/>
    <w:rsid w:val="003D6377"/>
    <w:rsid w:val="003E0433"/>
    <w:rsid w:val="003E14D2"/>
    <w:rsid w:val="003E58A1"/>
    <w:rsid w:val="003F0772"/>
    <w:rsid w:val="003F13FA"/>
    <w:rsid w:val="003F1991"/>
    <w:rsid w:val="003F3324"/>
    <w:rsid w:val="003F42C8"/>
    <w:rsid w:val="003F6385"/>
    <w:rsid w:val="004008DF"/>
    <w:rsid w:val="00404ECA"/>
    <w:rsid w:val="00413AB9"/>
    <w:rsid w:val="00416E18"/>
    <w:rsid w:val="004219DE"/>
    <w:rsid w:val="00424A18"/>
    <w:rsid w:val="004275F0"/>
    <w:rsid w:val="00427631"/>
    <w:rsid w:val="00427C41"/>
    <w:rsid w:val="00431B07"/>
    <w:rsid w:val="00434164"/>
    <w:rsid w:val="00435E25"/>
    <w:rsid w:val="00435FA4"/>
    <w:rsid w:val="00441674"/>
    <w:rsid w:val="0044205C"/>
    <w:rsid w:val="004426EF"/>
    <w:rsid w:val="0044569E"/>
    <w:rsid w:val="00452325"/>
    <w:rsid w:val="004525B1"/>
    <w:rsid w:val="00454658"/>
    <w:rsid w:val="004565D0"/>
    <w:rsid w:val="004579F6"/>
    <w:rsid w:val="0046137B"/>
    <w:rsid w:val="00463A38"/>
    <w:rsid w:val="00463D05"/>
    <w:rsid w:val="00467AB7"/>
    <w:rsid w:val="00470A2C"/>
    <w:rsid w:val="004727D3"/>
    <w:rsid w:val="00473FA7"/>
    <w:rsid w:val="0048095E"/>
    <w:rsid w:val="00483C80"/>
    <w:rsid w:val="004849DF"/>
    <w:rsid w:val="004861BF"/>
    <w:rsid w:val="004867A5"/>
    <w:rsid w:val="004906FA"/>
    <w:rsid w:val="00491405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74F2"/>
    <w:rsid w:val="004C1C12"/>
    <w:rsid w:val="004C4E4F"/>
    <w:rsid w:val="004C5D87"/>
    <w:rsid w:val="004C64C2"/>
    <w:rsid w:val="004C7759"/>
    <w:rsid w:val="004D2064"/>
    <w:rsid w:val="004D26E6"/>
    <w:rsid w:val="004D7A71"/>
    <w:rsid w:val="004E07D6"/>
    <w:rsid w:val="004E141D"/>
    <w:rsid w:val="004E292D"/>
    <w:rsid w:val="004E2EFD"/>
    <w:rsid w:val="004E3891"/>
    <w:rsid w:val="004E4025"/>
    <w:rsid w:val="004E67C5"/>
    <w:rsid w:val="004F7187"/>
    <w:rsid w:val="00501F52"/>
    <w:rsid w:val="00504ED8"/>
    <w:rsid w:val="005070DF"/>
    <w:rsid w:val="00514E0B"/>
    <w:rsid w:val="005157F2"/>
    <w:rsid w:val="00516FE7"/>
    <w:rsid w:val="00520047"/>
    <w:rsid w:val="005232DD"/>
    <w:rsid w:val="0052602D"/>
    <w:rsid w:val="005360F0"/>
    <w:rsid w:val="0054292C"/>
    <w:rsid w:val="005531BF"/>
    <w:rsid w:val="00561913"/>
    <w:rsid w:val="00565576"/>
    <w:rsid w:val="005701BC"/>
    <w:rsid w:val="0057616B"/>
    <w:rsid w:val="00576DE5"/>
    <w:rsid w:val="005836ED"/>
    <w:rsid w:val="00583FBA"/>
    <w:rsid w:val="0059203C"/>
    <w:rsid w:val="0059244D"/>
    <w:rsid w:val="005979AE"/>
    <w:rsid w:val="005A099F"/>
    <w:rsid w:val="005A1035"/>
    <w:rsid w:val="005A1C14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D14DE"/>
    <w:rsid w:val="005D203A"/>
    <w:rsid w:val="005E21CE"/>
    <w:rsid w:val="005E2253"/>
    <w:rsid w:val="005E55D7"/>
    <w:rsid w:val="005E5879"/>
    <w:rsid w:val="005E67BE"/>
    <w:rsid w:val="005F3F3E"/>
    <w:rsid w:val="005F6829"/>
    <w:rsid w:val="00600D07"/>
    <w:rsid w:val="00600E55"/>
    <w:rsid w:val="00603AF1"/>
    <w:rsid w:val="00606524"/>
    <w:rsid w:val="00606AA3"/>
    <w:rsid w:val="00606BA9"/>
    <w:rsid w:val="00607484"/>
    <w:rsid w:val="006106B1"/>
    <w:rsid w:val="0061382B"/>
    <w:rsid w:val="00615240"/>
    <w:rsid w:val="00615A28"/>
    <w:rsid w:val="00617299"/>
    <w:rsid w:val="00617355"/>
    <w:rsid w:val="00620460"/>
    <w:rsid w:val="00620EE0"/>
    <w:rsid w:val="006216BC"/>
    <w:rsid w:val="00623316"/>
    <w:rsid w:val="00635FB9"/>
    <w:rsid w:val="00642014"/>
    <w:rsid w:val="00643502"/>
    <w:rsid w:val="0064421F"/>
    <w:rsid w:val="006446CF"/>
    <w:rsid w:val="006559B3"/>
    <w:rsid w:val="0065612A"/>
    <w:rsid w:val="006625A6"/>
    <w:rsid w:val="00664A1C"/>
    <w:rsid w:val="00664C05"/>
    <w:rsid w:val="00667026"/>
    <w:rsid w:val="0067079A"/>
    <w:rsid w:val="006710D0"/>
    <w:rsid w:val="00674E8C"/>
    <w:rsid w:val="00681FB3"/>
    <w:rsid w:val="00687B2D"/>
    <w:rsid w:val="00691412"/>
    <w:rsid w:val="006918E7"/>
    <w:rsid w:val="00692148"/>
    <w:rsid w:val="006942FD"/>
    <w:rsid w:val="006A4E4E"/>
    <w:rsid w:val="006A594E"/>
    <w:rsid w:val="006A5E0C"/>
    <w:rsid w:val="006A5E28"/>
    <w:rsid w:val="006B3D02"/>
    <w:rsid w:val="006B4E84"/>
    <w:rsid w:val="006C22C3"/>
    <w:rsid w:val="006C243E"/>
    <w:rsid w:val="006C3118"/>
    <w:rsid w:val="006C3E7C"/>
    <w:rsid w:val="006C3F24"/>
    <w:rsid w:val="006C4B84"/>
    <w:rsid w:val="006C6962"/>
    <w:rsid w:val="006D3784"/>
    <w:rsid w:val="006D3C95"/>
    <w:rsid w:val="006D6118"/>
    <w:rsid w:val="006D72B9"/>
    <w:rsid w:val="006E09E0"/>
    <w:rsid w:val="006E2CC1"/>
    <w:rsid w:val="006E4764"/>
    <w:rsid w:val="006E6953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433A"/>
    <w:rsid w:val="00734366"/>
    <w:rsid w:val="00734914"/>
    <w:rsid w:val="0074364E"/>
    <w:rsid w:val="007438E3"/>
    <w:rsid w:val="0074540F"/>
    <w:rsid w:val="007474F2"/>
    <w:rsid w:val="00752837"/>
    <w:rsid w:val="00752FAA"/>
    <w:rsid w:val="00754308"/>
    <w:rsid w:val="00754347"/>
    <w:rsid w:val="007610CE"/>
    <w:rsid w:val="00761669"/>
    <w:rsid w:val="00762D14"/>
    <w:rsid w:val="00762D1C"/>
    <w:rsid w:val="007631B9"/>
    <w:rsid w:val="00766110"/>
    <w:rsid w:val="00772438"/>
    <w:rsid w:val="00773F88"/>
    <w:rsid w:val="00774E29"/>
    <w:rsid w:val="007806C4"/>
    <w:rsid w:val="00782F10"/>
    <w:rsid w:val="00784FDC"/>
    <w:rsid w:val="00786332"/>
    <w:rsid w:val="007866A3"/>
    <w:rsid w:val="00786E6E"/>
    <w:rsid w:val="00787A16"/>
    <w:rsid w:val="00793B2D"/>
    <w:rsid w:val="00794A18"/>
    <w:rsid w:val="007A0FB2"/>
    <w:rsid w:val="007A31E2"/>
    <w:rsid w:val="007A367B"/>
    <w:rsid w:val="007B195C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750C"/>
    <w:rsid w:val="007F198D"/>
    <w:rsid w:val="007F54A0"/>
    <w:rsid w:val="007F58DC"/>
    <w:rsid w:val="007F7284"/>
    <w:rsid w:val="00801102"/>
    <w:rsid w:val="00803674"/>
    <w:rsid w:val="00803B9E"/>
    <w:rsid w:val="00806BE5"/>
    <w:rsid w:val="00811E78"/>
    <w:rsid w:val="0081665E"/>
    <w:rsid w:val="0082355D"/>
    <w:rsid w:val="00825207"/>
    <w:rsid w:val="00831672"/>
    <w:rsid w:val="00831B50"/>
    <w:rsid w:val="00831D2E"/>
    <w:rsid w:val="00831F9C"/>
    <w:rsid w:val="008323E1"/>
    <w:rsid w:val="00832F8C"/>
    <w:rsid w:val="00836B8D"/>
    <w:rsid w:val="008429FA"/>
    <w:rsid w:val="008455CD"/>
    <w:rsid w:val="00845C99"/>
    <w:rsid w:val="00846651"/>
    <w:rsid w:val="00847083"/>
    <w:rsid w:val="008501AC"/>
    <w:rsid w:val="00852834"/>
    <w:rsid w:val="00852E04"/>
    <w:rsid w:val="00853290"/>
    <w:rsid w:val="00853474"/>
    <w:rsid w:val="00853643"/>
    <w:rsid w:val="00863091"/>
    <w:rsid w:val="008637CB"/>
    <w:rsid w:val="0086448B"/>
    <w:rsid w:val="00870D05"/>
    <w:rsid w:val="00871850"/>
    <w:rsid w:val="00875D3B"/>
    <w:rsid w:val="00875FA4"/>
    <w:rsid w:val="00882B47"/>
    <w:rsid w:val="0088552D"/>
    <w:rsid w:val="008868A1"/>
    <w:rsid w:val="00890A7F"/>
    <w:rsid w:val="00894152"/>
    <w:rsid w:val="00897251"/>
    <w:rsid w:val="00897429"/>
    <w:rsid w:val="008A125B"/>
    <w:rsid w:val="008A19C0"/>
    <w:rsid w:val="008A6389"/>
    <w:rsid w:val="008A691D"/>
    <w:rsid w:val="008B2B78"/>
    <w:rsid w:val="008B5863"/>
    <w:rsid w:val="008B5F22"/>
    <w:rsid w:val="008C298C"/>
    <w:rsid w:val="008D17E3"/>
    <w:rsid w:val="008D71C7"/>
    <w:rsid w:val="008D755E"/>
    <w:rsid w:val="008D7870"/>
    <w:rsid w:val="008E62BF"/>
    <w:rsid w:val="008F22C9"/>
    <w:rsid w:val="008F41B1"/>
    <w:rsid w:val="008F5902"/>
    <w:rsid w:val="008F66BC"/>
    <w:rsid w:val="009057FE"/>
    <w:rsid w:val="00905B6F"/>
    <w:rsid w:val="00906949"/>
    <w:rsid w:val="00907B2A"/>
    <w:rsid w:val="009117C2"/>
    <w:rsid w:val="0091246E"/>
    <w:rsid w:val="00912A9B"/>
    <w:rsid w:val="0091681F"/>
    <w:rsid w:val="009200E1"/>
    <w:rsid w:val="00922FC7"/>
    <w:rsid w:val="0093662F"/>
    <w:rsid w:val="009372FF"/>
    <w:rsid w:val="0094188D"/>
    <w:rsid w:val="009418BD"/>
    <w:rsid w:val="00942BB6"/>
    <w:rsid w:val="00943A5D"/>
    <w:rsid w:val="00944D9C"/>
    <w:rsid w:val="0095016C"/>
    <w:rsid w:val="009542D8"/>
    <w:rsid w:val="0097080F"/>
    <w:rsid w:val="00970936"/>
    <w:rsid w:val="0097356D"/>
    <w:rsid w:val="00976316"/>
    <w:rsid w:val="00981031"/>
    <w:rsid w:val="00981753"/>
    <w:rsid w:val="00983FEB"/>
    <w:rsid w:val="009840D8"/>
    <w:rsid w:val="0098678E"/>
    <w:rsid w:val="00987422"/>
    <w:rsid w:val="00994758"/>
    <w:rsid w:val="00995F5C"/>
    <w:rsid w:val="00997A35"/>
    <w:rsid w:val="009A060F"/>
    <w:rsid w:val="009A2063"/>
    <w:rsid w:val="009A219D"/>
    <w:rsid w:val="009A248E"/>
    <w:rsid w:val="009A2C34"/>
    <w:rsid w:val="009B10C6"/>
    <w:rsid w:val="009B2052"/>
    <w:rsid w:val="009B22C5"/>
    <w:rsid w:val="009B4565"/>
    <w:rsid w:val="009B4C9E"/>
    <w:rsid w:val="009C44A6"/>
    <w:rsid w:val="009C6400"/>
    <w:rsid w:val="009C7859"/>
    <w:rsid w:val="009D0587"/>
    <w:rsid w:val="009D3084"/>
    <w:rsid w:val="009D4249"/>
    <w:rsid w:val="009E7E05"/>
    <w:rsid w:val="009F3D31"/>
    <w:rsid w:val="00A01804"/>
    <w:rsid w:val="00A04536"/>
    <w:rsid w:val="00A047BC"/>
    <w:rsid w:val="00A06227"/>
    <w:rsid w:val="00A07F97"/>
    <w:rsid w:val="00A12EB5"/>
    <w:rsid w:val="00A12F91"/>
    <w:rsid w:val="00A14023"/>
    <w:rsid w:val="00A2052D"/>
    <w:rsid w:val="00A20651"/>
    <w:rsid w:val="00A218AB"/>
    <w:rsid w:val="00A22551"/>
    <w:rsid w:val="00A23476"/>
    <w:rsid w:val="00A41132"/>
    <w:rsid w:val="00A43EDF"/>
    <w:rsid w:val="00A44A86"/>
    <w:rsid w:val="00A519AF"/>
    <w:rsid w:val="00A538C5"/>
    <w:rsid w:val="00A53DA3"/>
    <w:rsid w:val="00A55400"/>
    <w:rsid w:val="00A63A08"/>
    <w:rsid w:val="00A64399"/>
    <w:rsid w:val="00A67CE5"/>
    <w:rsid w:val="00A7316E"/>
    <w:rsid w:val="00A73FC6"/>
    <w:rsid w:val="00A7453B"/>
    <w:rsid w:val="00A754D9"/>
    <w:rsid w:val="00A75F7C"/>
    <w:rsid w:val="00A77342"/>
    <w:rsid w:val="00A80369"/>
    <w:rsid w:val="00A82074"/>
    <w:rsid w:val="00A83978"/>
    <w:rsid w:val="00A909B1"/>
    <w:rsid w:val="00A92B36"/>
    <w:rsid w:val="00A92F72"/>
    <w:rsid w:val="00A92FF1"/>
    <w:rsid w:val="00A94F3A"/>
    <w:rsid w:val="00A97105"/>
    <w:rsid w:val="00AA10CA"/>
    <w:rsid w:val="00AA2AF8"/>
    <w:rsid w:val="00AA75B3"/>
    <w:rsid w:val="00AA76D5"/>
    <w:rsid w:val="00AB01A5"/>
    <w:rsid w:val="00AB0BC5"/>
    <w:rsid w:val="00AC082A"/>
    <w:rsid w:val="00AC136E"/>
    <w:rsid w:val="00AC34F2"/>
    <w:rsid w:val="00AC434F"/>
    <w:rsid w:val="00AC5B1C"/>
    <w:rsid w:val="00AC7A2A"/>
    <w:rsid w:val="00AD2D76"/>
    <w:rsid w:val="00AD5C55"/>
    <w:rsid w:val="00AE15FE"/>
    <w:rsid w:val="00AE24AB"/>
    <w:rsid w:val="00AE3E7B"/>
    <w:rsid w:val="00AF3E7C"/>
    <w:rsid w:val="00AF64B2"/>
    <w:rsid w:val="00AF7AEA"/>
    <w:rsid w:val="00AF7C09"/>
    <w:rsid w:val="00B0241A"/>
    <w:rsid w:val="00B04A33"/>
    <w:rsid w:val="00B04B5D"/>
    <w:rsid w:val="00B0624A"/>
    <w:rsid w:val="00B104F2"/>
    <w:rsid w:val="00B151A3"/>
    <w:rsid w:val="00B16DBF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2CC8"/>
    <w:rsid w:val="00B461CB"/>
    <w:rsid w:val="00B465D8"/>
    <w:rsid w:val="00B5008A"/>
    <w:rsid w:val="00B57AAD"/>
    <w:rsid w:val="00B62DF9"/>
    <w:rsid w:val="00B63E11"/>
    <w:rsid w:val="00B64882"/>
    <w:rsid w:val="00B70BEB"/>
    <w:rsid w:val="00B72671"/>
    <w:rsid w:val="00B72A9F"/>
    <w:rsid w:val="00B74067"/>
    <w:rsid w:val="00B7459E"/>
    <w:rsid w:val="00B7754C"/>
    <w:rsid w:val="00B80D08"/>
    <w:rsid w:val="00B96678"/>
    <w:rsid w:val="00BA1251"/>
    <w:rsid w:val="00BA3840"/>
    <w:rsid w:val="00BB0DF1"/>
    <w:rsid w:val="00BB5660"/>
    <w:rsid w:val="00BC167E"/>
    <w:rsid w:val="00BC1AF4"/>
    <w:rsid w:val="00BC23F2"/>
    <w:rsid w:val="00BC7F31"/>
    <w:rsid w:val="00BD1112"/>
    <w:rsid w:val="00BD1121"/>
    <w:rsid w:val="00BD19AC"/>
    <w:rsid w:val="00BE119E"/>
    <w:rsid w:val="00BE2CC7"/>
    <w:rsid w:val="00BE433C"/>
    <w:rsid w:val="00BF0BB1"/>
    <w:rsid w:val="00BF372A"/>
    <w:rsid w:val="00C00413"/>
    <w:rsid w:val="00C00D2A"/>
    <w:rsid w:val="00C01D40"/>
    <w:rsid w:val="00C028B3"/>
    <w:rsid w:val="00C03873"/>
    <w:rsid w:val="00C11AF4"/>
    <w:rsid w:val="00C12404"/>
    <w:rsid w:val="00C169B7"/>
    <w:rsid w:val="00C20A31"/>
    <w:rsid w:val="00C343A3"/>
    <w:rsid w:val="00C4731D"/>
    <w:rsid w:val="00C55A7B"/>
    <w:rsid w:val="00C5658B"/>
    <w:rsid w:val="00C56623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3750"/>
    <w:rsid w:val="00C852A0"/>
    <w:rsid w:val="00C91FF7"/>
    <w:rsid w:val="00C94B91"/>
    <w:rsid w:val="00CA20C9"/>
    <w:rsid w:val="00CB196A"/>
    <w:rsid w:val="00CB556B"/>
    <w:rsid w:val="00CB5BF1"/>
    <w:rsid w:val="00CC0C2B"/>
    <w:rsid w:val="00CC42B9"/>
    <w:rsid w:val="00CC4D65"/>
    <w:rsid w:val="00CD38AB"/>
    <w:rsid w:val="00CD3E41"/>
    <w:rsid w:val="00CD4C1B"/>
    <w:rsid w:val="00CD4E2A"/>
    <w:rsid w:val="00CD5098"/>
    <w:rsid w:val="00CD7B62"/>
    <w:rsid w:val="00CE1CB8"/>
    <w:rsid w:val="00CE5F8C"/>
    <w:rsid w:val="00CF152F"/>
    <w:rsid w:val="00CF1B6E"/>
    <w:rsid w:val="00CF1DBD"/>
    <w:rsid w:val="00CF277D"/>
    <w:rsid w:val="00CF2B91"/>
    <w:rsid w:val="00CF484C"/>
    <w:rsid w:val="00CF750C"/>
    <w:rsid w:val="00D01999"/>
    <w:rsid w:val="00D05B2E"/>
    <w:rsid w:val="00D05EEE"/>
    <w:rsid w:val="00D063D1"/>
    <w:rsid w:val="00D10452"/>
    <w:rsid w:val="00D11259"/>
    <w:rsid w:val="00D12AA2"/>
    <w:rsid w:val="00D173A5"/>
    <w:rsid w:val="00D22314"/>
    <w:rsid w:val="00D2541D"/>
    <w:rsid w:val="00D2663B"/>
    <w:rsid w:val="00D30221"/>
    <w:rsid w:val="00D305FE"/>
    <w:rsid w:val="00D3250B"/>
    <w:rsid w:val="00D33156"/>
    <w:rsid w:val="00D368E3"/>
    <w:rsid w:val="00D370B9"/>
    <w:rsid w:val="00D42AFB"/>
    <w:rsid w:val="00D440FB"/>
    <w:rsid w:val="00D47CAC"/>
    <w:rsid w:val="00D57CE2"/>
    <w:rsid w:val="00D61AE1"/>
    <w:rsid w:val="00D61E85"/>
    <w:rsid w:val="00D66018"/>
    <w:rsid w:val="00D70D39"/>
    <w:rsid w:val="00D73A41"/>
    <w:rsid w:val="00D75073"/>
    <w:rsid w:val="00D75260"/>
    <w:rsid w:val="00D8041B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2ECB"/>
    <w:rsid w:val="00DA41B6"/>
    <w:rsid w:val="00DA6DF6"/>
    <w:rsid w:val="00DA700E"/>
    <w:rsid w:val="00DB1850"/>
    <w:rsid w:val="00DB20A7"/>
    <w:rsid w:val="00DB2B4F"/>
    <w:rsid w:val="00DB4C26"/>
    <w:rsid w:val="00DB7E90"/>
    <w:rsid w:val="00DC2094"/>
    <w:rsid w:val="00DC51A8"/>
    <w:rsid w:val="00DD0DAE"/>
    <w:rsid w:val="00DD28DA"/>
    <w:rsid w:val="00DD393F"/>
    <w:rsid w:val="00DE1306"/>
    <w:rsid w:val="00DE40CE"/>
    <w:rsid w:val="00DE4FB8"/>
    <w:rsid w:val="00DE791B"/>
    <w:rsid w:val="00DF134C"/>
    <w:rsid w:val="00DF1988"/>
    <w:rsid w:val="00DF3B91"/>
    <w:rsid w:val="00E05B2A"/>
    <w:rsid w:val="00E11782"/>
    <w:rsid w:val="00E151DA"/>
    <w:rsid w:val="00E17316"/>
    <w:rsid w:val="00E17DE7"/>
    <w:rsid w:val="00E20F47"/>
    <w:rsid w:val="00E21014"/>
    <w:rsid w:val="00E302EC"/>
    <w:rsid w:val="00E3341F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6D04"/>
    <w:rsid w:val="00E74C2B"/>
    <w:rsid w:val="00E81A8F"/>
    <w:rsid w:val="00E85AF8"/>
    <w:rsid w:val="00E90C20"/>
    <w:rsid w:val="00E95FB5"/>
    <w:rsid w:val="00EA220B"/>
    <w:rsid w:val="00EA298D"/>
    <w:rsid w:val="00EA3A6C"/>
    <w:rsid w:val="00EA62A4"/>
    <w:rsid w:val="00EB00B2"/>
    <w:rsid w:val="00EB3007"/>
    <w:rsid w:val="00EB47C4"/>
    <w:rsid w:val="00EC66B6"/>
    <w:rsid w:val="00ED197A"/>
    <w:rsid w:val="00ED4228"/>
    <w:rsid w:val="00ED4957"/>
    <w:rsid w:val="00ED6195"/>
    <w:rsid w:val="00ED694F"/>
    <w:rsid w:val="00ED6DCA"/>
    <w:rsid w:val="00EE1DE4"/>
    <w:rsid w:val="00EE30C3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6EFF"/>
    <w:rsid w:val="00F171AB"/>
    <w:rsid w:val="00F2181B"/>
    <w:rsid w:val="00F22725"/>
    <w:rsid w:val="00F24B3E"/>
    <w:rsid w:val="00F25E95"/>
    <w:rsid w:val="00F27B44"/>
    <w:rsid w:val="00F30AD4"/>
    <w:rsid w:val="00F30D8D"/>
    <w:rsid w:val="00F34C4B"/>
    <w:rsid w:val="00F35823"/>
    <w:rsid w:val="00F4045B"/>
    <w:rsid w:val="00F40948"/>
    <w:rsid w:val="00F40D82"/>
    <w:rsid w:val="00F43D47"/>
    <w:rsid w:val="00F443C2"/>
    <w:rsid w:val="00F46A99"/>
    <w:rsid w:val="00F51175"/>
    <w:rsid w:val="00F5395D"/>
    <w:rsid w:val="00F54046"/>
    <w:rsid w:val="00F62082"/>
    <w:rsid w:val="00F6384A"/>
    <w:rsid w:val="00F658A7"/>
    <w:rsid w:val="00F6643B"/>
    <w:rsid w:val="00F74395"/>
    <w:rsid w:val="00F749AB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6568"/>
    <w:rsid w:val="00F9726F"/>
    <w:rsid w:val="00F97A59"/>
    <w:rsid w:val="00FA0C83"/>
    <w:rsid w:val="00FA4762"/>
    <w:rsid w:val="00FA58A0"/>
    <w:rsid w:val="00FA7A99"/>
    <w:rsid w:val="00FB6E8D"/>
    <w:rsid w:val="00FB735F"/>
    <w:rsid w:val="00FC16C4"/>
    <w:rsid w:val="00FC3C62"/>
    <w:rsid w:val="00FC4F8E"/>
    <w:rsid w:val="00FD0139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semiHidden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2384</Words>
  <Characters>13594</Characters>
  <Application>Microsoft Office Word</Application>
  <DocSecurity>0</DocSecurity>
  <Lines>113</Lines>
  <Paragraphs>31</Paragraphs>
  <ScaleCrop>false</ScaleCrop>
  <Company/>
  <LinksUpToDate>false</LinksUpToDate>
  <CharactersWithSpaces>15947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896</cp:revision>
  <dcterms:created xsi:type="dcterms:W3CDTF">2016-05-05T08:54:00Z</dcterms:created>
  <dcterms:modified xsi:type="dcterms:W3CDTF">2016-05-11T14:34:00Z</dcterms:modified>
</cp:coreProperties>
</file>