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ind w:firstLine="2132" w:end="0"/>
        <w:rPr>
          <w:b/>
          <w:bCs/>
          <w:szCs w:val="21"/>
        </w:rPr>
      </w:pPr>
      <w:r>
        <w:rPr>
          <w:b/>
          <w:bCs/>
          <w:sz w:val="72"/>
          <w:szCs w:val="72"/>
        </w:rPr>
        <w:t>重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庆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大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学</w:t>
      </w:r>
    </w:p>
    <w:p>
      <w:pPr>
        <w:pStyle w:val="Normal"/>
        <w:spacing w:lineRule="auto" w:line="480"/>
        <w:ind w:firstLine="1063" w:end="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spacing w:lineRule="auto" w:line="480"/>
        <w:ind w:firstLine="1063" w:end="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学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生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实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验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报</w:t>
      </w:r>
      <w:r>
        <w:rPr>
          <w:rFonts w:eastAsia="Times New Roman"/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告</w:t>
      </w:r>
    </w:p>
    <w:p>
      <w:pPr>
        <w:pStyle w:val="Normal"/>
        <w:rPr>
          <w:b/>
          <w:bCs/>
          <w:sz w:val="28"/>
          <w:szCs w:val="72"/>
        </w:rPr>
      </w:pPr>
      <w:r>
        <w:rPr>
          <w:b/>
          <w:bCs/>
          <w:sz w:val="28"/>
          <w:szCs w:val="72"/>
        </w:rPr>
      </w:r>
    </w:p>
    <w:p>
      <w:pPr>
        <w:pStyle w:val="Normal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实验课程名称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</w:t>
      </w:r>
      <w:r>
        <w:rPr>
          <w:b/>
          <w:bCs/>
          <w:sz w:val="32"/>
          <w:szCs w:val="32"/>
          <w:u w:val="single"/>
        </w:rPr>
        <w:t>数据挖掘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              </w:t>
      </w:r>
    </w:p>
    <w:p>
      <w:pPr>
        <w:pStyle w:val="Normal"/>
        <w:rPr>
          <w:b/>
          <w:bCs/>
          <w:sz w:val="32"/>
          <w:szCs w:val="21"/>
          <w:u w:val="single"/>
        </w:rPr>
      </w:pPr>
      <w:r>
        <w:rPr>
          <w:b/>
          <w:bCs/>
          <w:sz w:val="32"/>
          <w:szCs w:val="21"/>
          <w:u w:val="single"/>
        </w:rPr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开课实验室</w:t>
      </w:r>
      <w:r>
        <w:rPr>
          <w:rFonts w:eastAsia="Times New Roman"/>
          <w:b/>
          <w:bCs/>
          <w:sz w:val="32"/>
          <w:szCs w:val="32"/>
        </w:rPr>
        <w:t xml:space="preserve">  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</w:t>
      </w:r>
      <w:r>
        <w:rPr>
          <w:b/>
          <w:bCs/>
          <w:sz w:val="32"/>
          <w:szCs w:val="32"/>
          <w:u w:val="single"/>
        </w:rPr>
        <w:t>DS</w:t>
      </w:r>
      <w:r>
        <w:rPr>
          <w:b/>
          <w:bCs/>
          <w:sz w:val="32"/>
          <w:szCs w:val="32"/>
          <w:u w:val="single"/>
        </w:rPr>
        <w:t>1501</w:t>
      </w:r>
      <w:r>
        <w:rPr>
          <w:b/>
          <w:bCs/>
          <w:sz w:val="32"/>
          <w:szCs w:val="32"/>
          <w:u w:val="single"/>
        </w:rPr>
        <w:t xml:space="preserve">                      </w:t>
      </w:r>
    </w:p>
    <w:p>
      <w:pPr>
        <w:pStyle w:val="Normal"/>
        <w:rPr>
          <w:b/>
          <w:bCs/>
          <w:sz w:val="32"/>
          <w:szCs w:val="21"/>
          <w:u w:val="single"/>
        </w:rPr>
      </w:pPr>
      <w:r>
        <w:rPr>
          <w:b/>
          <w:bCs/>
          <w:sz w:val="32"/>
          <w:szCs w:val="21"/>
          <w:u w:val="single"/>
        </w:rPr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学</w:t>
      </w:r>
      <w:r>
        <w:rPr>
          <w:rFonts w:eastAsia="Times New Roman"/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>院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大数据与软件学院</w:t>
      </w:r>
      <w:r>
        <w:rPr>
          <w:b/>
          <w:bCs/>
          <w:sz w:val="32"/>
          <w:szCs w:val="32"/>
        </w:rPr>
        <w:t>年级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</w:t>
      </w:r>
      <w:r>
        <w:rPr>
          <w:b/>
          <w:bCs/>
          <w:sz w:val="32"/>
          <w:szCs w:val="32"/>
        </w:rPr>
        <w:t>专业班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  </w:t>
      </w:r>
    </w:p>
    <w:p>
      <w:pPr>
        <w:pStyle w:val="Normal"/>
        <w:rPr>
          <w:b/>
          <w:bCs/>
          <w:sz w:val="32"/>
          <w:szCs w:val="21"/>
          <w:u w:val="single"/>
        </w:rPr>
      </w:pPr>
      <w:r>
        <w:rPr>
          <w:b/>
          <w:bCs/>
          <w:sz w:val="32"/>
          <w:szCs w:val="21"/>
          <w:u w:val="single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学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生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姓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名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        </w:t>
      </w:r>
      <w:r>
        <w:rPr>
          <w:b/>
          <w:bCs/>
          <w:sz w:val="32"/>
          <w:szCs w:val="32"/>
        </w:rPr>
        <w:t>学</w:t>
      </w:r>
      <w:r>
        <w:rPr>
          <w:rFonts w:eastAsia="Times New Roman"/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号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        </w:t>
      </w:r>
      <w:r>
        <w:rPr>
          <w:rFonts w:eastAsia="Times New Roman"/>
          <w:b/>
          <w:bCs/>
          <w:sz w:val="32"/>
          <w:szCs w:val="32"/>
        </w:rPr>
        <w:t xml:space="preserve"> </w:t>
      </w:r>
    </w:p>
    <w:p>
      <w:pPr>
        <w:pStyle w:val="Normal"/>
        <w:rPr>
          <w:b/>
          <w:bCs/>
          <w:sz w:val="32"/>
          <w:szCs w:val="21"/>
        </w:rPr>
      </w:pPr>
      <w:r>
        <w:rPr>
          <w:b/>
          <w:bCs/>
          <w:sz w:val="32"/>
          <w:szCs w:val="21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开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课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时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间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  </w:t>
      </w:r>
      <w:r>
        <w:rPr>
          <w:b/>
          <w:bCs/>
          <w:sz w:val="32"/>
          <w:szCs w:val="32"/>
        </w:rPr>
        <w:t>至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  </w:t>
      </w:r>
      <w:r>
        <w:rPr>
          <w:b/>
          <w:bCs/>
          <w:sz w:val="32"/>
          <w:szCs w:val="32"/>
        </w:rPr>
        <w:t>学年第</w:t>
      </w:r>
      <w:r>
        <w:rPr>
          <w:rFonts w:eastAsia="Times New Roman"/>
          <w:b/>
          <w:bCs/>
          <w:sz w:val="32"/>
          <w:szCs w:val="32"/>
          <w:u w:val="single"/>
        </w:rPr>
        <w:t xml:space="preserve">      </w:t>
      </w:r>
      <w:r>
        <w:rPr>
          <w:b/>
          <w:bCs/>
          <w:sz w:val="32"/>
          <w:szCs w:val="32"/>
        </w:rPr>
        <w:t>学期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36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1980"/>
      </w:tblGrid>
      <w:tr>
        <w:trPr>
          <w:trHeight w:val="750" w:hRule="atLeast"/>
          <w:cantSplit w:val="true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总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成</w:t>
            </w:r>
            <w:r>
              <w:rPr>
                <w:rFonts w:eastAsia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</w:r>
          </w:p>
        </w:tc>
      </w:tr>
      <w:tr>
        <w:trPr>
          <w:trHeight w:val="761" w:hRule="atLeast"/>
          <w:cantSplit w:val="true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周魏</w:t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ind w:firstLine="2891" w:end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ind w:firstLine="2891" w:end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软件学院</w:t>
      </w:r>
      <w:r>
        <w:rPr>
          <w:rFonts w:eastAsia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制</w:t>
      </w:r>
    </w:p>
    <w:p>
      <w:pPr>
        <w:pStyle w:val="Normal"/>
        <w:spacing w:lineRule="exact" w:line="480"/>
        <w:rPr>
          <w:rFonts w:ascii="黑体;SimHei" w:hAnsi="黑体;SimHei" w:eastAsia="黑体;SimHei"/>
          <w:b/>
          <w:bCs/>
          <w:sz w:val="32"/>
          <w:szCs w:val="20"/>
        </w:rPr>
      </w:pPr>
      <w:r>
        <w:rPr>
          <w:rFonts w:eastAsia="黑体;SimHei" w:ascii="黑体;SimHei" w:hAnsi="黑体;SimHei"/>
          <w:b/>
          <w:bCs/>
          <w:sz w:val="32"/>
          <w:szCs w:val="20"/>
        </w:rPr>
      </w:r>
    </w:p>
    <w:p>
      <w:pPr>
        <w:pStyle w:val="Normal"/>
        <w:spacing w:lineRule="exact" w:line="480"/>
        <w:jc w:val="center"/>
        <w:rPr>
          <w:rFonts w:ascii="黑体;SimHei" w:hAnsi="黑体;SimHei" w:eastAsia="黑体;SimHei"/>
          <w:b/>
          <w:sz w:val="32"/>
        </w:rPr>
      </w:pPr>
      <w:r>
        <w:rPr>
          <w:rFonts w:ascii="黑体;SimHei" w:hAnsi="黑体;SimHei" w:eastAsia="黑体;SimHei"/>
          <w:b/>
          <w:sz w:val="32"/>
        </w:rPr>
        <w:t>《数据挖掘》实验报告</w:t>
      </w:r>
    </w:p>
    <w:p>
      <w:pPr>
        <w:pStyle w:val="Normal"/>
        <w:rPr>
          <w:rFonts w:ascii="黑体;SimHei" w:hAnsi="黑体;SimHei" w:eastAsia="黑体;SimHei"/>
          <w:b/>
          <w:sz w:val="32"/>
        </w:rPr>
      </w:pPr>
      <w:r>
        <w:rPr>
          <w:rFonts w:eastAsia="黑体;SimHei" w:ascii="黑体;SimHei" w:hAnsi="黑体;SimHei"/>
          <w:b/>
          <w:sz w:val="32"/>
        </w:rPr>
      </w:r>
    </w:p>
    <w:p>
      <w:pPr>
        <w:pStyle w:val="Normal"/>
        <w:rPr>
          <w:rFonts w:eastAsia="黑体;SimHei"/>
          <w:b/>
        </w:rPr>
      </w:pPr>
      <w:r>
        <w:rPr>
          <w:rFonts w:eastAsia="黑体;SimHei"/>
          <w:b/>
        </w:rPr>
        <w:t xml:space="preserve"> </w:t>
      </w:r>
      <w:r>
        <w:rPr>
          <w:rFonts w:eastAsia="黑体;SimHei"/>
          <w:b/>
        </w:rPr>
        <w:t xml:space="preserve">开课实验室                                                      </w:t>
      </w:r>
      <w:r>
        <w:rPr>
          <w:rFonts w:eastAsia="黑体;SimHei"/>
          <w:b/>
        </w:rPr>
        <w:t>2023</w:t>
      </w:r>
      <w:r>
        <w:rPr>
          <w:rFonts w:eastAsia="黑体;SimHei"/>
          <w:b/>
        </w:rPr>
        <w:t>年</w:t>
      </w:r>
      <w:r>
        <w:rPr>
          <w:rFonts w:eastAsia="黑体;SimHei"/>
          <w:b/>
        </w:rPr>
        <w:t>10</w:t>
      </w:r>
      <w:r>
        <w:rPr>
          <w:rFonts w:eastAsia="黑体;SimHei"/>
          <w:b/>
        </w:rPr>
        <w:t>月</w:t>
      </w:r>
      <w:r>
        <w:rPr>
          <w:rFonts w:eastAsia="黑体;SimHei"/>
          <w:b/>
        </w:rPr>
        <w:t>30</w:t>
      </w:r>
      <w:r>
        <w:rPr>
          <w:rFonts w:eastAsia="黑体;SimHei"/>
          <w:b/>
        </w:rPr>
        <w:t>日</w:t>
      </w:r>
    </w:p>
    <w:tbl>
      <w:tblPr>
        <w:tblW w:w="90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3"/>
        <w:gridCol w:w="161"/>
        <w:gridCol w:w="1864"/>
        <w:gridCol w:w="474"/>
        <w:gridCol w:w="1384"/>
        <w:gridCol w:w="1164"/>
        <w:gridCol w:w="559"/>
        <w:gridCol w:w="322"/>
        <w:gridCol w:w="672"/>
        <w:gridCol w:w="294"/>
        <w:gridCol w:w="280"/>
        <w:gridCol w:w="1442"/>
      </w:tblGrid>
      <w:tr>
        <w:trPr/>
        <w:tc>
          <w:tcPr>
            <w:tcW w:w="5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80"/>
              <w:ind w:start="-42" w:end="-51"/>
              <w:rPr/>
            </w:pPr>
            <w:r>
              <w:rPr/>
              <w:t>学院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80"/>
              <w:ind w:start="-42" w:end="-51"/>
              <w:rPr/>
            </w:pPr>
            <w:r>
              <w:rPr/>
              <w:t>大数据与软件学院</w:t>
            </w:r>
          </w:p>
        </w:tc>
        <w:tc>
          <w:tcPr>
            <w:tcW w:w="18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80"/>
              <w:ind w:start="-42" w:end="-51"/>
              <w:rPr/>
            </w:pPr>
            <w:r>
              <w:rPr/>
              <w:t>年级、专业、班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80"/>
              <w:ind w:start="-42" w:end="-51"/>
              <w:rPr/>
            </w:pPr>
            <w:r>
              <w:rPr/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80"/>
              <w:ind w:start="-42" w:end="-51"/>
              <w:rPr/>
            </w:pPr>
            <w:r>
              <w:rPr/>
              <w:t>姓名</w:t>
            </w:r>
          </w:p>
        </w:tc>
        <w:tc>
          <w:tcPr>
            <w:tcW w:w="9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80"/>
              <w:ind w:start="-42" w:end="-51"/>
              <w:rPr/>
            </w:pPr>
            <w:r>
              <w:rPr/>
            </w:r>
          </w:p>
        </w:tc>
        <w:tc>
          <w:tcPr>
            <w:tcW w:w="5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80"/>
              <w:ind w:start="-42" w:end="-51"/>
              <w:rPr/>
            </w:pPr>
            <w:r>
              <w:rPr/>
              <w:t>成绩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80"/>
              <w:ind w:start="-42" w:end="-51"/>
              <w:rPr/>
            </w:pPr>
            <w:r>
              <w:rPr/>
            </w:r>
          </w:p>
        </w:tc>
      </w:tr>
      <w:tr>
        <w:trPr/>
        <w:tc>
          <w:tcPr>
            <w:tcW w:w="5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课程</w:t>
            </w:r>
          </w:p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名称</w:t>
            </w:r>
          </w:p>
        </w:tc>
        <w:tc>
          <w:tcPr>
            <w:tcW w:w="23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start="-42" w:end="-51"/>
              <w:jc w:val="start"/>
              <w:rPr/>
            </w:pPr>
            <w:r>
              <w:rPr/>
              <w:t>数据挖掘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实验项目</w:t>
            </w:r>
          </w:p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名</w:t>
            </w:r>
            <w:r>
              <w:rPr>
                <w:rFonts w:eastAsia="Times New Roman"/>
              </w:rPr>
              <w:t xml:space="preserve">    </w:t>
            </w:r>
            <w:r>
              <w:rPr/>
              <w:t>称</w:t>
            </w:r>
          </w:p>
        </w:tc>
        <w:tc>
          <w:tcPr>
            <w:tcW w:w="20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ind w:start="-40" w:end="-51"/>
              <w:jc w:val="center"/>
              <w:rPr/>
            </w:pPr>
            <w:r>
              <w:rPr/>
            </w:r>
          </w:p>
        </w:tc>
        <w:tc>
          <w:tcPr>
            <w:tcW w:w="9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指导教师</w:t>
            </w:r>
          </w:p>
        </w:tc>
        <w:tc>
          <w:tcPr>
            <w:tcW w:w="17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周魏</w:t>
            </w:r>
          </w:p>
        </w:tc>
      </w:tr>
      <w:tr>
        <w:trPr/>
        <w:tc>
          <w:tcPr>
            <w:tcW w:w="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start="-40" w:end="-51"/>
              <w:jc w:val="center"/>
              <w:rPr/>
            </w:pPr>
            <w:r>
              <w:rPr/>
              <w:t>教师评语</w:t>
            </w:r>
          </w:p>
        </w:tc>
        <w:tc>
          <w:tcPr>
            <w:tcW w:w="861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start="-40" w:end="-51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start="-40" w:end="-51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start="-40" w:end="-51"/>
              <w:rPr/>
            </w:pPr>
            <w:r>
              <w:rPr/>
            </w:r>
          </w:p>
          <w:p>
            <w:pPr>
              <w:pStyle w:val="Normal"/>
              <w:spacing w:lineRule="exact" w:line="480"/>
              <w:ind w:start="-42" w:end="997"/>
              <w:jc w:val="end"/>
              <w:rPr/>
            </w:pPr>
            <w:r>
              <w:rPr/>
              <w:t>教师签名：</w:t>
            </w:r>
          </w:p>
          <w:p>
            <w:pPr>
              <w:pStyle w:val="Normal"/>
              <w:spacing w:lineRule="exact" w:line="480"/>
              <w:ind w:start="-42" w:end="171"/>
              <w:jc w:val="end"/>
              <w:rPr/>
            </w:pPr>
            <w:r>
              <w:rPr/>
              <w:t>年</w:t>
            </w:r>
            <w:r>
              <w:rPr>
                <w:rFonts w:eastAsia="Times New Roman"/>
              </w:rPr>
              <w:t xml:space="preserve">  </w:t>
            </w:r>
            <w:r>
              <w:rPr/>
              <w:t>月</w:t>
            </w:r>
            <w:r>
              <w:rPr>
                <w:rFonts w:eastAsia="Times New Roman"/>
              </w:rPr>
              <w:t xml:space="preserve">  </w:t>
            </w:r>
            <w:r>
              <w:rPr/>
              <w:t>日</w:t>
            </w:r>
          </w:p>
        </w:tc>
      </w:tr>
      <w:tr>
        <w:trPr>
          <w:trHeight w:val="9264" w:hRule="atLeast"/>
        </w:trPr>
        <w:tc>
          <w:tcPr>
            <w:tcW w:w="9039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Rule="exact" w:line="440" w:before="120" w:after="40"/>
              <w:ind w:firstLine="0"/>
            </w:pPr>
            <w:r>
              <w:rPr>
                <w:rFonts w:eastAsia="黑体" w:ascii="黑体" w:hAnsi="黑体"/>
                <w:b/>
                <w:sz w:val="24"/>
                <w:szCs w:val="24"/>
              </w:rPr>
              <w:t>一、实验目的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1. 掌握基于深度学习的手写数字识别方法，理解卷积神经网络（CNN）在图像分类任务中的应用原理。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2. 熟悉 PyTorch 深度学习框架的使用，包括数据加载、模型构建、训练与评估的完整流程，并能够独立完成模型训练与调优。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3. 学习使用 Docker 容器技术构建可复现的实验环境，保证实验条件的一致性和可移植性。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4. 掌握分类模型的常用评价指标（准确率、精确率、召回率、F1-Score、混淆矩阵），并能够对实验结果进行系统分析。</w:t>
            </w:r>
          </w:p>
          <w:p>
            <w:pPr>
              <w:spacing w:lineRule="exact" w:line="440" w:before="120" w:after="40"/>
              <w:ind w:firstLine="0"/>
            </w:pPr>
            <w:r>
              <w:rPr>
                <w:rFonts w:eastAsia="黑体" w:ascii="黑体" w:hAnsi="黑体"/>
                <w:b/>
                <w:sz w:val="24"/>
                <w:szCs w:val="24"/>
              </w:rPr>
              <w:t>二、实验环境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硬件环境：WSL2 虚拟化环境，Intel/AMD x86-64 CPU（无 GPU 加速）。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操作系统：Ubuntu 24.04 LTS（运行于 Windows 11 WSL2）。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软件环境：Docker 29.3.1 作为容器运行时，Python 3.12，PyTorch 2.x（CPU 版本）。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主要依赖库：torchvision（图像变换）、OpenCV（图像读取与预处理）、scikit-learn（数据划分与评估指标）、Matplotlib（结果可视化）、NumPy（数值计算）。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开发与版本控制：Visual Studio Code、Git、GitHub。</w:t>
            </w:r>
          </w:p>
          <w:p>
            <w:pPr>
              <w:spacing w:lineRule="exact" w:line="440" w:before="120" w:after="40"/>
              <w:ind w:firstLine="0"/>
            </w:pPr>
            <w:r>
              <w:rPr>
                <w:rFonts w:eastAsia="黑体" w:ascii="黑体" w:hAnsi="黑体"/>
                <w:b/>
                <w:sz w:val="24"/>
                <w:szCs w:val="24"/>
              </w:rPr>
              <w:t>三、实验内容</w:t>
            </w:r>
          </w:p>
          <w:p>
            <w:pPr>
              <w:spacing w:lineRule="exact" w:line="400" w:before="80"/>
              <w:ind w:firstLine="0"/>
            </w:pPr>
            <w:r>
              <w:rPr>
                <w:rFonts w:eastAsia="宋体" w:ascii="Times New Roman" w:hAnsi="Times New Roman"/>
                <w:b/>
                <w:sz w:val="21"/>
                <w:szCs w:val="21"/>
              </w:rPr>
              <w:t>3.1 数据集描述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本实验使用的数据集为班级同学手写数字图像，共包含两个来源。第一个来源为 dataset(1) 目录，共计 15,586 张图像，包含 PNG 和 JPG 两种格式，按数字 0–9 分文件夹存放，每个文件夹对应一个数字类别，各类别样本数量较为均衡（1,484–1,611 张）。第二个来源为 sample_data 目录，共计 4,975 张图像，按实验小组分组（group01–group18）后再按数字类别分文件夹存放，均为 PNG 格式。两个数据集合计 20,561 张手写数字图像，每张图像以灰度模式读取并统一缩放至 28×28 像素。</w:t>
            </w:r>
          </w:p>
          <w:p>
            <w:pPr>
              <w:spacing w:lineRule="exact" w:line="400" w:before="80"/>
              <w:ind w:firstLine="0"/>
            </w:pPr>
            <w:r>
              <w:rPr>
                <w:rFonts w:eastAsia="宋体" w:ascii="Times New Roman" w:hAnsi="Times New Roman"/>
                <w:b/>
                <w:sz w:val="21"/>
                <w:szCs w:val="21"/>
              </w:rPr>
              <w:t>3.2 数据预处理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（1）灰度读取：使用 OpenCV 的 cv2.imread(path, cv2.IMREAD_GRAYSCALE) 以灰度模式读取图像，兼容 PNG（含 Alpha 通道）和 JPG 格式，对于读取失败的图像自动跳过。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（2）尺寸统一：使用 cv2.resize(img, (28, 28)) 将所有图像缩放至 28×28 像素，与经典 MNIST 数据集格式保持一致，便于后续网络处理。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（3）像素归一化：将像素值从原始范围 [0, 255] 线性映射至 [0, 1] 区间，通过除以 255.0 实现，有助于加速梯度下降的收敛速度。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（4）标签提取：根据图像文件所在文件夹的名称确定对应的数字标签（0–9），直接利用文件系统组织结构完成标注，无需手动标注。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（5）数据集划分：按 70% 训练集、20% 验证集、10% 测试集的比例进行分层随机划分，设置随机种子（seed=42）保证划分结果可复现。最终得到训练集 14,393 张、验证集 4,112 张、测试集 2,056 张。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数据加载与预处理的核心代码如下所示。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import cv2, glob, os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def load_images_from_dir(base_dir):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images, labels = [], []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for digit in range(10):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folder = os.path.join(base_dir, str(digit))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for ext in ['*.png', '*.jpg', '*.jpeg']: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for path in glob.glob(os.path.join(folder, ext)):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    img = cv2.imread(path, cv2.IMREAD_GRAYSCALE)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    if img is None: continue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    img = cv2.resize(img, (28, 28))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    images.append(img)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    labels.append(digit)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return images, labels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加载完成后，将图像数据和标签封装为 PyTorch 的 Dataset 类。在 __init__ 方法中将 NumPy 数组转换为 PyTorch Tensor，使用 unsqueeze(1) 增加通道维度（灰度图从 (N, 28, 28) 变为 (N, 1, 28, 28)），并将像素值除以 255.0 完成归一化。</w:t>
            </w:r>
          </w:p>
          <w:p>
            <w:pPr>
              <w:spacing w:lineRule="exact" w:line="400" w:before="80"/>
              <w:ind w:firstLine="0"/>
            </w:pPr>
            <w:r>
              <w:rPr>
                <w:rFonts w:eastAsia="宋体" w:ascii="Times New Roman" w:hAnsi="Times New Roman"/>
                <w:b/>
                <w:sz w:val="21"/>
                <w:szCs w:val="21"/>
              </w:rPr>
              <w:t>3.3 模型设计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本实验采用卷积神经网络（CNN）进行手写数字识别。CNN 能够通过卷积核自动提取图像的局部特征（如边缘、纹理等），相比传统全连接网络，具有参数共享和局部感受野的优势，特别适合图像分类任务。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模型网络结构的定义代码如下所示。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class CNN(nn.Module):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def __init__(self, num_classes=10):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super().__init__()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self.features = nn.Sequential(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nn.Conv2d(1, 32, 3, padding=1), nn.BatchNorm2d(32), nn.ReLU(),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nn.Conv2d(32, 32, 3, padding=1), nn.BatchNorm2d(32), nn.ReLU(),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nn.MaxPool2d(2),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nn.Conv2d(32, 64, 3, padding=1), nn.BatchNorm2d(64), nn.ReLU(),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nn.Conv2d(64, 64, 3, padding=1), nn.BatchNorm2d(64), nn.ReLU(),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nn.MaxPool2d(2),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nn.Conv2d(64, 128, 3, padding=1), nn.BatchNorm2d(128), nn.ReLU(),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nn.MaxPool2d(2),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self.classifier = nn.Sequential(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nn.Flatten(),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nn.Linear(128 * 3 * 3, 256), nn.ReLU(), nn.Dropout(0.5),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nn.Linear(256, 128), nn.ReLU(), nn.Dropout(0.5),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    nn.Linear(128, num_classes),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)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网络结构详细说明如下。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（1）特征提取部分（features）：包含 5 个卷积层，均采用 3×3 卷积核、same padding（padding=1），保持特征图尺寸在卷积前后不变；每个卷积层后接批量归一化（BatchNorm2d）和 ReLU 激活函数；共设置 3 个最大池化层（MaxPool2d, kernel_size=2），逐步将特征图尺寸从 28×28 缩减至 3×3。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（2）分类器部分（classifier）：首先将特征图展平为 1152 维向量（128×3×3），然后经过两个全连接层（256 维和 128 维），每层后接 ReLU 激活和 Dropout（p=0.5）正则化，最后输出 10 维 logits 对应 0–9 共 10 个类别。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（3）关键设计选择：批归一化（BN）能够加速收敛并缓解内部协变量偏移问题；Dropout 在训练时以 50% 概率随机丢弃神经元，有效防止过拟合；ReLU 激活函数计算简单且能缓解梯度消失。模型总参数量为 468,842 个。</w:t>
            </w:r>
          </w:p>
          <w:p>
            <w:pPr>
              <w:spacing w:lineRule="exact" w:line="400" w:before="80"/>
              <w:ind w:firstLine="0"/>
            </w:pPr>
            <w:r>
              <w:rPr>
                <w:rFonts w:eastAsia="宋体" w:ascii="Times New Roman" w:hAnsi="Times New Roman"/>
                <w:b/>
                <w:sz w:val="21"/>
                <w:szCs w:val="21"/>
              </w:rPr>
              <w:t>3.4 训练配置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损失函数采用交叉熵损失（CrossEntropyLoss），该损失函数内部集成了 Softmax 激活，因此模型输出层无需额外添加 Softmax。优化器选用 Adam，初始学习率设置为 0.001。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学习率调度策略采用 ReduceLROnPlateau，监控验证集损失值，当连续 3 个 Epoch 未下降时，学习率衰减为原来的一半（factor=0.5），最小学习率不低于 1×10⁻⁶。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早停（Early Stopping）策略：当验证集损失连续 8 个 Epoch 未创新低时，提前终止训练，并自动恢复到验证损失最低的模型权重。这一策略既能防止过拟合，又能节约训练时间。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Batch Size 设置为 128，最大训练轮数设为 50 Epochs。训练配置的核心代码如下所示。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criterion = nn.CrossEntropyLoss()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optimizer = optim.Adam(model.parameters(), lr=0.001)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scheduler = optim.lr_scheduler.ReduceLROnPlateau(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optimizer, mode='min', factor=0.5, patience=3)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>for epoch in range(epochs):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train_loss, train_acc = train_epoch(model, train_loader, ...)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val_loss, val_acc, _, _ = evaluate(model, val_loader, ...)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scheduler.step(val_loss)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if val_loss &lt; best_val_loss: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best_val_loss = val_loss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torch.save(model.state_dict(), 'best_model.pth')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else: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patience_counter += 1</w:t>
            </w:r>
          </w:p>
          <w:p>
            <w:pPr>
              <w:spacing w:lineRule="exact" w:line="320" w:before="20" w:after="20"/>
              <w:ind w:firstLine="0"/>
            </w:pPr>
            <w:r>
              <w:rPr>
                <w:rFonts w:eastAsia="Consolas" w:ascii="Consolas" w:hAnsi="Consolas"/>
                <w:b w:val="0"/>
                <w:sz w:val="18"/>
                <w:szCs w:val="18"/>
              </w:rPr>
              <w:t xml:space="preserve">        if patience_counter &gt;= 8: break</w:t>
            </w:r>
          </w:p>
          <w:p>
            <w:pPr>
              <w:spacing w:lineRule="exact" w:line="400" w:before="80"/>
              <w:ind w:firstLine="0"/>
            </w:pPr>
            <w:r>
              <w:rPr>
                <w:rFonts w:eastAsia="宋体" w:ascii="Times New Roman" w:hAnsi="Times New Roman"/>
                <w:b/>
                <w:sz w:val="21"/>
                <w:szCs w:val="21"/>
              </w:rPr>
              <w:t>3.5 实验结果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模型共训练 27 个 Epoch 后触发早停机制终止训练。在训练过程中，损失函数持续下降，验证准确率稳步提升。学习率从初始值 0.001 经过 3 次衰减（Epoch 17、23、27），最终降至 0.000125。最佳模型出现在第 19 个 Epoch，此时验证损失为 0.0439，验证准确率为 99.17%。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训练过程中的损失与准确率变化曲线如图 1 所示。</w:t>
            </w:r>
          </w:p>
          <w:p>
            <w:pPr>
              <w:spacing w:lineRule="exact" w:line="400"/>
              <w:ind w:firstLine="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  <w:szCs w:val="18"/>
              </w:rPr>
              <w:t>图1 训练过程损失与准确率曲线</w:t>
            </w:r>
          </w:p>
          <w:p>
            <w:pPr>
              <w:spacing w:lineRule="exact" w:line="40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exact" w:line="400"/>
              <w:ind w:firstLine="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  <w:szCs w:val="18"/>
              </w:rPr>
              <w:t>图2 测试集混淆矩阵</w:t>
            </w:r>
          </w:p>
          <w:p>
            <w:pPr>
              <w:spacing w:lineRule="exact" w:line="40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3291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exact" w:line="400"/>
              <w:ind w:firstLine="0"/>
              <w:jc w:val="center"/>
            </w:pPr>
            <w:r>
              <w:rPr>
                <w:rFonts w:eastAsia="宋体" w:ascii="Times New Roman" w:hAnsi="Times New Roman"/>
                <w:b w:val="0"/>
                <w:sz w:val="18"/>
                <w:szCs w:val="18"/>
              </w:rPr>
              <w:t>图3 错误分类样本（部分）</w:t>
            </w:r>
          </w:p>
          <w:p>
            <w:pPr>
              <w:spacing w:lineRule="exact" w:line="40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4114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在测试集的 2,056 张图像上对最优模型进行最终评估。测试损失值为 0.0445，分类准确率为 99.22%，宏平均精确率为 99.24%，宏平均召回率 99.23%，宏平均 F1-Score 为 99.23%。各类别的精确率、召回率和 F1-Score 如表 1 所示。所有类别的 F1-Score 均在 0.9847 以上，其中类别 1 表现最佳（F1=0.9976），类别 7 相对最低（F1=0.9847）。</w:t>
            </w:r>
          </w:p>
          <w:p>
            <w:pPr>
              <w:spacing w:lineRule="exact" w:line="400" w:before="80"/>
              <w:ind w:firstLine="0"/>
            </w:pPr>
            <w:r>
              <w:rPr>
                <w:rFonts w:eastAsia="宋体" w:ascii="Times New Roman" w:hAnsi="Times New Roman"/>
                <w:b/>
                <w:sz w:val="21"/>
                <w:szCs w:val="21"/>
              </w:rPr>
              <w:t>3.6 结果分析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从训练曲线（图 1）可以看出，模型在训练初期（前 3 个 Epoch）快速收敛，训练准确率从 62.49% 迅速提升至 96.62%，验证准确率也从 94.46% 提升至 97.64%。此后训练损失与验证损失均稳步下降，两条曲线整体趋势一致，未出现验证损失明显上升的现象，表明模型未发生过拟合。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从混淆矩阵（图 2）可以看出，模型在各个类别上的分类表现较为均衡，对角线区域集中了绝大部分样本。错误分类主要集中在以下情况：类别 7 有 4 张被误分为 3、类别 3 有 3 张被误分为 7，这是由于手写数字中 7 与 3 在手写形态上（尤其是连笔书写时）较为相似导致的。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从错误分类样本（图 3）中可以观察到，模型出错的样本普遍具有以下特征：部分手写数字书写不规范（如数字倾斜度过大、笔画断续）；个别图像笔画过粗或过细导致字形模糊；极少数字符在不同类别之间确实存在较高的形态相似性（如 4 与 9、3 与 7）。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总体而言，模型在 2,056 张测试样本中仅错误分类 16 张，错误率为 0.78%，模型性能良好，达到了实际应用的要求。若需进一步提升性能，可考虑引入数据增强策略（随机旋转、平移、缩放等）或采用更深层的网络架构（如 ResNet-18）。</w:t>
            </w:r>
          </w:p>
          <w:p>
            <w:pPr>
              <w:spacing w:lineRule="exact" w:line="440" w:before="120" w:after="40"/>
              <w:ind w:firstLine="0"/>
            </w:pPr>
            <w:r>
              <w:rPr>
                <w:rFonts w:eastAsia="黑体" w:ascii="黑体" w:hAnsi="黑体"/>
                <w:b/>
                <w:sz w:val="24"/>
                <w:szCs w:val="24"/>
              </w:rPr>
              <w:t>四、实验总结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本实验基于卷积神经网络（CNN），使用 PyTorch 深度学习框架搭建了一个手写数字识别模型。实验使用了两组共 20,561 张手写数字图像作为训练数据，通过 27 轮迭代训练，模型在测试集上取得了 99.22% 的分类准确率，验证了 CNN 在手写数字识别任务中的优异性能。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通过本次实验，主要收获了以下知识与技能：（1）掌握了使用 OpenCV 进行图像数据的批量加载与预处理的基本方法；（2）理解了卷积神经网络的基本原理，掌握了使用 PyTorch 搭建 CNN 模型的方法，包括卷积层、批归一化层、Dropout 层及全连接层的组合使用；（3）学会了训练过程中的超参数设置、学习率调度（ReduceLROnPlateau）与早停策略（Early Stopping）等优化技巧；（4）掌握了使用混淆矩阵、分类报告（精确率、召回率、F1-Score）等指标对分类模型进行系统评估与分析方法；（5）学会了使用 Docker 容器技术完成项目环境的搭建与部署，提高了实验的可复现性与可移植性。</w:t>
            </w:r>
          </w:p>
          <w:p>
            <w:pPr>
              <w:spacing w:lineRule="exact" w:line="400"/>
              <w:ind w:firstLine="420"/>
            </w:pPr>
            <w:r>
              <w:rPr>
                <w:rFonts w:eastAsia="宋体" w:ascii="Times New Roman" w:hAnsi="Times New Roman"/>
                <w:b w:val="0"/>
                <w:sz w:val="21"/>
                <w:szCs w:val="21"/>
              </w:rPr>
              <w:t>同时，实验过程中也认识到了一些可以改进的地方：（1）可使用数据增强技术（如随机旋转、平移、缩放、弹性形变等）进一步增加训练数据的多样性，提升模型泛化能力；（2）可尝试更深层的网络架构（如 ResNet-18 或 MobileNet）并利用 GPU 加速训练，提升模型性能与训练效率；（3）可采用 k 折交叉验证进行更可靠的性能评估；（4）可尝试集成学习策略（如模型投票或模型平均）进一步提升分类准确率。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480"/>
        <w:rPr>
          <w:szCs w:val="28"/>
        </w:rPr>
      </w:pPr>
      <w:r>
        <w:rPr>
          <w:szCs w:val="28"/>
        </w:rPr>
      </w:r>
    </w:p>
    <w:sectPr>
      <w:headerReference w:type="default" r:id="rId2"/>
      <w:type w:val="nextPage"/>
      <w:pgSz w:w="11906" w:h="16838"/>
      <w:pgMar w:left="1588" w:right="1588" w:gutter="0" w:header="851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TimesNewRomanPSMT">
    <w:altName w:val="Times New Roman"/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chineseCountingThousand"/>
      <w:lvlText w:val="%1、"/>
      <w:lvlJc w:val="start"/>
      <w:pPr>
        <w:tabs>
          <w:tab w:val="num" w:pos="0"/>
        </w:tabs>
        <w:ind w:start="456" w:hanging="456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OTE1ODY2ZmQ4YjBmMjk2OTQwYjZjYzUxMDE4ZWVkMD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本块"/>
    <w:basedOn w:val="Normal"/>
    <w:qFormat/>
    <w:pPr>
      <w:ind w:firstLine="560" w:start="-359" w:end="-334"/>
    </w:pPr>
    <w:rPr>
      <w:sz w:val="28"/>
      <w:szCs w:val="28"/>
    </w:rPr>
  </w:style>
  <w:style w:type="paragraph" w:styleId="2">
    <w:name w:val="正文文本缩进 2"/>
    <w:basedOn w:val="Normal"/>
    <w:qFormat/>
    <w:pPr>
      <w:ind w:hanging="840" w:start="840" w:end="0"/>
    </w:pPr>
    <w:rPr>
      <w:rFonts w:ascii="宋体;SimSun" w:hAnsi="宋体;SimSun"/>
      <w:bCs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2013-03-17T03:01:00Z</dcterms:created>
  <dc:creator>baba</dc:creator>
  <dc:description/>
  <cp:keywords/>
  <dc:language>en-US</dc:language>
  <cp:lastModifiedBy>魏 周</cp:lastModifiedBy>
  <cp:lastPrinted>2005-01-25T10:11:00Z</cp:lastPrinted>
  <dcterms:modified xsi:type="dcterms:W3CDTF">2023-11-03T05:38:00Z</dcterms:modified>
  <cp:revision>5</cp:revision>
  <dc:subject/>
  <dc:title>重大实设[2005]   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BCF7F3BED5E74A74A775F98D3CC13910</vt:lpwstr>
  </property>
  <property fmtid="{D5CDD505-2E9C-101B-9397-08002B2CF9AE}" pid="3" name="KSOProductBuildVer">
    <vt:lpwstr>2052-11.1.0.12598</vt:lpwstr>
  </property>
</Properties>
</file>