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软件采购合同</w:t>
      </w:r>
    </w:p>
    <w:p>
      <w:r>
        <w:t>甲方（采购方）：启元智能装备制造有限公司</w:t>
        <w:br/>
        <w:t>乙方（供应方）：云枢软件技术（上海）有限公司</w:t>
        <w:br/>
        <w:t>合同编号：CG-2026-0815-0027</w:t>
        <w:br/>
        <w:t>统一社会信用代码：91310115MA1K3Q8X7D</w:t>
        <w:br/>
        <w:t>履行期限：自 2026 年 9 月 1 日至 2027 年 8 月 31 日</w:t>
      </w:r>
    </w:p>
    <w:p/>
    <w:p>
      <w:r>
        <w:rPr>
          <w:b/>
          <w:sz w:val="24"/>
        </w:rPr>
        <w:t>第一条 合同标的</w:t>
      </w:r>
    </w:p>
    <w:p>
      <w:r>
        <w:t>1.1 甲方向乙方采购「智维企业设备管理平台 V3.0」软件一套及其部署实施服务。</w:t>
      </w:r>
    </w:p>
    <w:p>
      <w:r>
        <w:t>1.2 交付内容包括安装介质、部署文档、管理员操作手册及源代码托管凭证各一份。</w:t>
      </w:r>
    </w:p>
    <w:p>
      <w:r>
        <w:rPr>
          <w:b/>
          <w:sz w:val="24"/>
        </w:rPr>
        <w:t>第二条 合同金额与付款方式</w:t>
      </w:r>
    </w:p>
    <w:p>
      <w:r>
        <w:t>2.1 本合同总金额为人民币肆拾捌万元整（￥480,000.00），含增值税专用发票。</w:t>
      </w:r>
    </w:p>
    <w:p>
      <w:r>
        <w:t>2.2 付款按里程碑分三期支付：合同生效后十个工作日内支付 30% 预付款；系统部署完成并通过初步验收后支付 40%；终验合格且质保期届满后十个工作日内支付剩余 30%。</w:t>
      </w:r>
    </w:p>
    <w:p>
      <w:r>
        <w:t>2.3 乙方应在每期收款前向甲方开具等额增值税专用发票，未开票的甲方有权暂缓支付。</w:t>
      </w:r>
    </w:p>
    <w:p>
      <w:r>
        <w:rPr>
          <w:b/>
          <w:sz w:val="24"/>
        </w:rPr>
        <w:t>第三条 知识产权</w:t>
      </w:r>
    </w:p>
    <w:p>
      <w:r>
        <w:t>3.1 乙方软件产品原有的知识产权归乙方所有；甲方基于本合同需求定制的功能模块、以及实施过程中形成的衍生开发成果，其知识产权归甲方所有。</w:t>
      </w:r>
    </w:p>
    <w:p>
      <w:r>
        <w:t>3.2 乙方应在交付时向甲方交付完整的源代码及编译说明，并授予甲方在本项目范围内永久、不可撤销的使用与二次开发权利。</w:t>
      </w:r>
    </w:p>
    <w:p>
      <w:r>
        <w:t>3.3 甲方业务数据的全部权利归甲方所有，乙方不得留存、转让或用于本合同之外的用途。</w:t>
      </w:r>
    </w:p>
    <w:p>
      <w:r>
        <w:rPr>
          <w:b/>
          <w:sz w:val="24"/>
        </w:rPr>
        <w:t>第四条 交付与验收</w:t>
      </w:r>
    </w:p>
    <w:p>
      <w:r>
        <w:t>4.1 乙方应于本合同生效之日起三十日内完成软件交付与本地部署。</w:t>
      </w:r>
    </w:p>
    <w:p>
      <w:r>
        <w:t>4.2 系统部署完成后，双方应在五个工作日内组织初步验收；初验合格后进入三十日试运行期，试运行期间系统可用率不低于 99.5% 的，由甲方出具终验合格确认书。</w:t>
      </w:r>
    </w:p>
    <w:p>
      <w:r>
        <w:t>4.3 未通过验收的，乙方应在十个工作日内完成整改并重新提交验收；经两次整改仍未通过的，甲方有权解除合同并要求乙方全额退款。</w:t>
      </w:r>
    </w:p>
    <w:p>
      <w:r>
        <w:rPr>
          <w:b/>
          <w:sz w:val="24"/>
        </w:rPr>
        <w:t>第五条 保密义务</w:t>
      </w:r>
    </w:p>
    <w:p>
      <w:r>
        <w:t>5.1 双方应对因履行本合同而知悉的对方商业秘密承担保密义务，保密期限为本合同终止后五年。</w:t>
      </w:r>
    </w:p>
    <w:p>
      <w:r>
        <w:t>5.2 接收方应在披露方提出要求后十个工作日内返还或销毁全部保密资料。</w:t>
      </w:r>
    </w:p>
    <w:p>
      <w:r>
        <w:rPr>
          <w:b/>
          <w:sz w:val="24"/>
        </w:rPr>
        <w:t>第六条 数据安全与个人信息保护</w:t>
      </w:r>
    </w:p>
    <w:p>
      <w:r>
        <w:t>6.1 乙方处理甲方数据应遵守《网络安全法》《数据安全法》《个人信息保护法》的相关规定，不得将数据出境。</w:t>
      </w:r>
    </w:p>
    <w:p>
      <w:r>
        <w:t>6.2 发生数据泄露事件的，乙方应在 24 小时内书面通知甲方，并承担由此产生的全部损失。</w:t>
      </w:r>
    </w:p>
    <w:p>
      <w:r>
        <w:rPr>
          <w:b/>
          <w:sz w:val="24"/>
        </w:rPr>
        <w:t>第七条 违约责任</w:t>
      </w:r>
    </w:p>
    <w:p>
      <w:r>
        <w:t>7.1 任一方违约的，应向守约方支付违约金，违约金按未履行部分金额每日万分之一计算，累计不超过合同总金额的 20%，双方对等适用。</w:t>
      </w:r>
    </w:p>
    <w:p>
      <w:r>
        <w:t>7.2 给对方造成损失超过违约金的，超出部分的赔偿责任以合同总金额的 30% 为上限，双方对等适用。</w:t>
      </w:r>
    </w:p>
    <w:p>
      <w:r>
        <w:rPr>
          <w:b/>
          <w:sz w:val="24"/>
        </w:rPr>
        <w:t>第八条 不可抗力</w:t>
      </w:r>
    </w:p>
    <w:p>
      <w:r>
        <w:t>8.1 因不可抗力不能履行合同的，遭受方应在事件发生后五日内书面通知对方，并在十五日内提供有效证明，否则不得主张免责。</w:t>
      </w:r>
    </w:p>
    <w:p>
      <w:r>
        <w:rPr>
          <w:b/>
          <w:sz w:val="24"/>
        </w:rPr>
        <w:t>第九条 争议解决</w:t>
      </w:r>
    </w:p>
    <w:p>
      <w:r>
        <w:t>9.1 因本合同产生的争议，双方应友好协商解决；协商不成的，提交甲方所在地有管辖权的人民法院诉讼解决。</w:t>
      </w:r>
    </w:p>
    <w:p>
      <w:r>
        <w:t>9.2 本合同适用中华人民共和国法律。</w:t>
      </w:r>
    </w:p>
    <w:p>
      <w:r>
        <w:rPr>
          <w:b/>
          <w:sz w:val="24"/>
        </w:rPr>
        <w:t>第十条 其他</w:t>
      </w:r>
    </w:p>
    <w:p>
      <w:r>
        <w:t>10.1 本合同自双方法定代表人或授权代表签字并加盖公章之日起生效。</w:t>
      </w:r>
    </w:p>
    <w:p>
      <w:r>
        <w:t>10.2 本合同一式肆份，甲乙双方各执贰份，具有同等法律效力。</w:t>
      </w:r>
    </w:p>
    <w:p/>
    <w:p>
      <w:r>
        <w:rPr>
          <w:b/>
        </w:rPr>
        <w:t>附件一 功能清单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功能模块</w:t>
            </w:r>
          </w:p>
        </w:tc>
        <w:tc>
          <w:tcPr>
            <w:tcW w:type="dxa" w:w="2160"/>
          </w:tcPr>
          <w:p>
            <w:r>
              <w:t>功能说明</w:t>
            </w:r>
          </w:p>
        </w:tc>
        <w:tc>
          <w:tcPr>
            <w:tcW w:type="dxa" w:w="2160"/>
          </w:tcPr>
          <w:p>
            <w:r>
              <w:t>是否必选</w:t>
            </w:r>
          </w:p>
        </w:tc>
      </w:tr>
      <w:tr>
        <w:tc>
          <w:tcPr>
            <w:tcW w:type="dxa" w:w="2160"/>
          </w:tcPr>
          <w:p>
            <w:r>
              <w:t>1</w:t>
            </w:r>
          </w:p>
        </w:tc>
        <w:tc>
          <w:tcPr>
            <w:tcW w:type="dxa" w:w="2160"/>
          </w:tcPr>
          <w:p>
            <w:r>
              <w:t>设备台账管理</w:t>
            </w:r>
          </w:p>
        </w:tc>
        <w:tc>
          <w:tcPr>
            <w:tcW w:type="dxa" w:w="2160"/>
          </w:tcPr>
          <w:p>
            <w:r>
              <w:t>设备全生命周期档案维护</w:t>
            </w:r>
          </w:p>
        </w:tc>
        <w:tc>
          <w:tcPr>
            <w:tcW w:type="dxa" w:w="2160"/>
          </w:tcPr>
          <w:p>
            <w:r>
              <w:t>是</w:t>
            </w:r>
          </w:p>
        </w:tc>
      </w:tr>
      <w:tr>
        <w:tc>
          <w:tcPr>
            <w:tcW w:type="dxa" w:w="2160"/>
          </w:tcPr>
          <w:p>
            <w:r>
              <w:t>2</w:t>
            </w:r>
          </w:p>
        </w:tc>
        <w:tc>
          <w:tcPr>
            <w:tcW w:type="dxa" w:w="2160"/>
          </w:tcPr>
          <w:p>
            <w:r>
              <w:t>点检与保养</w:t>
            </w:r>
          </w:p>
        </w:tc>
        <w:tc>
          <w:tcPr>
            <w:tcW w:type="dxa" w:w="2160"/>
          </w:tcPr>
          <w:p>
            <w:r>
              <w:t>计划制定、任务派发、记录归档</w:t>
            </w:r>
          </w:p>
        </w:tc>
        <w:tc>
          <w:tcPr>
            <w:tcW w:type="dxa" w:w="2160"/>
          </w:tcPr>
          <w:p>
            <w:r>
              <w:t>是</w:t>
            </w:r>
          </w:p>
        </w:tc>
      </w:tr>
      <w:tr>
        <w:tc>
          <w:tcPr>
            <w:tcW w:type="dxa" w:w="2160"/>
          </w:tcPr>
          <w:p>
            <w:r>
              <w:t>3</w:t>
            </w:r>
          </w:p>
        </w:tc>
        <w:tc>
          <w:tcPr>
            <w:tcW w:type="dxa" w:w="2160"/>
          </w:tcPr>
          <w:p>
            <w:r>
              <w:t>故障工单</w:t>
            </w:r>
          </w:p>
        </w:tc>
        <w:tc>
          <w:tcPr>
            <w:tcW w:type="dxa" w:w="2160"/>
          </w:tcPr>
          <w:p>
            <w:r>
              <w:t>报修、派工、验收闭环</w:t>
            </w:r>
          </w:p>
        </w:tc>
        <w:tc>
          <w:tcPr>
            <w:tcW w:type="dxa" w:w="2160"/>
          </w:tcPr>
          <w:p>
            <w:r>
              <w:t>是</w:t>
            </w:r>
          </w:p>
        </w:tc>
      </w:tr>
      <w:tr>
        <w:tc>
          <w:tcPr>
            <w:tcW w:type="dxa" w:w="2160"/>
          </w:tcPr>
          <w:p>
            <w:r>
              <w:t>4</w:t>
            </w:r>
          </w:p>
        </w:tc>
        <w:tc>
          <w:tcPr>
            <w:tcW w:type="dxa" w:w="2160"/>
          </w:tcPr>
          <w:p>
            <w:r>
              <w:t>数据看板</w:t>
            </w:r>
          </w:p>
        </w:tc>
        <w:tc>
          <w:tcPr>
            <w:tcW w:type="dxa" w:w="2160"/>
          </w:tcPr>
          <w:p>
            <w:r>
              <w:t>设备稼动率与维修成本分析</w:t>
            </w:r>
          </w:p>
        </w:tc>
        <w:tc>
          <w:tcPr>
            <w:tcW w:type="dxa" w:w="2160"/>
          </w:tcPr>
          <w:p>
            <w:r>
              <w:t>否</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