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软件采购合同</w:t>
      </w:r>
    </w:p>
    <w:p>
      <w:r>
        <w:t>甲方（采购方）：启元智能装备制造有限公司</w:t>
        <w:br/>
        <w:t>乙方（供应方）：云枢软件技术（上海）有限公司</w:t>
        <w:br/>
        <w:t>合同编号：CG-2026-0815-0027</w:t>
        <w:br/>
        <w:t>统一社会信用代码：91310115MA1K3Q8X7D</w:t>
        <w:br/>
        <w:t>履行期限：自 2026 年 9 月 1 日至 2027 年 8 月 31 日</w:t>
      </w:r>
    </w:p>
    <w:p/>
    <w:p>
      <w:r>
        <w:rPr>
          <w:b/>
          <w:sz w:val="24"/>
        </w:rPr>
        <w:t>第一条 合同标的</w:t>
      </w:r>
    </w:p>
    <w:p>
      <w:r>
        <w:t>1.1 甲方向乙方采购「智维企业设备管理平台 V3.0」软件一套，包含平台基础模块、移动端应用及配套部署服务。</w:t>
      </w:r>
    </w:p>
    <w:p>
      <w:r>
        <w:t>1.2 交付内容包括：安装介质、部署文档、管理员操作手册各一份。</w:t>
      </w:r>
    </w:p>
    <w:p>
      <w:r>
        <w:t>1.3 本合同项下软件的具体功能清单以附件一《功能需求确认书》为准。</w:t>
      </w:r>
    </w:p>
    <w:p>
      <w:r>
        <w:rPr>
          <w:b/>
          <w:sz w:val="24"/>
        </w:rPr>
        <w:t>第二条 合同金额与付款方式</w:t>
      </w:r>
    </w:p>
    <w:p>
      <w:r>
        <w:t>2.1 本合同总金额为人民币肆拾捌万元整（￥480,000.00），含增值税专用发票。</w:t>
      </w:r>
    </w:p>
    <w:p>
      <w:r>
        <w:t>2.2 付款方式：甲方应于软件到货之日起十个工作日内，向乙方支付合同总金额的 100%，即人民币肆拾捌万元整。</w:t>
      </w:r>
    </w:p>
    <w:p>
      <w:r>
        <w:t>2.3 甲方逾期付款的，每逾期一日按未付款项的万分之五向乙方支付违约金。</w:t>
      </w:r>
    </w:p>
    <w:p>
      <w:r>
        <w:rPr>
          <w:b/>
          <w:sz w:val="24"/>
        </w:rPr>
        <w:t>第三条 知识产权</w:t>
      </w:r>
    </w:p>
    <w:p>
      <w:r>
        <w:t>3.1 本合同项下软件产品及其全部技术资料、源代码、算法模型、衍生开发成果的知识产权，均归乙方所有。</w:t>
      </w:r>
    </w:p>
    <w:p>
      <w:r>
        <w:t>3.2 甲方仅在本合同约定的使用范围内享有非独占的、不可转让的使用权。</w:t>
      </w:r>
    </w:p>
    <w:p>
      <w:r>
        <w:t>3.3 甲方基于使用软件所产生的业务数据，乙方有权在脱敏后用于产品优化与商业分析。</w:t>
      </w:r>
    </w:p>
    <w:p>
      <w:r>
        <w:rPr>
          <w:b/>
          <w:sz w:val="24"/>
        </w:rPr>
        <w:t>第四条 交付与安装</w:t>
      </w:r>
    </w:p>
    <w:p>
      <w:r>
        <w:t>4.1 乙方应于本合同生效之日起三十日内完成软件交付与本地部署。</w:t>
      </w:r>
    </w:p>
    <w:p>
      <w:r>
        <w:t>4.2 甲方应提供符合软件运行要求的服务器环境与网络条件。</w:t>
      </w:r>
    </w:p>
    <w:p>
      <w:r>
        <w:rPr>
          <w:b/>
          <w:sz w:val="24"/>
        </w:rPr>
        <w:t>第五条 保密义务</w:t>
      </w:r>
    </w:p>
    <w:p>
      <w:r>
        <w:t>5.1 双方应对因履行本合同而知悉的对方商业秘密承担保密义务。</w:t>
      </w:r>
    </w:p>
    <w:p>
      <w:r>
        <w:t>5.2 未经对方书面同意，任何一方不得向第三方披露前述保密信息。</w:t>
      </w:r>
    </w:p>
    <w:p>
      <w:r>
        <w:rPr>
          <w:b/>
          <w:sz w:val="24"/>
        </w:rPr>
        <w:t>第六条 违约责任</w:t>
      </w:r>
    </w:p>
    <w:p>
      <w:r>
        <w:t>6.1 乙方未按期交付的，每逾期一日按合同总金额的万分之一向甲方支付违约金。</w:t>
      </w:r>
    </w:p>
    <w:p>
      <w:r>
        <w:t>6.2 甲方违反本合同约定的，应赔偿乙方由此遭受的全部损失，包括但不限于直接损失、可得利益损失及乙方为实现债权支出的律师费、诉讼费。</w:t>
      </w:r>
    </w:p>
    <w:p>
      <w:r>
        <w:rPr>
          <w:b/>
          <w:sz w:val="24"/>
        </w:rPr>
        <w:t>第七条 争议解决</w:t>
      </w:r>
    </w:p>
    <w:p>
      <w:r>
        <w:t>7.1 因本合同产生的争议，双方应友好协商解决；协商不成的，提交乙方所在地人民法院诉讼解决。</w:t>
      </w:r>
    </w:p>
    <w:p>
      <w:r>
        <w:t>7.2 本合同适用中华人民共和国法律。</w:t>
      </w:r>
    </w:p>
    <w:p>
      <w:r>
        <w:rPr>
          <w:b/>
          <w:sz w:val="24"/>
        </w:rPr>
        <w:t>第八条 其他</w:t>
      </w:r>
    </w:p>
    <w:p>
      <w:r>
        <w:t>8.1 本合同自双方法定代表人或授权代表签字并加盖公章之日起生效。</w:t>
      </w:r>
    </w:p>
    <w:p>
      <w:r>
        <w:t>8.2 本合同一式肆份，甲乙双方各执贰份，具有同等法律效力。</w:t>
      </w:r>
    </w:p>
    <w:p/>
    <w:p>
      <w:r>
        <w:rPr>
          <w:b/>
        </w:rPr>
        <w:t>附件一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功能说明</w:t>
            </w:r>
          </w:p>
        </w:tc>
        <w:tc>
          <w:tcPr>
            <w:tcW w:type="dxa" w:w="2160"/>
          </w:tcPr>
          <w:p>
            <w:r>
              <w:t>是否必选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设备台账管理</w:t>
            </w:r>
          </w:p>
        </w:tc>
        <w:tc>
          <w:tcPr>
            <w:tcW w:type="dxa" w:w="2160"/>
          </w:tcPr>
          <w:p>
            <w:r>
              <w:t>设备全生命周期档案维护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点检与保养</w:t>
            </w:r>
          </w:p>
        </w:tc>
        <w:tc>
          <w:tcPr>
            <w:tcW w:type="dxa" w:w="2160"/>
          </w:tcPr>
          <w:p>
            <w:r>
              <w:t>计划制定、任务派发、记录归档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故障工单</w:t>
            </w:r>
          </w:p>
        </w:tc>
        <w:tc>
          <w:tcPr>
            <w:tcW w:type="dxa" w:w="2160"/>
          </w:tcPr>
          <w:p>
            <w:r>
              <w:t>报修、派工、验收闭环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数据看板</w:t>
            </w:r>
          </w:p>
        </w:tc>
        <w:tc>
          <w:tcPr>
            <w:tcW w:type="dxa" w:w="2160"/>
          </w:tcPr>
          <w:p>
            <w:r>
              <w:t>设备稼动率与维修成本分析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