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080"/>
      </w:tblGrid>
      <w:tr>
        <w:tc>
          <w:tcPr>
            <w:tcW w:type="dxa" w:w="10166"/>
            <w:shd w:fill="102A43"/>
            <w:tcMar>
              <w:top w:w="170" w:type="dxa"/>
              <w:start w:w="220" w:type="dxa"/>
              <w:bottom w:w="170" w:type="dxa"/>
              <w:end w:w="220" w:type="dxa"/>
            </w:tcMar>
          </w:tcPr>
          <w:p>
            <w:pPr>
              <w:keepLines w:val="0"/>
              <w:widowControl/>
              <w:spacing w:before="0" w:after="100" w:line="259" w:lineRule="auto"/>
            </w:pPr>
            <w:r>
              <w:rPr>
                <w:rFonts w:ascii="Aptos" w:hAnsi="Aptos" w:eastAsia="Aptos"/>
                <w:b/>
                <w:color w:val="6EE7D2"/>
                <w:sz w:val="16"/>
              </w:rPr>
              <w:t>PUBLIC BEFORE / AFTER DEMONSTRATION</w:t>
            </w:r>
          </w:p>
          <w:p>
            <w:pPr>
              <w:keepLines w:val="0"/>
              <w:widowControl/>
              <w:spacing w:before="0" w:after="100" w:line="240" w:lineRule="auto"/>
            </w:pPr>
            <w:r>
              <w:rPr>
                <w:rFonts w:ascii="Aptos Display" w:hAnsi="Aptos Display" w:eastAsia="Aptos Display"/>
                <w:b/>
                <w:color w:val="FFFFFF"/>
                <w:sz w:val="46"/>
              </w:rPr>
              <w:t>Same synthetic numbers.</w:t>
              <w:br/>
              <w:t>Defensible scientific claims.</w:t>
            </w:r>
          </w:p>
          <w:p>
            <w:pPr>
              <w:keepLines w:val="0"/>
              <w:widowControl/>
              <w:spacing w:before="0" w:after="0" w:line="259" w:lineRule="auto"/>
            </w:pPr>
            <w:r>
              <w:rPr>
                <w:rFonts w:ascii="Aptos" w:hAnsi="Aptos" w:eastAsia="Aptos"/>
                <w:color w:val="D9E2EC"/>
                <w:sz w:val="20"/>
              </w:rPr>
              <w:t>How CNS Skills turns fluent overclaiming into an evidence-bounded manuscript without inventing data.</w:t>
            </w:r>
          </w:p>
        </w:tc>
      </w:tr>
    </w:tbl>
    <w:p>
      <w:pPr>
        <w:pStyle w:val="DemoLabel"/>
        <w:keepLines w:val="0"/>
        <w:widowControl/>
        <w:spacing w:before="0" w:after="180" w:line="259" w:lineRule="auto"/>
      </w:pPr>
      <w:r>
        <w:rPr>
          <w:rFonts w:ascii="Aptos" w:hAnsi="Aptos" w:eastAsia="Aptos"/>
          <w:b/>
          <w:i w:val="0"/>
          <w:color w:val="B42318"/>
          <w:sz w:val="16"/>
        </w:rPr>
        <w:t>FULLY SYNTHETIC · NO REAL RESEARCH · NO REAL CITATIONS · ALL 10.0000/cns.synthetic IDENTIFIERS ARE DELIBERATELY NON-RESOLVING</w:t>
      </w:r>
    </w:p>
    <w:tbl>
      <w:tblPr>
        <w:tblW w:type="auto" w:w="0"/>
        <w:jc w:val="center"/>
        <w:tblLayout w:type="fixed"/>
        <w:tblLook w:firstColumn="1" w:firstRow="1" w:lastColumn="0" w:lastRow="0" w:noHBand="0" w:noVBand="1" w:val="04A0"/>
      </w:tblPr>
      <w:tblGrid>
        <w:gridCol w:w="2541"/>
        <w:gridCol w:w="2541"/>
        <w:gridCol w:w="2541"/>
        <w:gridCol w:w="2541"/>
      </w:tblGrid>
      <w:tr>
        <w:tc>
          <w:tcPr>
            <w:tcW w:type="dxa" w:w="2491"/>
            <w:shd w:fill="F4F7FA"/>
            <w:tcMar>
              <w:top w:w="100" w:type="dxa"/>
              <w:start w:w="70" w:type="dxa"/>
              <w:bottom w:w="95" w:type="dxa"/>
              <w:end w:w="70" w:type="dxa"/>
            </w:tcMar>
            <w:tcBorders>
              <w:top w:val="single" w:sz="12" w:color="FFFFFF"/>
              <w:left w:val="single" w:sz="12" w:color="FFFFFF"/>
              <w:bottom w:val="single" w:sz="12" w:color="FFFFFF"/>
              <w:right w:val="single" w:sz="12" w:color="FFFFFF"/>
            </w:tcBorders>
          </w:tcPr>
          <w:p>
            <w:pPr>
              <w:keepLines w:val="0"/>
              <w:widowControl/>
              <w:spacing w:before="0" w:after="0" w:line="259" w:lineRule="auto"/>
              <w:jc w:val="center"/>
            </w:pPr>
            <w:r>
              <w:rPr>
                <w:rFonts w:ascii="Aptos" w:hAnsi="Aptos" w:eastAsia="Aptos"/>
                <w:b/>
                <w:color w:val="102A43"/>
                <w:sz w:val="36"/>
              </w:rPr>
              <w:t>18</w:t>
              <w:br/>
            </w:r>
            <w:r>
              <w:rPr>
                <w:rFonts w:ascii="Aptos" w:hAnsi="Aptos" w:eastAsia="Aptos"/>
                <w:b/>
                <w:color w:val="627D98"/>
                <w:sz w:val="14"/>
              </w:rPr>
              <w:t>TOY ROWS</w:t>
            </w:r>
          </w:p>
        </w:tc>
        <w:tc>
          <w:tcPr>
            <w:tcW w:type="dxa" w:w="2491"/>
            <w:shd w:fill="EAF2F8"/>
            <w:tcMar>
              <w:top w:w="100" w:type="dxa"/>
              <w:start w:w="70" w:type="dxa"/>
              <w:bottom w:w="95" w:type="dxa"/>
              <w:end w:w="70" w:type="dxa"/>
            </w:tcMar>
            <w:tcBorders>
              <w:top w:val="single" w:sz="12" w:color="FFFFFF"/>
              <w:left w:val="single" w:sz="12" w:color="FFFFFF"/>
              <w:bottom w:val="single" w:sz="12" w:color="FFFFFF"/>
              <w:right w:val="single" w:sz="12" w:color="FFFFFF"/>
            </w:tcBorders>
          </w:tcPr>
          <w:p>
            <w:pPr>
              <w:keepLines w:val="0"/>
              <w:widowControl/>
              <w:spacing w:before="0" w:after="0" w:line="259" w:lineRule="auto"/>
              <w:jc w:val="center"/>
            </w:pPr>
            <w:r>
              <w:rPr>
                <w:rFonts w:ascii="Aptos" w:hAnsi="Aptos" w:eastAsia="Aptos"/>
                <w:b/>
                <w:color w:val="102A43"/>
                <w:sz w:val="36"/>
              </w:rPr>
              <w:t>12 / 6</w:t>
              <w:br/>
            </w:r>
            <w:r>
              <w:rPr>
                <w:rFonts w:ascii="Aptos" w:hAnsi="Aptos" w:eastAsia="Aptos"/>
                <w:b/>
                <w:color w:val="627D98"/>
                <w:sz w:val="14"/>
              </w:rPr>
              <w:t>TRAIN / HOLDOUT</w:t>
            </w:r>
          </w:p>
        </w:tc>
        <w:tc>
          <w:tcPr>
            <w:tcW w:type="dxa" w:w="2491"/>
            <w:shd w:fill="F4F7FA"/>
            <w:tcMar>
              <w:top w:w="100" w:type="dxa"/>
              <w:start w:w="70" w:type="dxa"/>
              <w:bottom w:w="95" w:type="dxa"/>
              <w:end w:w="70" w:type="dxa"/>
            </w:tcMar>
            <w:tcBorders>
              <w:top w:val="single" w:sz="12" w:color="FFFFFF"/>
              <w:left w:val="single" w:sz="12" w:color="FFFFFF"/>
              <w:bottom w:val="single" w:sz="12" w:color="FFFFFF"/>
              <w:right w:val="single" w:sz="12" w:color="FFFFFF"/>
            </w:tcBorders>
          </w:tcPr>
          <w:p>
            <w:pPr>
              <w:keepLines w:val="0"/>
              <w:widowControl/>
              <w:spacing w:before="0" w:after="0" w:line="259" w:lineRule="auto"/>
              <w:jc w:val="center"/>
            </w:pPr>
            <w:r>
              <w:rPr>
                <w:rFonts w:ascii="Aptos" w:hAnsi="Aptos" w:eastAsia="Aptos"/>
                <w:b/>
                <w:color w:val="102A43"/>
                <w:sz w:val="36"/>
              </w:rPr>
              <w:t>1</w:t>
              <w:br/>
            </w:r>
            <w:r>
              <w:rPr>
                <w:rFonts w:ascii="Aptos" w:hAnsi="Aptos" w:eastAsia="Aptos"/>
                <w:b/>
                <w:color w:val="627D98"/>
                <w:sz w:val="14"/>
              </w:rPr>
              <w:t>FICTIONAL BATCH</w:t>
            </w:r>
          </w:p>
        </w:tc>
        <w:tc>
          <w:tcPr>
            <w:tcW w:type="dxa" w:w="2491"/>
            <w:shd w:fill="EAF2F8"/>
            <w:tcMar>
              <w:top w:w="100" w:type="dxa"/>
              <w:start w:w="70" w:type="dxa"/>
              <w:bottom w:w="95" w:type="dxa"/>
              <w:end w:w="70" w:type="dxa"/>
            </w:tcMar>
            <w:tcBorders>
              <w:top w:val="single" w:sz="12" w:color="FFFFFF"/>
              <w:left w:val="single" w:sz="12" w:color="FFFFFF"/>
              <w:bottom w:val="single" w:sz="12" w:color="FFFFFF"/>
              <w:right w:val="single" w:sz="12" w:color="FFFFFF"/>
            </w:tcBorders>
          </w:tcPr>
          <w:p>
            <w:pPr>
              <w:keepLines w:val="0"/>
              <w:widowControl/>
              <w:spacing w:before="0" w:after="0" w:line="259" w:lineRule="auto"/>
              <w:jc w:val="center"/>
            </w:pPr>
            <w:r>
              <w:rPr>
                <w:rFonts w:ascii="Aptos" w:hAnsi="Aptos" w:eastAsia="Aptos"/>
                <w:b/>
                <w:color w:val="102A43"/>
                <w:sz w:val="36"/>
              </w:rPr>
              <w:t>0</w:t>
              <w:br/>
            </w:r>
            <w:r>
              <w:rPr>
                <w:rFonts w:ascii="Aptos" w:hAnsi="Aptos" w:eastAsia="Aptos"/>
                <w:b/>
                <w:color w:val="627D98"/>
                <w:sz w:val="14"/>
              </w:rPr>
              <w:t>REAL CITATIONS</w:t>
            </w:r>
          </w:p>
        </w:tc>
      </w:tr>
    </w:tbl>
    <w:p>
      <w:pPr>
        <w:pStyle w:val="Heading2"/>
      </w:pPr>
      <w:r>
        <w:rPr>
          <w:rFonts w:ascii="Aptos" w:hAnsi="Aptos" w:eastAsia="Aptos"/>
          <w:color w:val="102A43"/>
        </w:rPr>
        <w:t>What this artifact demonstrates</w:t>
      </w:r>
    </w:p>
    <w:p>
      <w:pPr>
        <w:keepLines w:val="0"/>
        <w:widowControl/>
        <w:spacing w:before="0" w:after="160" w:line="259" w:lineRule="auto"/>
      </w:pPr>
      <w:r>
        <w:rPr>
          <w:rFonts w:ascii="Aptos" w:hAnsi="Aptos" w:eastAsia="Aptos"/>
          <w:b w:val="0"/>
          <w:i w:val="0"/>
          <w:color w:val="243B53"/>
          <w:sz w:val="20"/>
        </w:rPr>
        <w:t>The before manuscript uses polished language to outrun a fixed toy dataset. The after manuscript preserves every reported value while correcting autonomy, replication, safety, efficacy, mechanism, and translation claims. The objective is not cosmetic rewriting; it is visible control of the inference boundary.</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944"/>
            <w:shd w:fill="102A43"/>
            <w:tcMar>
              <w:top w:w="100" w:type="dxa"/>
              <w:start w:w="120" w:type="dxa"/>
              <w:bottom w:w="100" w:type="dxa"/>
              <w:end w:w="120" w:type="dxa"/>
            </w:tcMar>
          </w:tcPr>
          <w:p>
            <w:r>
              <w:rPr>
                <w:rFonts w:ascii="Aptos" w:hAnsi="Aptos" w:eastAsia="Aptos"/>
                <w:b/>
                <w:color w:val="FFFFFF"/>
                <w:sz w:val="16"/>
              </w:rPr>
              <w:t>Decision</w:t>
            </w:r>
          </w:p>
        </w:tc>
        <w:tc>
          <w:tcPr>
            <w:tcW w:type="dxa" w:w="3960"/>
            <w:shd w:fill="B42318"/>
            <w:tcMar>
              <w:top w:w="100" w:type="dxa"/>
              <w:start w:w="120" w:type="dxa"/>
              <w:bottom w:w="100" w:type="dxa"/>
              <w:end w:w="120" w:type="dxa"/>
            </w:tcMar>
          </w:tcPr>
          <w:p>
            <w:r>
              <w:rPr>
                <w:rFonts w:ascii="Aptos" w:hAnsi="Aptos" w:eastAsia="Aptos"/>
                <w:b/>
                <w:color w:val="FFFFFF"/>
                <w:sz w:val="16"/>
              </w:rPr>
              <w:t>Before</w:t>
            </w:r>
          </w:p>
        </w:tc>
        <w:tc>
          <w:tcPr>
            <w:tcW w:type="dxa" w:w="4248"/>
            <w:shd w:fill="0F766E"/>
            <w:tcMar>
              <w:top w:w="100" w:type="dxa"/>
              <w:start w:w="120" w:type="dxa"/>
              <w:bottom w:w="100" w:type="dxa"/>
              <w:end w:w="120" w:type="dxa"/>
            </w:tcMar>
          </w:tcPr>
          <w:p>
            <w:r>
              <w:rPr>
                <w:rFonts w:ascii="Aptos" w:hAnsi="Aptos" w:eastAsia="Aptos"/>
                <w:b/>
                <w:color w:val="FFFFFF"/>
                <w:sz w:val="16"/>
              </w:rPr>
              <w:t>After</w:t>
            </w:r>
          </w:p>
        </w:tc>
      </w:tr>
      <w:tr>
        <w:trPr>
          <w:cantSplit/>
        </w:trPr>
        <w:tc>
          <w:tcPr>
            <w:tcW w:type="dxa" w:w="1944"/>
            <w:tcMar>
              <w:top w:w="90" w:type="dxa"/>
              <w:start w:w="120" w:type="dxa"/>
              <w:bottom w:w="90" w:type="dxa"/>
              <w:end w:w="120" w:type="dxa"/>
            </w:tcMar>
            <w:shd w:fill="FFFFFF"/>
            <w:tcBorders>
              <w:top w:val="single" w:sz="6" w:color="D9E2EC"/>
              <w:left w:val="single" w:sz="6" w:color="D9E2EC"/>
              <w:bottom w:val="single" w:sz="6" w:color="D9E2EC"/>
              <w:right w:val="single" w:sz="6" w:color="D9E2EC"/>
            </w:tcBorders>
          </w:tcPr>
          <w:p>
            <w:r>
              <w:rPr>
                <w:rFonts w:ascii="Aptos" w:hAnsi="Aptos" w:eastAsia="Aptos"/>
                <w:b/>
                <w:color w:val="243B53"/>
                <w:sz w:val="16"/>
              </w:rPr>
              <w:t>Workflow</w:t>
            </w:r>
          </w:p>
        </w:tc>
        <w:tc>
          <w:tcPr>
            <w:tcW w:type="dxa" w:w="3960"/>
            <w:tcMar>
              <w:top w:w="90" w:type="dxa"/>
              <w:start w:w="120" w:type="dxa"/>
              <w:bottom w:w="90" w:type="dxa"/>
              <w:end w:w="120" w:type="dxa"/>
            </w:tcMar>
            <w:shd w:fill="FFFFFF"/>
            <w:tcBorders>
              <w:top w:val="single" w:sz="6" w:color="D9E2EC"/>
              <w:left w:val="single" w:sz="6" w:color="D9E2EC"/>
              <w:bottom w:val="single" w:sz="6" w:color="D9E2EC"/>
              <w:right w:val="single" w:sz="6" w:color="D9E2EC"/>
            </w:tcBorders>
          </w:tcPr>
          <w:p>
            <w:r>
              <w:rPr>
                <w:rFonts w:ascii="Aptos" w:hAnsi="Aptos" w:eastAsia="Aptos"/>
                <w:b w:val="0"/>
                <w:color w:val="243B53"/>
                <w:sz w:val="16"/>
              </w:rPr>
              <w:t>Autonomous closed loop</w:t>
            </w:r>
          </w:p>
        </w:tc>
        <w:tc>
          <w:tcPr>
            <w:tcW w:type="dxa" w:w="4248"/>
            <w:tcMar>
              <w:top w:w="90" w:type="dxa"/>
              <w:start w:w="120" w:type="dxa"/>
              <w:bottom w:w="90" w:type="dxa"/>
              <w:end w:w="120" w:type="dxa"/>
            </w:tcMar>
            <w:shd w:fill="FFFFFF"/>
            <w:tcBorders>
              <w:top w:val="single" w:sz="6" w:color="D9E2EC"/>
              <w:left w:val="single" w:sz="6" w:color="D9E2EC"/>
              <w:bottom w:val="single" w:sz="6" w:color="D9E2EC"/>
              <w:right w:val="single" w:sz="6" w:color="D9E2EC"/>
            </w:tcBorders>
          </w:tcPr>
          <w:p>
            <w:r>
              <w:rPr>
                <w:rFonts w:ascii="Aptos" w:hAnsi="Aptos" w:eastAsia="Aptos"/>
                <w:b w:val="0"/>
                <w:color w:val="243B53"/>
                <w:sz w:val="16"/>
              </w:rPr>
              <w:t>Retrospective ranking only</w:t>
            </w:r>
          </w:p>
        </w:tc>
      </w:tr>
      <w:tr>
        <w:trPr>
          <w:cantSplit/>
        </w:trPr>
        <w:tc>
          <w:tcPr>
            <w:tcW w:type="dxa" w:w="1944"/>
            <w:tcMar>
              <w:top w:w="90" w:type="dxa"/>
              <w:start w:w="120" w:type="dxa"/>
              <w:bottom w:w="90" w:type="dxa"/>
              <w:end w:w="120" w:type="dxa"/>
            </w:tcMar>
            <w:shd w:fill="F4F7FA"/>
            <w:tcBorders>
              <w:top w:val="single" w:sz="6" w:color="D9E2EC"/>
              <w:left w:val="single" w:sz="6" w:color="D9E2EC"/>
              <w:bottom w:val="single" w:sz="6" w:color="D9E2EC"/>
              <w:right w:val="single" w:sz="6" w:color="D9E2EC"/>
            </w:tcBorders>
          </w:tcPr>
          <w:p>
            <w:r>
              <w:rPr>
                <w:rFonts w:ascii="Aptos" w:hAnsi="Aptos" w:eastAsia="Aptos"/>
                <w:b/>
                <w:color w:val="243B53"/>
                <w:sz w:val="16"/>
              </w:rPr>
              <w:t>Evidence unit</w:t>
            </w:r>
          </w:p>
        </w:tc>
        <w:tc>
          <w:tcPr>
            <w:tcW w:type="dxa" w:w="3960"/>
            <w:tcMar>
              <w:top w:w="90" w:type="dxa"/>
              <w:start w:w="120" w:type="dxa"/>
              <w:bottom w:w="90" w:type="dxa"/>
              <w:end w:w="120" w:type="dxa"/>
            </w:tcMar>
            <w:shd w:fill="F4F7FA"/>
            <w:tcBorders>
              <w:top w:val="single" w:sz="6" w:color="D9E2EC"/>
              <w:left w:val="single" w:sz="6" w:color="D9E2EC"/>
              <w:bottom w:val="single" w:sz="6" w:color="D9E2EC"/>
              <w:right w:val="single" w:sz="6" w:color="D9E2EC"/>
            </w:tcBorders>
          </w:tcPr>
          <w:p>
            <w:r>
              <w:rPr>
                <w:rFonts w:ascii="Aptos" w:hAnsi="Aptos" w:eastAsia="Aptos"/>
                <w:b w:val="0"/>
                <w:color w:val="243B53"/>
                <w:sz w:val="16"/>
              </w:rPr>
              <w:t>Three wells prove reproducibility</w:t>
            </w:r>
          </w:p>
        </w:tc>
        <w:tc>
          <w:tcPr>
            <w:tcW w:type="dxa" w:w="4248"/>
            <w:tcMar>
              <w:top w:w="90" w:type="dxa"/>
              <w:start w:w="120" w:type="dxa"/>
              <w:bottom w:w="90" w:type="dxa"/>
              <w:end w:w="120" w:type="dxa"/>
            </w:tcMar>
            <w:shd w:fill="F4F7FA"/>
            <w:tcBorders>
              <w:top w:val="single" w:sz="6" w:color="D9E2EC"/>
              <w:left w:val="single" w:sz="6" w:color="D9E2EC"/>
              <w:bottom w:val="single" w:sz="6" w:color="D9E2EC"/>
              <w:right w:val="single" w:sz="6" w:color="D9E2EC"/>
            </w:tcBorders>
          </w:tcPr>
          <w:p>
            <w:r>
              <w:rPr>
                <w:rFonts w:ascii="Aptos" w:hAnsi="Aptos" w:eastAsia="Aptos"/>
                <w:b w:val="0"/>
                <w:color w:val="243B53"/>
                <w:sz w:val="16"/>
              </w:rPr>
              <w:t>Technical wells from one fictional batch</w:t>
            </w:r>
          </w:p>
        </w:tc>
      </w:tr>
      <w:tr>
        <w:trPr>
          <w:cantSplit/>
        </w:trPr>
        <w:tc>
          <w:tcPr>
            <w:tcW w:type="dxa" w:w="1944"/>
            <w:tcMar>
              <w:top w:w="90" w:type="dxa"/>
              <w:start w:w="120" w:type="dxa"/>
              <w:bottom w:w="90" w:type="dxa"/>
              <w:end w:w="120" w:type="dxa"/>
            </w:tcMar>
            <w:shd w:fill="FFFFFF"/>
            <w:tcBorders>
              <w:top w:val="single" w:sz="6" w:color="D9E2EC"/>
              <w:left w:val="single" w:sz="6" w:color="D9E2EC"/>
              <w:bottom w:val="single" w:sz="6" w:color="D9E2EC"/>
              <w:right w:val="single" w:sz="6" w:color="D9E2EC"/>
            </w:tcBorders>
          </w:tcPr>
          <w:p>
            <w:r>
              <w:rPr>
                <w:rFonts w:ascii="Aptos" w:hAnsi="Aptos" w:eastAsia="Aptos"/>
                <w:b/>
                <w:color w:val="243B53"/>
                <w:sz w:val="16"/>
              </w:rPr>
              <w:t>Biological claim</w:t>
            </w:r>
          </w:p>
        </w:tc>
        <w:tc>
          <w:tcPr>
            <w:tcW w:type="dxa" w:w="3960"/>
            <w:tcMar>
              <w:top w:w="90" w:type="dxa"/>
              <w:start w:w="120" w:type="dxa"/>
              <w:bottom w:w="90" w:type="dxa"/>
              <w:end w:w="120" w:type="dxa"/>
            </w:tcMar>
            <w:shd w:fill="FFFFFF"/>
            <w:tcBorders>
              <w:top w:val="single" w:sz="6" w:color="D9E2EC"/>
              <w:left w:val="single" w:sz="6" w:color="D9E2EC"/>
              <w:bottom w:val="single" w:sz="6" w:color="D9E2EC"/>
              <w:right w:val="single" w:sz="6" w:color="D9E2EC"/>
            </w:tcBorders>
          </w:tcPr>
          <w:p>
            <w:r>
              <w:rPr>
                <w:rFonts w:ascii="Aptos" w:hAnsi="Aptos" w:eastAsia="Aptos"/>
                <w:b w:val="0"/>
                <w:color w:val="243B53"/>
                <w:sz w:val="16"/>
              </w:rPr>
              <w:t>Universally safe and effective</w:t>
            </w:r>
          </w:p>
        </w:tc>
        <w:tc>
          <w:tcPr>
            <w:tcW w:type="dxa" w:w="4248"/>
            <w:tcMar>
              <w:top w:w="90" w:type="dxa"/>
              <w:start w:w="120" w:type="dxa"/>
              <w:bottom w:w="90" w:type="dxa"/>
              <w:end w:w="120" w:type="dxa"/>
            </w:tcMar>
            <w:shd w:fill="FFFFFF"/>
            <w:tcBorders>
              <w:top w:val="single" w:sz="6" w:color="D9E2EC"/>
              <w:left w:val="single" w:sz="6" w:color="D9E2EC"/>
              <w:bottom w:val="single" w:sz="6" w:color="D9E2EC"/>
              <w:right w:val="single" w:sz="6" w:color="D9E2EC"/>
            </w:tcBorders>
          </w:tcPr>
          <w:p>
            <w:r>
              <w:rPr>
                <w:rFonts w:ascii="Aptos" w:hAnsi="Aptos" w:eastAsia="Aptos"/>
                <w:b w:val="0"/>
                <w:color w:val="243B53"/>
                <w:sz w:val="16"/>
              </w:rPr>
              <w:t>No safety, efficacy, or mechanism inference</w:t>
            </w:r>
          </w:p>
        </w:tc>
      </w:tr>
      <w:tr>
        <w:trPr>
          <w:cantSplit/>
        </w:trPr>
        <w:tc>
          <w:tcPr>
            <w:tcW w:type="dxa" w:w="1944"/>
            <w:tcMar>
              <w:top w:w="90" w:type="dxa"/>
              <w:start w:w="120" w:type="dxa"/>
              <w:bottom w:w="90" w:type="dxa"/>
              <w:end w:w="120" w:type="dxa"/>
            </w:tcMar>
            <w:shd w:fill="F4F7FA"/>
            <w:tcBorders>
              <w:top w:val="single" w:sz="6" w:color="D9E2EC"/>
              <w:left w:val="single" w:sz="6" w:color="D9E2EC"/>
              <w:bottom w:val="single" w:sz="6" w:color="D9E2EC"/>
              <w:right w:val="single" w:sz="6" w:color="D9E2EC"/>
            </w:tcBorders>
          </w:tcPr>
          <w:p>
            <w:r>
              <w:rPr>
                <w:rFonts w:ascii="Aptos" w:hAnsi="Aptos" w:eastAsia="Aptos"/>
                <w:b/>
                <w:color w:val="243B53"/>
                <w:sz w:val="16"/>
              </w:rPr>
              <w:t>Translation</w:t>
            </w:r>
          </w:p>
        </w:tc>
        <w:tc>
          <w:tcPr>
            <w:tcW w:type="dxa" w:w="3960"/>
            <w:tcMar>
              <w:top w:w="90" w:type="dxa"/>
              <w:start w:w="120" w:type="dxa"/>
              <w:bottom w:w="90" w:type="dxa"/>
              <w:end w:w="120" w:type="dxa"/>
            </w:tcMar>
            <w:shd w:fill="F4F7FA"/>
            <w:tcBorders>
              <w:top w:val="single" w:sz="6" w:color="D9E2EC"/>
              <w:left w:val="single" w:sz="6" w:color="D9E2EC"/>
              <w:bottom w:val="single" w:sz="6" w:color="D9E2EC"/>
              <w:right w:val="single" w:sz="6" w:color="D9E2EC"/>
            </w:tcBorders>
          </w:tcPr>
          <w:p>
            <w:r>
              <w:rPr>
                <w:rFonts w:ascii="Aptos" w:hAnsi="Aptos" w:eastAsia="Aptos"/>
                <w:b w:val="0"/>
                <w:color w:val="243B53"/>
                <w:sz w:val="16"/>
              </w:rPr>
              <w:t>Immediate clinical readiness</w:t>
            </w:r>
          </w:p>
        </w:tc>
        <w:tc>
          <w:tcPr>
            <w:tcW w:type="dxa" w:w="4248"/>
            <w:tcMar>
              <w:top w:w="90" w:type="dxa"/>
              <w:start w:w="120" w:type="dxa"/>
              <w:bottom w:w="90" w:type="dxa"/>
              <w:end w:w="120" w:type="dxa"/>
            </w:tcMar>
            <w:shd w:fill="F4F7FA"/>
            <w:tcBorders>
              <w:top w:val="single" w:sz="6" w:color="D9E2EC"/>
              <w:left w:val="single" w:sz="6" w:color="D9E2EC"/>
              <w:bottom w:val="single" w:sz="6" w:color="D9E2EC"/>
              <w:right w:val="single" w:sz="6" w:color="D9E2EC"/>
            </w:tcBorders>
          </w:tcPr>
          <w:p>
            <w:r>
              <w:rPr>
                <w:rFonts w:ascii="Aptos" w:hAnsi="Aptos" w:eastAsia="Aptos"/>
                <w:b w:val="0"/>
                <w:color w:val="243B53"/>
                <w:sz w:val="16"/>
              </w:rPr>
              <w:t>Prospective independent validation still required</w:t>
            </w:r>
          </w:p>
        </w:tc>
      </w:tr>
    </w:tbl>
    <w:p>
      <w:pPr>
        <w:keepLines w:val="0"/>
        <w:widowControl/>
        <w:spacing w:before="0" w:after="0" w:line="259" w:lineRule="auto"/>
      </w:pPr>
      <w:r>
        <w:rPr>
          <w:rFonts w:ascii="Aptos" w:hAnsi="Aptos" w:eastAsia="Aptos"/>
          <w:b w:val="0"/>
          <w:i/>
          <w:color w:val="627D98"/>
          <w:sz w:val="16"/>
        </w:rPr>
        <w:t>Independent project. CNS means Cell · Nature · Science as an aspirational editorial benchmark; it is not publisher affiliation, endorsement, or an acceptance guarantee.</w:t>
      </w:r>
    </w:p>
    <w:p>
      <w:r>
        <w:br w:type="page"/>
      </w:r>
    </w:p>
    <w:p>
      <w:pPr>
        <w:keepNext/>
        <w:keepLines w:val="0"/>
        <w:widowControl/>
        <w:spacing w:before="40" w:after="60" w:line="259" w:lineRule="auto"/>
      </w:pPr>
      <w:r>
        <w:rPr>
          <w:rFonts w:ascii="Aptos" w:hAnsi="Aptos" w:eastAsia="Aptos"/>
          <w:b/>
          <w:caps/>
          <w:color w:val="0F766E"/>
          <w:sz w:val="16"/>
        </w:rPr>
        <w:t>BEFORE · INTENTIONALLY FLAWED</w:t>
      </w:r>
    </w:p>
    <w:p>
      <w:pPr>
        <w:pStyle w:val="Heading1"/>
      </w:pPr>
      <w:r>
        <w:rPr>
          <w:rFonts w:ascii="Aptos" w:hAnsi="Aptos" w:eastAsia="Aptos"/>
          <w:color w:val="B42318"/>
        </w:rPr>
        <w:t>Autonomous AI discovers a universally safe antimicrobial wound hydrogel</w:t>
      </w:r>
    </w:p>
    <w:p>
      <w:pPr>
        <w:pStyle w:val="DemoLabel"/>
        <w:keepLines w:val="0"/>
        <w:widowControl/>
        <w:spacing w:before="0" w:after="140" w:line="259" w:lineRule="auto"/>
      </w:pPr>
      <w:r>
        <w:rPr>
          <w:rFonts w:ascii="Aptos" w:hAnsi="Aptos" w:eastAsia="Aptos"/>
          <w:b/>
          <w:i w:val="0"/>
          <w:color w:val="B42318"/>
          <w:sz w:val="16"/>
        </w:rPr>
        <w:t>SYNTHETIC DEMONSTRATION — the language below is intentionally unsupported and must not be reused as scientific evidence.</w:t>
      </w:r>
    </w:p>
    <w:p>
      <w:pPr>
        <w:pStyle w:val="Heading2"/>
      </w:pPr>
      <w:r>
        <w:rPr>
          <w:rFonts w:ascii="Aptos" w:hAnsi="Aptos" w:eastAsia="Aptos"/>
          <w:color w:val="B42318"/>
        </w:rPr>
        <w:t>Abstract</w:t>
      </w:r>
    </w:p>
    <w:p>
      <w:pPr>
        <w:keepLines w:val="0"/>
        <w:widowControl/>
        <w:spacing w:before="0" w:after="100" w:line="259" w:lineRule="auto"/>
      </w:pPr>
      <w:r>
        <w:rPr>
          <w:rFonts w:ascii="Aptos" w:hAnsi="Aptos" w:eastAsia="Aptos"/>
          <w:b w:val="0"/>
          <w:i w:val="0"/>
          <w:color w:val="243B53"/>
          <w:sz w:val="18"/>
        </w:rPr>
        <w:t>Artificial intelligence has revolutionized biomaterials discovery. We created 18 peptide hydrogels and used an autonomous closed-loop model to discover H-07, a universally effective dressing that eradicated bacteria while remaining completely safe. H-07 reduced bacterial signal by 78.4% and retained 90.3% fibroblast viability, proving that the model can replace conventional screening. These findings establish immediate clinical readiness and will transform wound care [1].</w:t>
      </w:r>
    </w:p>
    <w:p>
      <w:pPr>
        <w:pStyle w:val="Heading2"/>
      </w:pPr>
      <w:r>
        <w:rPr>
          <w:rFonts w:ascii="Aptos" w:hAnsi="Aptos" w:eastAsia="Aptos"/>
          <w:color w:val="B42318"/>
        </w:rPr>
        <w:t>Methods</w:t>
      </w:r>
    </w:p>
    <w:p>
      <w:pPr>
        <w:keepLines w:val="0"/>
        <w:widowControl/>
        <w:spacing w:before="0" w:after="100" w:line="259" w:lineRule="auto"/>
      </w:pPr>
      <w:r>
        <w:rPr>
          <w:rFonts w:ascii="Aptos" w:hAnsi="Aptos" w:eastAsia="Aptos"/>
          <w:b w:val="0"/>
          <w:i w:val="0"/>
          <w:color w:val="243B53"/>
          <w:sz w:val="18"/>
        </w:rPr>
        <w:t>Eighteen formulations were evaluated. Twelve were used for training and six for validation. Each assay was repeated three times. A ridge model optimized bacterial reduction and cell viability, then selected the best material. Because the model examined a validation set after training, the workflow was fully autonomous and closed loop. [TODO: insert independent batch and statistical test before submission]</w:t>
      </w:r>
    </w:p>
    <w:p>
      <w:pPr>
        <w:pStyle w:val="Heading2"/>
      </w:pPr>
      <w:r>
        <w:rPr>
          <w:rFonts w:ascii="Aptos" w:hAnsi="Aptos" w:eastAsia="Aptos"/>
          <w:color w:val="B42318"/>
        </w:rPr>
        <w:t>Results</w:t>
      </w:r>
    </w:p>
    <w:p>
      <w:pPr>
        <w:keepLines w:val="0"/>
        <w:widowControl/>
        <w:spacing w:before="0" w:after="100" w:line="259" w:lineRule="auto"/>
      </w:pPr>
      <w:r>
        <w:rPr>
          <w:rFonts w:ascii="Aptos" w:hAnsi="Aptos" w:eastAsia="Aptos"/>
          <w:b w:val="0"/>
          <w:i w:val="0"/>
          <w:color w:val="243B53"/>
          <w:sz w:val="18"/>
        </w:rPr>
        <w:t>The model achieved state-of-the-art accuracy and generalized across the entire hydrogel design space [3]. Figure 2 shows that H-07 destroyed almost all bacteria without toxicity. Compared with the peptide-free formulation H-18, H-07 increased bacterial reduction from 18.4% to 78.4% and therefore caused superior wound healing. The three replicate wells establish reproducibility and safety.</w:t>
      </w:r>
    </w:p>
    <w:p>
      <w:pPr>
        <w:pStyle w:val="Heading2"/>
      </w:pPr>
      <w:r>
        <w:rPr>
          <w:rFonts w:ascii="Aptos" w:hAnsi="Aptos" w:eastAsia="Aptos"/>
          <w:color w:val="B42318"/>
        </w:rPr>
        <w:t>Discussion</w:t>
      </w:r>
    </w:p>
    <w:p>
      <w:pPr>
        <w:keepLines w:val="0"/>
        <w:widowControl/>
        <w:spacing w:before="0" w:after="100" w:line="259" w:lineRule="auto"/>
      </w:pPr>
      <w:r>
        <w:rPr>
          <w:rFonts w:ascii="Aptos" w:hAnsi="Aptos" w:eastAsia="Aptos"/>
          <w:b w:val="0"/>
          <w:i w:val="0"/>
          <w:color w:val="243B53"/>
          <w:sz w:val="18"/>
        </w:rPr>
        <w:t>Our closed-loop system discovered a material that is effective for all wound types. The 78.4% reduction proves bactericidal activity, whereas 90.3% viability proves biocompatibility. These results demonstrate that computational optimization can eliminate animal testing and support direct clinical deployment. Future studies will confirm the universal mechanism.</w:t>
      </w:r>
    </w:p>
    <w:p>
      <w:pPr>
        <w:keepLines w:val="0"/>
        <w:widowControl/>
        <w:spacing w:before="0" w:after="0" w:line="259" w:lineRule="auto"/>
      </w:pPr>
      <w:r>
        <w:rPr>
          <w:rFonts w:ascii="Aptos" w:hAnsi="Aptos" w:eastAsia="Aptos"/>
          <w:b/>
          <w:i w:val="0"/>
          <w:color w:val="B42318"/>
          <w:sz w:val="16"/>
        </w:rPr>
        <w:t>Reader-visible leakage in the source also includes a TODO, an editorial assessment, an author query, and a ‘Revised version’ output label.</w:t>
      </w:r>
    </w:p>
    <w:p>
      <w:r>
        <w:br w:type="page"/>
      </w:r>
    </w:p>
    <w:p>
      <w:pPr>
        <w:keepNext/>
        <w:keepLines w:val="0"/>
        <w:widowControl/>
        <w:spacing w:before="40" w:after="60" w:line="259" w:lineRule="auto"/>
      </w:pPr>
      <w:r>
        <w:rPr>
          <w:rFonts w:ascii="Aptos" w:hAnsi="Aptos" w:eastAsia="Aptos"/>
          <w:b/>
          <w:caps/>
          <w:color w:val="0F766E"/>
          <w:sz w:val="16"/>
        </w:rPr>
        <w:t>EVIDENCE BOUNDARY · DECISION RECORD</w:t>
      </w:r>
    </w:p>
    <w:p>
      <w:pPr>
        <w:pStyle w:val="Heading1"/>
      </w:pPr>
      <w:r>
        <w:rPr>
          <w:rFonts w:ascii="Aptos" w:hAnsi="Aptos" w:eastAsia="Aptos"/>
          <w:color w:val="102A43"/>
        </w:rPr>
        <w:t>The revision changes the inference—not the numbers</w:t>
      </w:r>
    </w:p>
    <w:p>
      <w:pPr>
        <w:keepLines w:val="0"/>
        <w:widowControl/>
        <w:spacing w:before="0" w:after="160" w:line="259" w:lineRule="auto"/>
      </w:pPr>
      <w:r>
        <w:rPr>
          <w:rFonts w:ascii="Aptos" w:hAnsi="Aptos" w:eastAsia="Aptos"/>
          <w:b w:val="0"/>
          <w:i w:val="0"/>
          <w:color w:val="243B53"/>
          <w:sz w:val="19"/>
        </w:rPr>
        <w:t>Five gates convert the same fixture into a more defensible report. Automated checks expose structure; human scientific judgment decides whether a citation entails a claim and whether the stated validation layer is accurate.</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843"/>
            <w:shd w:fill="102A43"/>
            <w:tcMar>
              <w:top w:w="100" w:type="dxa"/>
              <w:start w:w="120" w:type="dxa"/>
              <w:bottom w:w="100" w:type="dxa"/>
              <w:end w:w="120" w:type="dxa"/>
            </w:tcMar>
          </w:tcPr>
          <w:p>
            <w:r>
              <w:rPr>
                <w:rFonts w:ascii="Aptos" w:hAnsi="Aptos" w:eastAsia="Aptos"/>
                <w:b/>
                <w:color w:val="FFFFFF"/>
                <w:sz w:val="16"/>
              </w:rPr>
              <w:t>Gate</w:t>
            </w:r>
          </w:p>
        </w:tc>
        <w:tc>
          <w:tcPr>
            <w:tcW w:type="dxa" w:w="3024"/>
            <w:shd w:fill="102A43"/>
            <w:tcMar>
              <w:top w:w="100" w:type="dxa"/>
              <w:start w:w="120" w:type="dxa"/>
              <w:bottom w:w="100" w:type="dxa"/>
              <w:end w:w="120" w:type="dxa"/>
            </w:tcMar>
          </w:tcPr>
          <w:p>
            <w:r>
              <w:rPr>
                <w:rFonts w:ascii="Aptos" w:hAnsi="Aptos" w:eastAsia="Aptos"/>
                <w:b/>
                <w:color w:val="FFFFFF"/>
                <w:sz w:val="16"/>
              </w:rPr>
              <w:t>Before risk</w:t>
            </w:r>
          </w:p>
        </w:tc>
        <w:tc>
          <w:tcPr>
            <w:tcW w:type="dxa" w:w="3600"/>
            <w:shd w:fill="102A43"/>
            <w:tcMar>
              <w:top w:w="100" w:type="dxa"/>
              <w:start w:w="120" w:type="dxa"/>
              <w:bottom w:w="100" w:type="dxa"/>
              <w:end w:w="120" w:type="dxa"/>
            </w:tcMar>
          </w:tcPr>
          <w:p>
            <w:r>
              <w:rPr>
                <w:rFonts w:ascii="Aptos" w:hAnsi="Aptos" w:eastAsia="Aptos"/>
                <w:b/>
                <w:color w:val="FFFFFF"/>
                <w:sz w:val="16"/>
              </w:rPr>
              <w:t>Evidence-bounded correction</w:t>
            </w:r>
          </w:p>
        </w:tc>
        <w:tc>
          <w:tcPr>
            <w:tcW w:type="dxa" w:w="1411"/>
            <w:shd w:fill="102A43"/>
            <w:tcMar>
              <w:top w:w="100" w:type="dxa"/>
              <w:start w:w="120" w:type="dxa"/>
              <w:bottom w:w="100" w:type="dxa"/>
              <w:end w:w="120" w:type="dxa"/>
            </w:tcMar>
          </w:tcPr>
          <w:p>
            <w:r>
              <w:rPr>
                <w:rFonts w:ascii="Aptos" w:hAnsi="Aptos" w:eastAsia="Aptos"/>
                <w:b/>
                <w:color w:val="FFFFFF"/>
                <w:sz w:val="16"/>
              </w:rPr>
              <w:t>State</w:t>
            </w:r>
          </w:p>
        </w:tc>
      </w:tr>
      <w:tr>
        <w:trPr>
          <w:cantSplit/>
        </w:trPr>
        <w:tc>
          <w:tcPr>
            <w:tcW w:type="dxa" w:w="1843"/>
            <w:tcMar>
              <w:top w:w="95" w:type="dxa"/>
              <w:start w:w="120" w:type="dxa"/>
              <w:bottom w:w="95" w:type="dxa"/>
              <w:end w:w="120" w:type="dxa"/>
            </w:tcMar>
            <w:shd w:fill="FFFFFF"/>
            <w:tcBorders>
              <w:top w:val="single" w:sz="5" w:color="D9E2EC"/>
              <w:left w:val="single" w:sz="5" w:color="D9E2EC"/>
              <w:bottom w:val="single" w:sz="5" w:color="D9E2EC"/>
              <w:right w:val="single" w:sz="5" w:color="D9E2EC"/>
            </w:tcBorders>
          </w:tcPr>
          <w:p>
            <w:r>
              <w:rPr>
                <w:rFonts w:ascii="Aptos" w:hAnsi="Aptos" w:eastAsia="Aptos"/>
                <w:b/>
                <w:color w:val="243B53"/>
                <w:sz w:val="15"/>
              </w:rPr>
              <w:t>Evidence boundary</w:t>
            </w:r>
          </w:p>
        </w:tc>
        <w:tc>
          <w:tcPr>
            <w:tcW w:type="dxa" w:w="3024"/>
            <w:tcMar>
              <w:top w:w="95" w:type="dxa"/>
              <w:start w:w="120" w:type="dxa"/>
              <w:bottom w:w="95" w:type="dxa"/>
              <w:end w:w="120" w:type="dxa"/>
            </w:tcMar>
            <w:shd w:fill="FFFFFF"/>
            <w:tcBorders>
              <w:top w:val="single" w:sz="5" w:color="D9E2EC"/>
              <w:left w:val="single" w:sz="5" w:color="D9E2EC"/>
              <w:bottom w:val="single" w:sz="5" w:color="D9E2EC"/>
              <w:right w:val="single" w:sz="5" w:color="D9E2EC"/>
            </w:tcBorders>
          </w:tcPr>
          <w:p>
            <w:r>
              <w:rPr>
                <w:rFonts w:ascii="Aptos" w:hAnsi="Aptos" w:eastAsia="Aptos"/>
                <w:b w:val="0"/>
                <w:color w:val="243B53"/>
                <w:sz w:val="15"/>
              </w:rPr>
              <w:t>Universal safety / efficacy</w:t>
            </w:r>
          </w:p>
        </w:tc>
        <w:tc>
          <w:tcPr>
            <w:tcW w:type="dxa" w:w="3600"/>
            <w:tcMar>
              <w:top w:w="95" w:type="dxa"/>
              <w:start w:w="120" w:type="dxa"/>
              <w:bottom w:w="95" w:type="dxa"/>
              <w:end w:w="120" w:type="dxa"/>
            </w:tcMar>
            <w:shd w:fill="FFFFFF"/>
            <w:tcBorders>
              <w:top w:val="single" w:sz="5" w:color="D9E2EC"/>
              <w:left w:val="single" w:sz="5" w:color="D9E2EC"/>
              <w:bottom w:val="single" w:sz="5" w:color="D9E2EC"/>
              <w:right w:val="single" w:sz="5" w:color="D9E2EC"/>
            </w:tcBorders>
          </w:tcPr>
          <w:p>
            <w:r>
              <w:rPr>
                <w:rFonts w:ascii="Aptos" w:hAnsi="Aptos" w:eastAsia="Aptos"/>
                <w:b w:val="0"/>
                <w:color w:val="243B53"/>
                <w:sz w:val="15"/>
              </w:rPr>
              <w:t>One-batch descriptive fixture</w:t>
            </w:r>
          </w:p>
        </w:tc>
        <w:tc>
          <w:tcPr>
            <w:tcW w:type="dxa" w:w="1411"/>
            <w:tcMar>
              <w:top w:w="95" w:type="dxa"/>
              <w:start w:w="120" w:type="dxa"/>
              <w:bottom w:w="95" w:type="dxa"/>
              <w:end w:w="120" w:type="dxa"/>
            </w:tcMar>
            <w:shd w:fill="FFFFFF"/>
            <w:tcBorders>
              <w:top w:val="single" w:sz="5" w:color="D9E2EC"/>
              <w:left w:val="single" w:sz="5" w:color="D9E2EC"/>
              <w:bottom w:val="single" w:sz="5" w:color="D9E2EC"/>
              <w:right w:val="single" w:sz="5" w:color="D9E2EC"/>
            </w:tcBorders>
          </w:tcPr>
          <w:p>
            <w:pPr>
              <w:jc w:val="center"/>
            </w:pPr>
            <w:r>
              <w:rPr>
                <w:rFonts w:ascii="Aptos" w:hAnsi="Aptos" w:eastAsia="Aptos"/>
                <w:b/>
                <w:color w:val="0F766E"/>
                <w:sz w:val="15"/>
              </w:rPr>
              <w:t>Narrowed</w:t>
            </w:r>
          </w:p>
        </w:tc>
      </w:tr>
      <w:tr>
        <w:trPr>
          <w:cantSplit/>
        </w:trPr>
        <w:tc>
          <w:tcPr>
            <w:tcW w:type="dxa" w:w="1843"/>
            <w:tcMar>
              <w:top w:w="95" w:type="dxa"/>
              <w:start w:w="120" w:type="dxa"/>
              <w:bottom w:w="95" w:type="dxa"/>
              <w:end w:w="120" w:type="dxa"/>
            </w:tcMar>
            <w:shd w:fill="F4F7FA"/>
            <w:tcBorders>
              <w:top w:val="single" w:sz="5" w:color="D9E2EC"/>
              <w:left w:val="single" w:sz="5" w:color="D9E2EC"/>
              <w:bottom w:val="single" w:sz="5" w:color="D9E2EC"/>
              <w:right w:val="single" w:sz="5" w:color="D9E2EC"/>
            </w:tcBorders>
          </w:tcPr>
          <w:p>
            <w:r>
              <w:rPr>
                <w:rFonts w:ascii="Aptos" w:hAnsi="Aptos" w:eastAsia="Aptos"/>
                <w:b/>
                <w:color w:val="243B53"/>
                <w:sz w:val="15"/>
              </w:rPr>
              <w:t>Autonomy</w:t>
            </w:r>
          </w:p>
        </w:tc>
        <w:tc>
          <w:tcPr>
            <w:tcW w:type="dxa" w:w="3024"/>
            <w:tcMar>
              <w:top w:w="95" w:type="dxa"/>
              <w:start w:w="120" w:type="dxa"/>
              <w:bottom w:w="95" w:type="dxa"/>
              <w:end w:w="120" w:type="dxa"/>
            </w:tcMar>
            <w:shd w:fill="F4F7FA"/>
            <w:tcBorders>
              <w:top w:val="single" w:sz="5" w:color="D9E2EC"/>
              <w:left w:val="single" w:sz="5" w:color="D9E2EC"/>
              <w:bottom w:val="single" w:sz="5" w:color="D9E2EC"/>
              <w:right w:val="single" w:sz="5" w:color="D9E2EC"/>
            </w:tcBorders>
          </w:tcPr>
          <w:p>
            <w:r>
              <w:rPr>
                <w:rFonts w:ascii="Aptos" w:hAnsi="Aptos" w:eastAsia="Aptos"/>
                <w:b w:val="0"/>
                <w:color w:val="243B53"/>
                <w:sz w:val="15"/>
              </w:rPr>
              <w:t>Closed-loop discovery</w:t>
            </w:r>
          </w:p>
        </w:tc>
        <w:tc>
          <w:tcPr>
            <w:tcW w:type="dxa" w:w="3600"/>
            <w:tcMar>
              <w:top w:w="95" w:type="dxa"/>
              <w:start w:w="120" w:type="dxa"/>
              <w:bottom w:w="95" w:type="dxa"/>
              <w:end w:w="120" w:type="dxa"/>
            </w:tcMar>
            <w:shd w:fill="F4F7FA"/>
            <w:tcBorders>
              <w:top w:val="single" w:sz="5" w:color="D9E2EC"/>
              <w:left w:val="single" w:sz="5" w:color="D9E2EC"/>
              <w:bottom w:val="single" w:sz="5" w:color="D9E2EC"/>
              <w:right w:val="single" w:sz="5" w:color="D9E2EC"/>
            </w:tcBorders>
          </w:tcPr>
          <w:p>
            <w:r>
              <w:rPr>
                <w:rFonts w:ascii="Aptos" w:hAnsi="Aptos" w:eastAsia="Aptos"/>
                <w:b w:val="0"/>
                <w:color w:val="243B53"/>
                <w:sz w:val="15"/>
              </w:rPr>
              <w:t>No next experiment was selected</w:t>
            </w:r>
          </w:p>
        </w:tc>
        <w:tc>
          <w:tcPr>
            <w:tcW w:type="dxa" w:w="1411"/>
            <w:tcMar>
              <w:top w:w="95" w:type="dxa"/>
              <w:start w:w="120" w:type="dxa"/>
              <w:bottom w:w="95" w:type="dxa"/>
              <w:end w:w="120" w:type="dxa"/>
            </w:tcMar>
            <w:shd w:fill="F4F7FA"/>
            <w:tcBorders>
              <w:top w:val="single" w:sz="5" w:color="D9E2EC"/>
              <w:left w:val="single" w:sz="5" w:color="D9E2EC"/>
              <w:bottom w:val="single" w:sz="5" w:color="D9E2EC"/>
              <w:right w:val="single" w:sz="5" w:color="D9E2EC"/>
            </w:tcBorders>
          </w:tcPr>
          <w:p>
            <w:pPr>
              <w:jc w:val="center"/>
            </w:pPr>
            <w:r>
              <w:rPr>
                <w:rFonts w:ascii="Aptos" w:hAnsi="Aptos" w:eastAsia="Aptos"/>
                <w:b/>
                <w:color w:val="0F766E"/>
                <w:sz w:val="15"/>
              </w:rPr>
              <w:t>Reclassified</w:t>
            </w:r>
          </w:p>
        </w:tc>
      </w:tr>
      <w:tr>
        <w:trPr>
          <w:cantSplit/>
        </w:trPr>
        <w:tc>
          <w:tcPr>
            <w:tcW w:type="dxa" w:w="1843"/>
            <w:tcMar>
              <w:top w:w="95" w:type="dxa"/>
              <w:start w:w="120" w:type="dxa"/>
              <w:bottom w:w="95" w:type="dxa"/>
              <w:end w:w="120" w:type="dxa"/>
            </w:tcMar>
            <w:shd w:fill="FFFFFF"/>
            <w:tcBorders>
              <w:top w:val="single" w:sz="5" w:color="D9E2EC"/>
              <w:left w:val="single" w:sz="5" w:color="D9E2EC"/>
              <w:bottom w:val="single" w:sz="5" w:color="D9E2EC"/>
              <w:right w:val="single" w:sz="5" w:color="D9E2EC"/>
            </w:tcBorders>
          </w:tcPr>
          <w:p>
            <w:r>
              <w:rPr>
                <w:rFonts w:ascii="Aptos" w:hAnsi="Aptos" w:eastAsia="Aptos"/>
                <w:b/>
                <w:color w:val="243B53"/>
                <w:sz w:val="15"/>
              </w:rPr>
              <w:t>Citations</w:t>
            </w:r>
          </w:p>
        </w:tc>
        <w:tc>
          <w:tcPr>
            <w:tcW w:type="dxa" w:w="3024"/>
            <w:tcMar>
              <w:top w:w="95" w:type="dxa"/>
              <w:start w:w="120" w:type="dxa"/>
              <w:bottom w:w="95" w:type="dxa"/>
              <w:end w:w="120" w:type="dxa"/>
            </w:tcMar>
            <w:shd w:fill="FFFFFF"/>
            <w:tcBorders>
              <w:top w:val="single" w:sz="5" w:color="D9E2EC"/>
              <w:left w:val="single" w:sz="5" w:color="D9E2EC"/>
              <w:bottom w:val="single" w:sz="5" w:color="D9E2EC"/>
              <w:right w:val="single" w:sz="5" w:color="D9E2EC"/>
            </w:tcBorders>
          </w:tcPr>
          <w:p>
            <w:r>
              <w:rPr>
                <w:rFonts w:ascii="Aptos" w:hAnsi="Aptos" w:eastAsia="Aptos"/>
                <w:b w:val="0"/>
                <w:color w:val="243B53"/>
                <w:sz w:val="15"/>
              </w:rPr>
              <w:t>Missing 3; unused 2; duplicate DOI</w:t>
            </w:r>
          </w:p>
        </w:tc>
        <w:tc>
          <w:tcPr>
            <w:tcW w:type="dxa" w:w="3600"/>
            <w:tcMar>
              <w:top w:w="95" w:type="dxa"/>
              <w:start w:w="120" w:type="dxa"/>
              <w:bottom w:w="95" w:type="dxa"/>
              <w:end w:w="120" w:type="dxa"/>
            </w:tcMar>
            <w:shd w:fill="FFFFFF"/>
            <w:tcBorders>
              <w:top w:val="single" w:sz="5" w:color="D9E2EC"/>
              <w:left w:val="single" w:sz="5" w:color="D9E2EC"/>
              <w:bottom w:val="single" w:sz="5" w:color="D9E2EC"/>
              <w:right w:val="single" w:sz="5" w:color="D9E2EC"/>
            </w:tcBorders>
          </w:tcPr>
          <w:p>
            <w:r>
              <w:rPr>
                <w:rFonts w:ascii="Aptos" w:hAnsi="Aptos" w:eastAsia="Aptos"/>
                <w:b w:val="0"/>
                <w:color w:val="243B53"/>
                <w:sz w:val="15"/>
              </w:rPr>
              <w:t>3/3 placed; all synthetic placeholders</w:t>
            </w:r>
          </w:p>
        </w:tc>
        <w:tc>
          <w:tcPr>
            <w:tcW w:type="dxa" w:w="1411"/>
            <w:tcMar>
              <w:top w:w="95" w:type="dxa"/>
              <w:start w:w="120" w:type="dxa"/>
              <w:bottom w:w="95" w:type="dxa"/>
              <w:end w:w="120" w:type="dxa"/>
            </w:tcMar>
            <w:shd w:fill="FFFFFF"/>
            <w:tcBorders>
              <w:top w:val="single" w:sz="5" w:color="D9E2EC"/>
              <w:left w:val="single" w:sz="5" w:color="D9E2EC"/>
              <w:bottom w:val="single" w:sz="5" w:color="D9E2EC"/>
              <w:right w:val="single" w:sz="5" w:color="D9E2EC"/>
            </w:tcBorders>
          </w:tcPr>
          <w:p>
            <w:pPr>
              <w:jc w:val="center"/>
            </w:pPr>
            <w:r>
              <w:rPr>
                <w:rFonts w:ascii="Aptos" w:hAnsi="Aptos" w:eastAsia="Aptos"/>
                <w:b/>
                <w:color w:val="0F766E"/>
                <w:sz w:val="15"/>
              </w:rPr>
              <w:t>Resolved</w:t>
            </w:r>
          </w:p>
        </w:tc>
      </w:tr>
      <w:tr>
        <w:trPr>
          <w:cantSplit/>
        </w:trPr>
        <w:tc>
          <w:tcPr>
            <w:tcW w:type="dxa" w:w="1843"/>
            <w:tcMar>
              <w:top w:w="95" w:type="dxa"/>
              <w:start w:w="120" w:type="dxa"/>
              <w:bottom w:w="95" w:type="dxa"/>
              <w:end w:w="120" w:type="dxa"/>
            </w:tcMar>
            <w:shd w:fill="F4F7FA"/>
            <w:tcBorders>
              <w:top w:val="single" w:sz="5" w:color="D9E2EC"/>
              <w:left w:val="single" w:sz="5" w:color="D9E2EC"/>
              <w:bottom w:val="single" w:sz="5" w:color="D9E2EC"/>
              <w:right w:val="single" w:sz="5" w:color="D9E2EC"/>
            </w:tcBorders>
          </w:tcPr>
          <w:p>
            <w:r>
              <w:rPr>
                <w:rFonts w:ascii="Aptos" w:hAnsi="Aptos" w:eastAsia="Aptos"/>
                <w:b/>
                <w:color w:val="243B53"/>
                <w:sz w:val="15"/>
              </w:rPr>
              <w:t>Displays</w:t>
            </w:r>
          </w:p>
        </w:tc>
        <w:tc>
          <w:tcPr>
            <w:tcW w:type="dxa" w:w="3024"/>
            <w:tcMar>
              <w:top w:w="95" w:type="dxa"/>
              <w:start w:w="120" w:type="dxa"/>
              <w:bottom w:w="95" w:type="dxa"/>
              <w:end w:w="120" w:type="dxa"/>
            </w:tcMar>
            <w:shd w:fill="F4F7FA"/>
            <w:tcBorders>
              <w:top w:val="single" w:sz="5" w:color="D9E2EC"/>
              <w:left w:val="single" w:sz="5" w:color="D9E2EC"/>
              <w:bottom w:val="single" w:sz="5" w:color="D9E2EC"/>
              <w:right w:val="single" w:sz="5" w:color="D9E2EC"/>
            </w:tcBorders>
          </w:tcPr>
          <w:p>
            <w:r>
              <w:rPr>
                <w:rFonts w:ascii="Aptos" w:hAnsi="Aptos" w:eastAsia="Aptos"/>
                <w:b w:val="0"/>
                <w:color w:val="243B53"/>
                <w:sz w:val="15"/>
              </w:rPr>
              <w:t>Figure 2 missing; captions orphaned</w:t>
            </w:r>
          </w:p>
        </w:tc>
        <w:tc>
          <w:tcPr>
            <w:tcW w:type="dxa" w:w="3600"/>
            <w:tcMar>
              <w:top w:w="95" w:type="dxa"/>
              <w:start w:w="120" w:type="dxa"/>
              <w:bottom w:w="95" w:type="dxa"/>
              <w:end w:w="120" w:type="dxa"/>
            </w:tcMar>
            <w:shd w:fill="F4F7FA"/>
            <w:tcBorders>
              <w:top w:val="single" w:sz="5" w:color="D9E2EC"/>
              <w:left w:val="single" w:sz="5" w:color="D9E2EC"/>
              <w:bottom w:val="single" w:sz="5" w:color="D9E2EC"/>
              <w:right w:val="single" w:sz="5" w:color="D9E2EC"/>
            </w:tcBorders>
          </w:tcPr>
          <w:p>
            <w:r>
              <w:rPr>
                <w:rFonts w:ascii="Aptos" w:hAnsi="Aptos" w:eastAsia="Aptos"/>
                <w:b w:val="0"/>
                <w:color w:val="243B53"/>
                <w:sz w:val="15"/>
              </w:rPr>
              <w:t>Figure 1 and Table 1 introduced in prose</w:t>
            </w:r>
          </w:p>
        </w:tc>
        <w:tc>
          <w:tcPr>
            <w:tcW w:type="dxa" w:w="1411"/>
            <w:tcMar>
              <w:top w:w="95" w:type="dxa"/>
              <w:start w:w="120" w:type="dxa"/>
              <w:bottom w:w="95" w:type="dxa"/>
              <w:end w:w="120" w:type="dxa"/>
            </w:tcMar>
            <w:shd w:fill="F4F7FA"/>
            <w:tcBorders>
              <w:top w:val="single" w:sz="5" w:color="D9E2EC"/>
              <w:left w:val="single" w:sz="5" w:color="D9E2EC"/>
              <w:bottom w:val="single" w:sz="5" w:color="D9E2EC"/>
              <w:right w:val="single" w:sz="5" w:color="D9E2EC"/>
            </w:tcBorders>
          </w:tcPr>
          <w:p>
            <w:pPr>
              <w:jc w:val="center"/>
            </w:pPr>
            <w:r>
              <w:rPr>
                <w:rFonts w:ascii="Aptos" w:hAnsi="Aptos" w:eastAsia="Aptos"/>
                <w:b/>
                <w:color w:val="0F766E"/>
                <w:sz w:val="15"/>
              </w:rPr>
              <w:t>Resolved</w:t>
            </w:r>
          </w:p>
        </w:tc>
      </w:tr>
      <w:tr>
        <w:trPr>
          <w:cantSplit/>
        </w:trPr>
        <w:tc>
          <w:tcPr>
            <w:tcW w:type="dxa" w:w="1843"/>
            <w:tcMar>
              <w:top w:w="95" w:type="dxa"/>
              <w:start w:w="120" w:type="dxa"/>
              <w:bottom w:w="95" w:type="dxa"/>
              <w:end w:w="120" w:type="dxa"/>
            </w:tcMar>
            <w:shd w:fill="FFFFFF"/>
            <w:tcBorders>
              <w:top w:val="single" w:sz="5" w:color="D9E2EC"/>
              <w:left w:val="single" w:sz="5" w:color="D9E2EC"/>
              <w:bottom w:val="single" w:sz="5" w:color="D9E2EC"/>
              <w:right w:val="single" w:sz="5" w:color="D9E2EC"/>
            </w:tcBorders>
          </w:tcPr>
          <w:p>
            <w:r>
              <w:rPr>
                <w:rFonts w:ascii="Aptos" w:hAnsi="Aptos" w:eastAsia="Aptos"/>
                <w:b/>
                <w:color w:val="243B53"/>
                <w:sz w:val="15"/>
              </w:rPr>
              <w:t>Clean copy</w:t>
            </w:r>
          </w:p>
        </w:tc>
        <w:tc>
          <w:tcPr>
            <w:tcW w:type="dxa" w:w="3024"/>
            <w:tcMar>
              <w:top w:w="95" w:type="dxa"/>
              <w:start w:w="120" w:type="dxa"/>
              <w:bottom w:w="95" w:type="dxa"/>
              <w:end w:w="120" w:type="dxa"/>
            </w:tcMar>
            <w:shd w:fill="FFFFFF"/>
            <w:tcBorders>
              <w:top w:val="single" w:sz="5" w:color="D9E2EC"/>
              <w:left w:val="single" w:sz="5" w:color="D9E2EC"/>
              <w:bottom w:val="single" w:sz="5" w:color="D9E2EC"/>
              <w:right w:val="single" w:sz="5" w:color="D9E2EC"/>
            </w:tcBorders>
          </w:tcPr>
          <w:p>
            <w:r>
              <w:rPr>
                <w:rFonts w:ascii="Aptos" w:hAnsi="Aptos" w:eastAsia="Aptos"/>
                <w:b w:val="0"/>
                <w:color w:val="243B53"/>
                <w:sz w:val="15"/>
              </w:rPr>
              <w:t>TODO, editor note, author query, output label</w:t>
            </w:r>
          </w:p>
        </w:tc>
        <w:tc>
          <w:tcPr>
            <w:tcW w:type="dxa" w:w="3600"/>
            <w:tcMar>
              <w:top w:w="95" w:type="dxa"/>
              <w:start w:w="120" w:type="dxa"/>
              <w:bottom w:w="95" w:type="dxa"/>
              <w:end w:w="120" w:type="dxa"/>
            </w:tcMar>
            <w:shd w:fill="FFFFFF"/>
            <w:tcBorders>
              <w:top w:val="single" w:sz="5" w:color="D9E2EC"/>
              <w:left w:val="single" w:sz="5" w:color="D9E2EC"/>
              <w:bottom w:val="single" w:sz="5" w:color="D9E2EC"/>
              <w:right w:val="single" w:sz="5" w:color="D9E2EC"/>
            </w:tcBorders>
          </w:tcPr>
          <w:p>
            <w:r>
              <w:rPr>
                <w:rFonts w:ascii="Aptos" w:hAnsi="Aptos" w:eastAsia="Aptos"/>
                <w:b w:val="0"/>
                <w:color w:val="243B53"/>
                <w:sz w:val="15"/>
              </w:rPr>
              <w:t>Reader-visible manuscript only</w:t>
            </w:r>
          </w:p>
        </w:tc>
        <w:tc>
          <w:tcPr>
            <w:tcW w:type="dxa" w:w="1411"/>
            <w:tcMar>
              <w:top w:w="95" w:type="dxa"/>
              <w:start w:w="120" w:type="dxa"/>
              <w:bottom w:w="95" w:type="dxa"/>
              <w:end w:w="120" w:type="dxa"/>
            </w:tcMar>
            <w:shd w:fill="FFFFFF"/>
            <w:tcBorders>
              <w:top w:val="single" w:sz="5" w:color="D9E2EC"/>
              <w:left w:val="single" w:sz="5" w:color="D9E2EC"/>
              <w:bottom w:val="single" w:sz="5" w:color="D9E2EC"/>
              <w:right w:val="single" w:sz="5" w:color="D9E2EC"/>
            </w:tcBorders>
          </w:tcPr>
          <w:p>
            <w:pPr>
              <w:jc w:val="center"/>
            </w:pPr>
            <w:r>
              <w:rPr>
                <w:rFonts w:ascii="Aptos" w:hAnsi="Aptos" w:eastAsia="Aptos"/>
                <w:b/>
                <w:color w:val="0F766E"/>
                <w:sz w:val="15"/>
              </w:rPr>
              <w:t>Resolved</w:t>
            </w:r>
          </w:p>
        </w:tc>
      </w:tr>
    </w:tbl>
    <w:p>
      <w:pPr>
        <w:pStyle w:val="Heading2"/>
      </w:pPr>
      <w:r>
        <w:rPr>
          <w:rFonts w:ascii="Aptos" w:hAnsi="Aptos" w:eastAsia="Aptos"/>
          <w:color w:val="102A43"/>
        </w:rPr>
        <w:t>Source lock</w:t>
      </w:r>
    </w:p>
    <w:p>
      <w:pPr>
        <w:keepLines w:val="0"/>
        <w:widowControl/>
        <w:spacing w:before="0" w:after="100" w:line="259" w:lineRule="auto"/>
      </w:pPr>
      <w:r>
        <w:rPr>
          <w:rFonts w:ascii="Aptos" w:hAnsi="Aptos" w:eastAsia="Aptos"/>
          <w:b w:val="0"/>
          <w:i w:val="0"/>
          <w:color w:val="243B53"/>
          <w:sz w:val="18"/>
        </w:rPr>
        <w:t>Frozen toy inputs: 18 fictional formulations; 12 training rows; six holdout rows; one fictional preparation batch; three emulated technical wells per endpoint; no random generator; no laboratory, animal, patient, or external publication data.</w:t>
      </w:r>
    </w:p>
    <w:p>
      <w:pPr>
        <w:pStyle w:val="Heading2"/>
      </w:pPr>
      <w:r>
        <w:rPr>
          <w:rFonts w:ascii="Aptos" w:hAnsi="Aptos" w:eastAsia="Aptos"/>
          <w:color w:val="102A43"/>
        </w:rPr>
        <w:t>Permitted central claim</w:t>
      </w:r>
    </w:p>
    <w:tbl>
      <w:tblPr>
        <w:tblW w:type="auto" w:w="0"/>
        <w:jc w:val="center"/>
        <w:tblLook w:firstColumn="1" w:firstRow="1" w:lastColumn="0" w:lastRow="0" w:noHBand="0" w:noVBand="1" w:val="04A0"/>
      </w:tblPr>
      <w:tblGrid>
        <w:gridCol w:w="10166"/>
      </w:tblGrid>
      <w:tr>
        <w:tc>
          <w:tcPr>
            <w:tcW w:type="dxa" w:w="10166"/>
            <w:shd w:fill="E6F4F1"/>
            <w:tcBorders>
              <w:left w:val="single" w:sz="12" w:color="0F766E"/>
            </w:tcBorders>
            <w:tcMar>
              <w:top w:w="130" w:type="dxa"/>
              <w:start w:w="190" w:type="dxa"/>
              <w:bottom w:w="130" w:type="dxa"/>
              <w:end w:w="170" w:type="dxa"/>
            </w:tcMar>
          </w:tcPr>
          <w:p>
            <w:r>
              <w:rPr>
                <w:rFonts w:ascii="Aptos" w:hAnsi="Aptos" w:eastAsia="Aptos"/>
                <w:b/>
                <w:color w:val="0F766E"/>
                <w:sz w:val="20"/>
              </w:rPr>
              <w:t>A transparent ridge model retrospectively ranked six held-out synthetic rows under a toy viability constraint; this fixture demonstrates reporting discipline, not material discovery or biological performance.</w:t>
            </w:r>
          </w:p>
        </w:tc>
      </w:tr>
    </w:tbl>
    <w:p>
      <w:pPr>
        <w:pStyle w:val="Heading2"/>
      </w:pPr>
      <w:r>
        <w:rPr>
          <w:rFonts w:ascii="Aptos" w:hAnsi="Aptos" w:eastAsia="Aptos"/>
          <w:color w:val="102A43"/>
        </w:rPr>
        <w:t>What remains unresolved in a real study</w:t>
      </w:r>
    </w:p>
    <w:p>
      <w:pPr>
        <w:keepLines w:val="0"/>
        <w:widowControl/>
        <w:spacing w:before="0" w:after="0" w:line="259" w:lineRule="auto"/>
      </w:pPr>
      <w:r>
        <w:rPr>
          <w:rFonts w:ascii="Aptos" w:hAnsi="Aptos" w:eastAsia="Aptos"/>
          <w:b w:val="0"/>
          <w:i w:val="0"/>
          <w:color w:val="243B53"/>
          <w:sz w:val="18"/>
        </w:rPr>
        <w:t>Independent synthesis batches, blinded outcome measurement, biological-replicate uncertainty, an appropriate antimicrobial comparator, prospective model-guided selection, mechanism testing, organism-level tolerability, and clinical relevance.</w:t>
      </w:r>
    </w:p>
    <w:p>
      <w:r>
        <w:br w:type="page"/>
      </w:r>
    </w:p>
    <w:p>
      <w:pPr>
        <w:keepNext/>
        <w:keepLines w:val="0"/>
        <w:widowControl/>
        <w:spacing w:before="40" w:after="60" w:line="259" w:lineRule="auto"/>
      </w:pPr>
      <w:r>
        <w:rPr>
          <w:rFonts w:ascii="Aptos" w:hAnsi="Aptos" w:eastAsia="Aptos"/>
          <w:b/>
          <w:caps/>
          <w:color w:val="0F766E"/>
          <w:sz w:val="16"/>
        </w:rPr>
        <w:t>AFTER · EVIDENCE-BOUNDED MANUSCRIPT</w:t>
      </w:r>
    </w:p>
    <w:p>
      <w:pPr>
        <w:pStyle w:val="Heading1"/>
      </w:pPr>
      <w:r>
        <w:rPr>
          <w:rFonts w:ascii="Aptos" w:hAnsi="Aptos" w:eastAsia="Aptos"/>
          <w:color w:val="0F766E"/>
        </w:rPr>
        <w:t>Retrospective ranking of a synthetic antimicrobial hydrogel panel under single-batch in vitro constraints</w:t>
      </w:r>
    </w:p>
    <w:p>
      <w:pPr>
        <w:pStyle w:val="DemoLabel"/>
        <w:keepLines w:val="0"/>
        <w:widowControl/>
        <w:spacing w:before="0" w:after="140" w:line="259" w:lineRule="auto"/>
      </w:pPr>
      <w:r>
        <w:rPr>
          <w:rFonts w:ascii="Aptos" w:hAnsi="Aptos" w:eastAsia="Aptos"/>
          <w:b/>
          <w:i w:val="0"/>
          <w:color w:val="B42318"/>
          <w:sz w:val="16"/>
        </w:rPr>
        <w:t>FULLY SYNTHETIC — all values and placeholder references are invented for software demonstration.</w:t>
      </w:r>
    </w:p>
    <w:p>
      <w:pPr>
        <w:pStyle w:val="Heading2"/>
      </w:pPr>
      <w:r>
        <w:rPr>
          <w:rFonts w:ascii="Aptos" w:hAnsi="Aptos" w:eastAsia="Aptos"/>
          <w:color w:val="0F766E"/>
        </w:rPr>
        <w:t>Abstract</w:t>
      </w:r>
    </w:p>
    <w:p>
      <w:pPr>
        <w:keepLines w:val="0"/>
        <w:widowControl/>
        <w:spacing w:before="0" w:after="100" w:line="259" w:lineRule="auto"/>
      </w:pPr>
      <w:r>
        <w:rPr>
          <w:rFonts w:ascii="Aptos" w:hAnsi="Aptos" w:eastAsia="Aptos"/>
          <w:b w:val="0"/>
          <w:i w:val="0"/>
          <w:color w:val="243B53"/>
          <w:sz w:val="18"/>
        </w:rPr>
        <w:t>A frozen toy dataset was used to test whether a transparent ranking model could prioritize hydrogel formulations while preserving the limits of the supplied evidence. Ridge regressions trained on 12 synthetic formulations ranked six held-out formulations by predicted bacterial-signal reduction, subject to predicted fibroblast viability of at least 85%. H-07 ranked first, with predicted values of 67.6% reduction and 91.1% viability; its frozen holdout values were 78.4% and 90.3%, respectively. These values emulate technical-well means from one synthetic batch. They illustrate retrospective ranking within this fixture, not material discovery, biological replication, safety, efficacy, mechanism, or clinical performance.</w:t>
      </w:r>
    </w:p>
    <w:p>
      <w:pPr>
        <w:pStyle w:val="Heading2"/>
      </w:pPr>
      <w:r>
        <w:rPr>
          <w:rFonts w:ascii="Aptos" w:hAnsi="Aptos" w:eastAsia="Aptos"/>
          <w:color w:val="0F766E"/>
        </w:rPr>
        <w:t>Methods</w:t>
      </w:r>
    </w:p>
    <w:p>
      <w:pPr>
        <w:pStyle w:val="Heading3"/>
      </w:pPr>
      <w:r>
        <w:rPr>
          <w:rFonts w:ascii="Aptos" w:hAnsi="Aptos" w:eastAsia="Aptos"/>
          <w:color w:val="0F766E"/>
        </w:rPr>
        <w:t>Synthetic source and split</w:t>
      </w:r>
    </w:p>
    <w:p>
      <w:pPr>
        <w:keepLines w:val="0"/>
        <w:widowControl/>
        <w:spacing w:before="0" w:after="100" w:line="259" w:lineRule="auto"/>
      </w:pPr>
      <w:r>
        <w:rPr>
          <w:rFonts w:ascii="Aptos" w:hAnsi="Aptos" w:eastAsia="Aptos"/>
          <w:b w:val="0"/>
          <w:i w:val="0"/>
          <w:color w:val="243B53"/>
          <w:sz w:val="18"/>
        </w:rPr>
        <w:t>The dataset contains 18 fictional formulations generated by the deterministic rules in reproduce_demo.py and frozen in synthetic_data.csv [1]. No observation came from a laboratory, animal, patient, or external publication. The split was fixed before model fitting: 12 rows were assigned to training and six to holdout evaluation. Each endpoint emulates the mean of three technical wells from one fictional preparation batch; technical wells are not independent biological replicates.</w:t>
      </w:r>
    </w:p>
    <w:p>
      <w:pPr>
        <w:pStyle w:val="Heading3"/>
      </w:pPr>
      <w:r>
        <w:rPr>
          <w:rFonts w:ascii="Aptos" w:hAnsi="Aptos" w:eastAsia="Aptos"/>
          <w:color w:val="0F766E"/>
        </w:rPr>
        <w:t>Retrospective model and selection rule</w:t>
      </w:r>
    </w:p>
    <w:p>
      <w:pPr>
        <w:keepLines w:val="0"/>
        <w:widowControl/>
        <w:spacing w:before="0" w:after="100" w:line="259" w:lineRule="auto"/>
      </w:pPr>
      <w:r>
        <w:rPr>
          <w:rFonts w:ascii="Aptos" w:hAnsi="Aptos" w:eastAsia="Aptos"/>
          <w:b w:val="0"/>
          <w:i w:val="0"/>
          <w:color w:val="243B53"/>
          <w:sz w:val="18"/>
        </w:rPr>
        <w:t>Separate ridge regressions predicted bacterial-signal reduction and fibroblast viability from crosslinker percentage, peptide concentration, and porogen fraction. The intercept was unpenalized, all other coefficients used an L2 penalty of 1.0, and no feature scaling or hyperparameter search was performed [2]. Holdout formulations were ranked by predicted reduction after excluding any with predicted viability below 85%. This threshold is a toy selection constraint, not a biological or regulatory safety criterion. The model did not choose a subsequent experiment, and no result was returned to the model; the workflow is therefore retrospective rather than closed loop.</w:t>
      </w:r>
    </w:p>
    <w:p>
      <w:pPr>
        <w:pStyle w:val="Heading3"/>
      </w:pPr>
      <w:r>
        <w:rPr>
          <w:rFonts w:ascii="Aptos" w:hAnsi="Aptos" w:eastAsia="Aptos"/>
          <w:color w:val="0F766E"/>
        </w:rPr>
        <w:t>Reporting limits</w:t>
      </w:r>
    </w:p>
    <w:p>
      <w:pPr>
        <w:keepLines w:val="0"/>
        <w:widowControl/>
        <w:spacing w:before="0" w:after="100" w:line="259" w:lineRule="auto"/>
      </w:pPr>
      <w:r>
        <w:rPr>
          <w:rFonts w:ascii="Aptos" w:hAnsi="Aptos" w:eastAsia="Aptos"/>
          <w:b w:val="0"/>
          <w:i w:val="0"/>
          <w:color w:val="243B53"/>
          <w:sz w:val="18"/>
        </w:rPr>
        <w:t>Results are descriptive. Because the fixture contains one synthetic batch and no well-level dispersion, it does not support variance estimates, hypothesis tests, confidence intervals, batch-to-batch reproducibility, or causal inference. The report separates predicted values from frozen outcomes and retains these limits next to each inference [3].</w:t>
      </w:r>
    </w:p>
    <w:p>
      <w:r>
        <w:br w:type="page"/>
      </w:r>
    </w:p>
    <w:p>
      <w:pPr>
        <w:keepNext/>
        <w:keepLines w:val="0"/>
        <w:widowControl/>
        <w:spacing w:before="40" w:after="60" w:line="259" w:lineRule="auto"/>
      </w:pPr>
      <w:r>
        <w:rPr>
          <w:rFonts w:ascii="Aptos" w:hAnsi="Aptos" w:eastAsia="Aptos"/>
          <w:b/>
          <w:caps/>
          <w:color w:val="0F766E"/>
          <w:sz w:val="16"/>
        </w:rPr>
        <w:t>AFTER · RESULTS AND VISUAL EVIDENCE</w:t>
      </w:r>
    </w:p>
    <w:p>
      <w:pPr>
        <w:pStyle w:val="Heading1"/>
      </w:pPr>
      <w:r>
        <w:rPr>
          <w:rFonts w:ascii="Aptos" w:hAnsi="Aptos" w:eastAsia="Aptos"/>
          <w:color w:val="0F766E"/>
        </w:rPr>
        <w:t>Results</w:t>
      </w:r>
    </w:p>
    <w:p>
      <w:pPr>
        <w:keepLines w:val="0"/>
        <w:widowControl/>
        <w:spacing w:before="0" w:after="100" w:line="259" w:lineRule="auto"/>
      </w:pPr>
      <w:r>
        <w:rPr>
          <w:rFonts w:ascii="Aptos" w:hAnsi="Aptos" w:eastAsia="Aptos"/>
          <w:b w:val="0"/>
          <w:i w:val="0"/>
          <w:color w:val="243B53"/>
          <w:sz w:val="18"/>
        </w:rPr>
        <w:t>All six holdout formulations satisfied the toy predicted-viability constraint. H-07 ranked first, with predicted bacterial-signal reduction of 67.6% and predicted viability of 91.1%; its frozen outcomes were 78.4% reduction and 90.3% viability [1,2]. The peptide-free holdout formulation H-18 had frozen values of 18.4% and 98.0%, respectively [1]. Figure 1 displays predicted and frozen bacterial-signal reduction for the six holdout formulations. These descriptive differences apply only to the fixed synthetic rows and do not establish superiority in an independent experiment.</w:t>
      </w:r>
    </w:p>
    <w:p>
      <w:pPr>
        <w:keepLines w:val="0"/>
        <w:widowControl/>
        <w:spacing w:before="0" w:after="100" w:line="259" w:lineRule="auto"/>
      </w:pPr>
      <w:r>
        <w:rPr>
          <w:rFonts w:ascii="Aptos" w:hAnsi="Aptos" w:eastAsia="Aptos"/>
          <w:b w:val="0"/>
          <w:i w:val="0"/>
          <w:color w:val="243B53"/>
          <w:sz w:val="18"/>
        </w:rPr>
        <w:t>Table 1 summarizes the selected formulation and the peptide-free holdout comparator without converting the toy viability threshold into a safety claim.</w:t>
      </w:r>
    </w:p>
    <w:p>
      <w:pPr>
        <w:keepLines w:val="0"/>
        <w:widowControl/>
        <w:spacing w:before="40" w:after="40" w:line="259" w:lineRule="auto"/>
        <w:jc w:val="center"/>
      </w:pPr>
      <w:r>
        <w:drawing>
          <wp:inline xmlns:a="http://schemas.openxmlformats.org/drawingml/2006/main" xmlns:pic="http://schemas.openxmlformats.org/drawingml/2006/picture">
            <wp:extent cx="5989320" cy="3460496"/>
            <wp:docPr id="1" name="Picture 1" descr="Predicted and frozen bacterial-signal reduction for six fully synthetic holdout formulations; circles are predictions and squares are frozen toy outcomes."/>
            <wp:cNvGraphicFramePr>
              <a:graphicFrameLocks noChangeAspect="1"/>
            </wp:cNvGraphicFramePr>
            <a:graphic>
              <a:graphicData uri="http://schemas.openxmlformats.org/drawingml/2006/picture">
                <pic:pic>
                  <pic:nvPicPr>
                    <pic:cNvPr id="0" name="figure-1.png"/>
                    <pic:cNvPicPr/>
                  </pic:nvPicPr>
                  <pic:blipFill>
                    <a:blip r:embed="rId11"/>
                    <a:stretch>
                      <a:fillRect/>
                    </a:stretch>
                  </pic:blipFill>
                  <pic:spPr>
                    <a:xfrm>
                      <a:off x="0" y="0"/>
                      <a:ext cx="5989320" cy="3460496"/>
                    </a:xfrm>
                    <a:prstGeom prst="rect"/>
                  </pic:spPr>
                </pic:pic>
              </a:graphicData>
            </a:graphic>
          </wp:inline>
        </w:drawing>
      </w:r>
    </w:p>
    <w:p>
      <w:pPr>
        <w:pStyle w:val="Caption"/>
        <w:keepNext/>
        <w:jc w:val="left"/>
      </w:pPr>
      <w:r>
        <w:rPr>
          <w:rFonts w:ascii="Aptos" w:hAnsi="Aptos" w:eastAsia="Aptos"/>
          <w:color w:val="627D98"/>
          <w:sz w:val="16"/>
        </w:rPr>
        <w:t>Figure 1 | Predicted and frozen bacterial-signal reduction in six held-out synthetic formulations. Shape supplements color; no uncertainty is shown because independent replicate data do not exist.</w:t>
      </w:r>
    </w:p>
    <w:p>
      <w:pPr>
        <w:pStyle w:val="Caption"/>
        <w:keepLines w:val="0"/>
        <w:widowControl/>
        <w:spacing w:before="0" w:after="60" w:line="259" w:lineRule="auto"/>
      </w:pPr>
      <w:r>
        <w:rPr>
          <w:rFonts w:ascii="Aptos" w:hAnsi="Aptos" w:eastAsia="Aptos"/>
          <w:b w:val="0"/>
          <w:i w:val="0"/>
          <w:color w:val="627D98"/>
          <w:sz w:val="16"/>
        </w:rPr>
        <w:t>Table 1 | Retrospective ranking outputs and frozen synthetic outcomes for H-07 and H-18.</w:t>
      </w:r>
    </w:p>
    <w:tbl>
      <w:tblPr>
        <w:tblW w:type="auto" w:w="0"/>
        <w:jc w:val="center"/>
        <w:tblLayout w:type="fixed"/>
        <w:tblLook w:firstColumn="1" w:firstRow="1" w:lastColumn="0" w:lastRow="0" w:noHBand="0" w:noVBand="1" w:val="04A0"/>
      </w:tblPr>
      <w:tblGrid>
        <w:gridCol w:w="1694"/>
        <w:gridCol w:w="1694"/>
        <w:gridCol w:w="1694"/>
        <w:gridCol w:w="1694"/>
        <w:gridCol w:w="1694"/>
        <w:gridCol w:w="1694"/>
      </w:tblGrid>
      <w:tr>
        <w:trPr>
          <w:tblHeader w:val="true"/>
        </w:trPr>
        <w:tc>
          <w:tcPr>
            <w:tcW w:type="dxa" w:w="1152"/>
            <w:shd w:fill="102A43"/>
            <w:tcMar>
              <w:top w:w="80" w:type="dxa"/>
              <w:start w:w="65" w:type="dxa"/>
              <w:bottom w:w="80" w:type="dxa"/>
              <w:end w:w="65" w:type="dxa"/>
            </w:tcMar>
          </w:tcPr>
          <w:p>
            <w:pPr>
              <w:jc w:val="center"/>
            </w:pPr>
            <w:r>
              <w:rPr>
                <w:rFonts w:ascii="Aptos" w:hAnsi="Aptos" w:eastAsia="Aptos"/>
                <w:b/>
                <w:color w:val="FFFFFF"/>
                <w:sz w:val="14"/>
              </w:rPr>
              <w:t>Formulation</w:t>
            </w:r>
          </w:p>
        </w:tc>
        <w:tc>
          <w:tcPr>
            <w:tcW w:type="dxa" w:w="1210"/>
            <w:shd w:fill="102A43"/>
            <w:tcMar>
              <w:top w:w="80" w:type="dxa"/>
              <w:start w:w="65" w:type="dxa"/>
              <w:bottom w:w="80" w:type="dxa"/>
              <w:end w:w="65" w:type="dxa"/>
            </w:tcMar>
          </w:tcPr>
          <w:p>
            <w:pPr>
              <w:jc w:val="center"/>
            </w:pPr>
            <w:r>
              <w:rPr>
                <w:rFonts w:ascii="Aptos" w:hAnsi="Aptos" w:eastAsia="Aptos"/>
                <w:b/>
                <w:color w:val="FFFFFF"/>
                <w:sz w:val="14"/>
              </w:rPr>
              <w:t>Pred. reduction</w:t>
            </w:r>
          </w:p>
        </w:tc>
        <w:tc>
          <w:tcPr>
            <w:tcW w:type="dxa" w:w="1210"/>
            <w:shd w:fill="102A43"/>
            <w:tcMar>
              <w:top w:w="80" w:type="dxa"/>
              <w:start w:w="65" w:type="dxa"/>
              <w:bottom w:w="80" w:type="dxa"/>
              <w:end w:w="65" w:type="dxa"/>
            </w:tcMar>
          </w:tcPr>
          <w:p>
            <w:pPr>
              <w:jc w:val="center"/>
            </w:pPr>
            <w:r>
              <w:rPr>
                <w:rFonts w:ascii="Aptos" w:hAnsi="Aptos" w:eastAsia="Aptos"/>
                <w:b/>
                <w:color w:val="FFFFFF"/>
                <w:sz w:val="14"/>
              </w:rPr>
              <w:t>Pred. viability</w:t>
            </w:r>
          </w:p>
        </w:tc>
        <w:tc>
          <w:tcPr>
            <w:tcW w:type="dxa" w:w="1210"/>
            <w:shd w:fill="102A43"/>
            <w:tcMar>
              <w:top w:w="80" w:type="dxa"/>
              <w:start w:w="65" w:type="dxa"/>
              <w:bottom w:w="80" w:type="dxa"/>
              <w:end w:w="65" w:type="dxa"/>
            </w:tcMar>
          </w:tcPr>
          <w:p>
            <w:pPr>
              <w:jc w:val="center"/>
            </w:pPr>
            <w:r>
              <w:rPr>
                <w:rFonts w:ascii="Aptos" w:hAnsi="Aptos" w:eastAsia="Aptos"/>
                <w:b/>
                <w:color w:val="FFFFFF"/>
                <w:sz w:val="14"/>
              </w:rPr>
              <w:t>Frozen reduction</w:t>
            </w:r>
          </w:p>
        </w:tc>
        <w:tc>
          <w:tcPr>
            <w:tcW w:type="dxa" w:w="1210"/>
            <w:shd w:fill="102A43"/>
            <w:tcMar>
              <w:top w:w="80" w:type="dxa"/>
              <w:start w:w="65" w:type="dxa"/>
              <w:bottom w:w="80" w:type="dxa"/>
              <w:end w:w="65" w:type="dxa"/>
            </w:tcMar>
          </w:tcPr>
          <w:p>
            <w:pPr>
              <w:jc w:val="center"/>
            </w:pPr>
            <w:r>
              <w:rPr>
                <w:rFonts w:ascii="Aptos" w:hAnsi="Aptos" w:eastAsia="Aptos"/>
                <w:b/>
                <w:color w:val="FFFFFF"/>
                <w:sz w:val="14"/>
              </w:rPr>
              <w:t>Frozen viability</w:t>
            </w:r>
          </w:p>
        </w:tc>
        <w:tc>
          <w:tcPr>
            <w:tcW w:type="dxa" w:w="3960"/>
            <w:shd w:fill="102A43"/>
            <w:tcMar>
              <w:top w:w="80" w:type="dxa"/>
              <w:start w:w="65" w:type="dxa"/>
              <w:bottom w:w="80" w:type="dxa"/>
              <w:end w:w="65" w:type="dxa"/>
            </w:tcMar>
          </w:tcPr>
          <w:p>
            <w:pPr>
              <w:jc w:val="center"/>
            </w:pPr>
            <w:r>
              <w:rPr>
                <w:rFonts w:ascii="Aptos" w:hAnsi="Aptos" w:eastAsia="Aptos"/>
                <w:b/>
                <w:color w:val="FFFFFF"/>
                <w:sz w:val="14"/>
              </w:rPr>
              <w:t>Permitted interpretation</w:t>
            </w:r>
          </w:p>
        </w:tc>
      </w:tr>
      <w:tr>
        <w:trPr>
          <w:cantSplit/>
        </w:trPr>
        <w:tc>
          <w:tcPr>
            <w:tcW w:type="dxa" w:w="1152"/>
            <w:tcMar>
              <w:top w:w="75" w:type="dxa"/>
              <w:start w:w="60" w:type="dxa"/>
              <w:bottom w:w="75" w:type="dxa"/>
              <w:end w:w="60" w:type="dxa"/>
            </w:tcMar>
            <w:shd w:fill="FFFFFF"/>
            <w:tcBorders>
              <w:top w:val="single" w:sz="5" w:color="CBD5E1"/>
              <w:left w:val="single" w:sz="5" w:color="CBD5E1"/>
              <w:bottom w:val="single" w:sz="5" w:color="CBD5E1"/>
              <w:right w:val="single" w:sz="5" w:color="CBD5E1"/>
            </w:tcBorders>
          </w:tcPr>
          <w:p>
            <w:pPr>
              <w:jc w:val="center"/>
            </w:pPr>
            <w:r>
              <w:rPr>
                <w:rFonts w:ascii="Aptos" w:hAnsi="Aptos" w:eastAsia="Aptos"/>
                <w:b/>
                <w:color w:val="243B53"/>
                <w:sz w:val="14"/>
              </w:rPr>
              <w:t>H-07</w:t>
            </w:r>
          </w:p>
        </w:tc>
        <w:tc>
          <w:tcPr>
            <w:tcW w:type="dxa" w:w="1210"/>
            <w:tcMar>
              <w:top w:w="75" w:type="dxa"/>
              <w:start w:w="60" w:type="dxa"/>
              <w:bottom w:w="75" w:type="dxa"/>
              <w:end w:w="60" w:type="dxa"/>
            </w:tcMar>
            <w:shd w:fill="FFFFFF"/>
            <w:tcBorders>
              <w:top w:val="single" w:sz="5" w:color="CBD5E1"/>
              <w:left w:val="single" w:sz="5" w:color="CBD5E1"/>
              <w:bottom w:val="single" w:sz="5" w:color="CBD5E1"/>
              <w:right w:val="single" w:sz="5" w:color="CBD5E1"/>
            </w:tcBorders>
          </w:tcPr>
          <w:p>
            <w:pPr>
              <w:jc w:val="center"/>
            </w:pPr>
            <w:r>
              <w:rPr>
                <w:rFonts w:ascii="Aptos" w:hAnsi="Aptos" w:eastAsia="Aptos"/>
                <w:b w:val="0"/>
                <w:color w:val="243B53"/>
                <w:sz w:val="14"/>
              </w:rPr>
              <w:t>67.6%</w:t>
            </w:r>
          </w:p>
        </w:tc>
        <w:tc>
          <w:tcPr>
            <w:tcW w:type="dxa" w:w="1210"/>
            <w:tcMar>
              <w:top w:w="75" w:type="dxa"/>
              <w:start w:w="60" w:type="dxa"/>
              <w:bottom w:w="75" w:type="dxa"/>
              <w:end w:w="60" w:type="dxa"/>
            </w:tcMar>
            <w:shd w:fill="FFFFFF"/>
            <w:tcBorders>
              <w:top w:val="single" w:sz="5" w:color="CBD5E1"/>
              <w:left w:val="single" w:sz="5" w:color="CBD5E1"/>
              <w:bottom w:val="single" w:sz="5" w:color="CBD5E1"/>
              <w:right w:val="single" w:sz="5" w:color="CBD5E1"/>
            </w:tcBorders>
          </w:tcPr>
          <w:p>
            <w:pPr>
              <w:jc w:val="center"/>
            </w:pPr>
            <w:r>
              <w:rPr>
                <w:rFonts w:ascii="Aptos" w:hAnsi="Aptos" w:eastAsia="Aptos"/>
                <w:b w:val="0"/>
                <w:color w:val="243B53"/>
                <w:sz w:val="14"/>
              </w:rPr>
              <w:t>91.1%</w:t>
            </w:r>
          </w:p>
        </w:tc>
        <w:tc>
          <w:tcPr>
            <w:tcW w:type="dxa" w:w="1210"/>
            <w:tcMar>
              <w:top w:w="75" w:type="dxa"/>
              <w:start w:w="60" w:type="dxa"/>
              <w:bottom w:w="75" w:type="dxa"/>
              <w:end w:w="60" w:type="dxa"/>
            </w:tcMar>
            <w:shd w:fill="FFFFFF"/>
            <w:tcBorders>
              <w:top w:val="single" w:sz="5" w:color="CBD5E1"/>
              <w:left w:val="single" w:sz="5" w:color="CBD5E1"/>
              <w:bottom w:val="single" w:sz="5" w:color="CBD5E1"/>
              <w:right w:val="single" w:sz="5" w:color="CBD5E1"/>
            </w:tcBorders>
          </w:tcPr>
          <w:p>
            <w:pPr>
              <w:jc w:val="center"/>
            </w:pPr>
            <w:r>
              <w:rPr>
                <w:rFonts w:ascii="Aptos" w:hAnsi="Aptos" w:eastAsia="Aptos"/>
                <w:b w:val="0"/>
                <w:color w:val="243B53"/>
                <w:sz w:val="14"/>
              </w:rPr>
              <w:t>78.4%</w:t>
            </w:r>
          </w:p>
        </w:tc>
        <w:tc>
          <w:tcPr>
            <w:tcW w:type="dxa" w:w="1210"/>
            <w:tcMar>
              <w:top w:w="75" w:type="dxa"/>
              <w:start w:w="60" w:type="dxa"/>
              <w:bottom w:w="75" w:type="dxa"/>
              <w:end w:w="60" w:type="dxa"/>
            </w:tcMar>
            <w:shd w:fill="FFFFFF"/>
            <w:tcBorders>
              <w:top w:val="single" w:sz="5" w:color="CBD5E1"/>
              <w:left w:val="single" w:sz="5" w:color="CBD5E1"/>
              <w:bottom w:val="single" w:sz="5" w:color="CBD5E1"/>
              <w:right w:val="single" w:sz="5" w:color="CBD5E1"/>
            </w:tcBorders>
          </w:tcPr>
          <w:p>
            <w:pPr>
              <w:jc w:val="center"/>
            </w:pPr>
            <w:r>
              <w:rPr>
                <w:rFonts w:ascii="Aptos" w:hAnsi="Aptos" w:eastAsia="Aptos"/>
                <w:b w:val="0"/>
                <w:color w:val="243B53"/>
                <w:sz w:val="14"/>
              </w:rPr>
              <w:t>90.3%</w:t>
            </w:r>
          </w:p>
        </w:tc>
        <w:tc>
          <w:tcPr>
            <w:tcW w:type="dxa" w:w="3960"/>
            <w:tcMar>
              <w:top w:w="75" w:type="dxa"/>
              <w:start w:w="60" w:type="dxa"/>
              <w:bottom w:w="75" w:type="dxa"/>
              <w:end w:w="60" w:type="dxa"/>
            </w:tcMar>
            <w:shd w:fill="FFFFFF"/>
            <w:tcBorders>
              <w:top w:val="single" w:sz="5" w:color="CBD5E1"/>
              <w:left w:val="single" w:sz="5" w:color="CBD5E1"/>
              <w:bottom w:val="single" w:sz="5" w:color="CBD5E1"/>
              <w:right w:val="single" w:sz="5" w:color="CBD5E1"/>
            </w:tcBorders>
          </w:tcPr>
          <w:p>
            <w:r>
              <w:rPr>
                <w:rFonts w:ascii="Aptos" w:hAnsi="Aptos" w:eastAsia="Aptos"/>
                <w:b w:val="0"/>
                <w:color w:val="243B53"/>
                <w:sz w:val="14"/>
              </w:rPr>
              <w:t>First-ranked holdout row under the toy rule</w:t>
            </w:r>
          </w:p>
        </w:tc>
      </w:tr>
      <w:tr>
        <w:trPr>
          <w:cantSplit/>
        </w:trPr>
        <w:tc>
          <w:tcPr>
            <w:tcW w:type="dxa" w:w="1152"/>
            <w:tcMar>
              <w:top w:w="75" w:type="dxa"/>
              <w:start w:w="60" w:type="dxa"/>
              <w:bottom w:w="75" w:type="dxa"/>
              <w:end w:w="60" w:type="dxa"/>
            </w:tcMar>
            <w:shd w:fill="F4F7FA"/>
            <w:tcBorders>
              <w:top w:val="single" w:sz="5" w:color="CBD5E1"/>
              <w:left w:val="single" w:sz="5" w:color="CBD5E1"/>
              <w:bottom w:val="single" w:sz="5" w:color="CBD5E1"/>
              <w:right w:val="single" w:sz="5" w:color="CBD5E1"/>
            </w:tcBorders>
          </w:tcPr>
          <w:p>
            <w:pPr>
              <w:jc w:val="center"/>
            </w:pPr>
            <w:r>
              <w:rPr>
                <w:rFonts w:ascii="Aptos" w:hAnsi="Aptos" w:eastAsia="Aptos"/>
                <w:b/>
                <w:color w:val="243B53"/>
                <w:sz w:val="14"/>
              </w:rPr>
              <w:t>H-18</w:t>
            </w:r>
          </w:p>
        </w:tc>
        <w:tc>
          <w:tcPr>
            <w:tcW w:type="dxa" w:w="1210"/>
            <w:tcMar>
              <w:top w:w="75" w:type="dxa"/>
              <w:start w:w="60" w:type="dxa"/>
              <w:bottom w:w="75" w:type="dxa"/>
              <w:end w:w="60" w:type="dxa"/>
            </w:tcMar>
            <w:shd w:fill="F4F7FA"/>
            <w:tcBorders>
              <w:top w:val="single" w:sz="5" w:color="CBD5E1"/>
              <w:left w:val="single" w:sz="5" w:color="CBD5E1"/>
              <w:bottom w:val="single" w:sz="5" w:color="CBD5E1"/>
              <w:right w:val="single" w:sz="5" w:color="CBD5E1"/>
            </w:tcBorders>
          </w:tcPr>
          <w:p>
            <w:pPr>
              <w:jc w:val="center"/>
            </w:pPr>
            <w:r>
              <w:rPr>
                <w:rFonts w:ascii="Aptos" w:hAnsi="Aptos" w:eastAsia="Aptos"/>
                <w:b w:val="0"/>
                <w:color w:val="243B53"/>
                <w:sz w:val="14"/>
              </w:rPr>
              <w:t>27.0%</w:t>
            </w:r>
          </w:p>
        </w:tc>
        <w:tc>
          <w:tcPr>
            <w:tcW w:type="dxa" w:w="1210"/>
            <w:tcMar>
              <w:top w:w="75" w:type="dxa"/>
              <w:start w:w="60" w:type="dxa"/>
              <w:bottom w:w="75" w:type="dxa"/>
              <w:end w:w="60" w:type="dxa"/>
            </w:tcMar>
            <w:shd w:fill="F4F7FA"/>
            <w:tcBorders>
              <w:top w:val="single" w:sz="5" w:color="CBD5E1"/>
              <w:left w:val="single" w:sz="5" w:color="CBD5E1"/>
              <w:bottom w:val="single" w:sz="5" w:color="CBD5E1"/>
              <w:right w:val="single" w:sz="5" w:color="CBD5E1"/>
            </w:tcBorders>
          </w:tcPr>
          <w:p>
            <w:pPr>
              <w:jc w:val="center"/>
            </w:pPr>
            <w:r>
              <w:rPr>
                <w:rFonts w:ascii="Aptos" w:hAnsi="Aptos" w:eastAsia="Aptos"/>
                <w:b w:val="0"/>
                <w:color w:val="243B53"/>
                <w:sz w:val="14"/>
              </w:rPr>
              <w:t>96.3%</w:t>
            </w:r>
          </w:p>
        </w:tc>
        <w:tc>
          <w:tcPr>
            <w:tcW w:type="dxa" w:w="1210"/>
            <w:tcMar>
              <w:top w:w="75" w:type="dxa"/>
              <w:start w:w="60" w:type="dxa"/>
              <w:bottom w:w="75" w:type="dxa"/>
              <w:end w:w="60" w:type="dxa"/>
            </w:tcMar>
            <w:shd w:fill="F4F7FA"/>
            <w:tcBorders>
              <w:top w:val="single" w:sz="5" w:color="CBD5E1"/>
              <w:left w:val="single" w:sz="5" w:color="CBD5E1"/>
              <w:bottom w:val="single" w:sz="5" w:color="CBD5E1"/>
              <w:right w:val="single" w:sz="5" w:color="CBD5E1"/>
            </w:tcBorders>
          </w:tcPr>
          <w:p>
            <w:pPr>
              <w:jc w:val="center"/>
            </w:pPr>
            <w:r>
              <w:rPr>
                <w:rFonts w:ascii="Aptos" w:hAnsi="Aptos" w:eastAsia="Aptos"/>
                <w:b w:val="0"/>
                <w:color w:val="243B53"/>
                <w:sz w:val="14"/>
              </w:rPr>
              <w:t>18.4%</w:t>
            </w:r>
          </w:p>
        </w:tc>
        <w:tc>
          <w:tcPr>
            <w:tcW w:type="dxa" w:w="1210"/>
            <w:tcMar>
              <w:top w:w="75" w:type="dxa"/>
              <w:start w:w="60" w:type="dxa"/>
              <w:bottom w:w="75" w:type="dxa"/>
              <w:end w:w="60" w:type="dxa"/>
            </w:tcMar>
            <w:shd w:fill="F4F7FA"/>
            <w:tcBorders>
              <w:top w:val="single" w:sz="5" w:color="CBD5E1"/>
              <w:left w:val="single" w:sz="5" w:color="CBD5E1"/>
              <w:bottom w:val="single" w:sz="5" w:color="CBD5E1"/>
              <w:right w:val="single" w:sz="5" w:color="CBD5E1"/>
            </w:tcBorders>
          </w:tcPr>
          <w:p>
            <w:pPr>
              <w:jc w:val="center"/>
            </w:pPr>
            <w:r>
              <w:rPr>
                <w:rFonts w:ascii="Aptos" w:hAnsi="Aptos" w:eastAsia="Aptos"/>
                <w:b w:val="0"/>
                <w:color w:val="243B53"/>
                <w:sz w:val="14"/>
              </w:rPr>
              <w:t>98.0%</w:t>
            </w:r>
          </w:p>
        </w:tc>
        <w:tc>
          <w:tcPr>
            <w:tcW w:type="dxa" w:w="3960"/>
            <w:tcMar>
              <w:top w:w="75" w:type="dxa"/>
              <w:start w:w="60" w:type="dxa"/>
              <w:bottom w:w="75" w:type="dxa"/>
              <w:end w:w="60" w:type="dxa"/>
            </w:tcMar>
            <w:shd w:fill="F4F7FA"/>
            <w:tcBorders>
              <w:top w:val="single" w:sz="5" w:color="CBD5E1"/>
              <w:left w:val="single" w:sz="5" w:color="CBD5E1"/>
              <w:bottom w:val="single" w:sz="5" w:color="CBD5E1"/>
              <w:right w:val="single" w:sz="5" w:color="CBD5E1"/>
            </w:tcBorders>
          </w:tcPr>
          <w:p>
            <w:r>
              <w:rPr>
                <w:rFonts w:ascii="Aptos" w:hAnsi="Aptos" w:eastAsia="Aptos"/>
                <w:b w:val="0"/>
                <w:color w:val="243B53"/>
                <w:sz w:val="14"/>
              </w:rPr>
              <w:t>Peptide-free holdout comparator</w:t>
            </w:r>
          </w:p>
        </w:tc>
      </w:tr>
    </w:tbl>
    <w:p>
      <w:r>
        <w:br w:type="page"/>
      </w:r>
    </w:p>
    <w:p>
      <w:pPr>
        <w:keepNext/>
        <w:keepLines w:val="0"/>
        <w:widowControl/>
        <w:spacing w:before="40" w:after="60" w:line="259" w:lineRule="auto"/>
      </w:pPr>
      <w:r>
        <w:rPr>
          <w:rFonts w:ascii="Aptos" w:hAnsi="Aptos" w:eastAsia="Aptos"/>
          <w:b/>
          <w:caps/>
          <w:color w:val="0F766E"/>
          <w:sz w:val="16"/>
        </w:rPr>
        <w:t>AFTER · DISCUSSION, CITATIONS, AND AUDIT STATE</w:t>
      </w:r>
    </w:p>
    <w:p>
      <w:pPr>
        <w:pStyle w:val="Heading1"/>
      </w:pPr>
      <w:r>
        <w:rPr>
          <w:rFonts w:ascii="Aptos" w:hAnsi="Aptos" w:eastAsia="Aptos"/>
          <w:color w:val="0F766E"/>
        </w:rPr>
        <w:t>Discussion</w:t>
      </w:r>
    </w:p>
    <w:p>
      <w:pPr>
        <w:keepLines w:val="0"/>
        <w:widowControl/>
        <w:spacing w:before="0" w:after="100" w:line="259" w:lineRule="auto"/>
      </w:pPr>
      <w:r>
        <w:rPr>
          <w:rFonts w:ascii="Aptos" w:hAnsi="Aptos" w:eastAsia="Aptos"/>
          <w:b w:val="0"/>
          <w:i w:val="0"/>
          <w:color w:val="243B53"/>
          <w:sz w:val="18"/>
        </w:rPr>
        <w:t>The ranking placed H-07 above the other held-out rows, and its frozen reduction value exceeded the corresponding prediction. This agreement is internal to a dataset generated from fixed equations; it cannot test transfer to another batch, hydrogel chemistry, assay, microbial strain, or laboratory. The viability values represent a fictional cell-assay endpoint and cannot establish organism-level tolerability or patient benefit.</w:t>
      </w:r>
    </w:p>
    <w:p>
      <w:pPr>
        <w:keepLines w:val="0"/>
        <w:widowControl/>
        <w:spacing w:before="0" w:after="100" w:line="259" w:lineRule="auto"/>
      </w:pPr>
      <w:r>
        <w:rPr>
          <w:rFonts w:ascii="Aptos" w:hAnsi="Aptos" w:eastAsia="Aptos"/>
          <w:b w:val="0"/>
          <w:i w:val="0"/>
          <w:color w:val="243B53"/>
          <w:sz w:val="18"/>
        </w:rPr>
        <w:t>The analysis also does not demonstrate autonomous experimentation. A closed loop would require one experiment's result to change the model's next experimental choice. Here, all rows existed before fitting, and no new choice was executed. A scientifically informative next step for a real study would be a preregistered prospective test using independently synthesized batches, blinded outcome measurement, an appropriate antimicrobial comparator, and uncertainty defined over biological replicates. This demonstration supplies none of that evidence and makes no claim about the likely result.</w:t>
      </w:r>
    </w:p>
    <w:p>
      <w:pPr>
        <w:pStyle w:val="Heading2"/>
      </w:pPr>
      <w:r>
        <w:rPr>
          <w:rFonts w:ascii="Aptos" w:hAnsi="Aptos" w:eastAsia="Aptos"/>
          <w:color w:val="0F766E"/>
        </w:rPr>
        <w:t>Synthetic placeholder references</w:t>
      </w:r>
    </w:p>
    <w:p>
      <w:pPr>
        <w:keepLines w:val="0"/>
        <w:widowControl/>
        <w:spacing w:before="0" w:after="100" w:line="259" w:lineRule="auto"/>
      </w:pPr>
      <w:r>
        <w:rPr>
          <w:rFonts w:ascii="Aptos" w:hAnsi="Aptos" w:eastAsia="Aptos"/>
          <w:b w:val="0"/>
          <w:i w:val="0"/>
          <w:color w:val="243B53"/>
          <w:sz w:val="18"/>
        </w:rPr>
        <w:t>1. CNS Skills demonstration fixture. Frozen synthetic hydrogel dataset. Synthetic record, 2026. Placeholder DOI: 10.0000/cns.synthetic.dataset.001 (deliberately non-resolving).</w:t>
      </w:r>
    </w:p>
    <w:p>
      <w:pPr>
        <w:keepLines w:val="0"/>
        <w:widowControl/>
        <w:spacing w:before="0" w:after="100" w:line="259" w:lineRule="auto"/>
      </w:pPr>
      <w:r>
        <w:rPr>
          <w:rFonts w:ascii="Aptos" w:hAnsi="Aptos" w:eastAsia="Aptos"/>
          <w:b w:val="0"/>
          <w:i w:val="0"/>
          <w:color w:val="243B53"/>
          <w:sz w:val="18"/>
        </w:rPr>
        <w:t>2. CNS Skills demonstration fixture. Standard-library ridge-ranking specification. Synthetic record, 2026. Placeholder DOI: 10.0000/cns.synthetic.method.002 (deliberately non-resolving).</w:t>
      </w:r>
    </w:p>
    <w:p>
      <w:pPr>
        <w:keepLines w:val="0"/>
        <w:widowControl/>
        <w:spacing w:before="0" w:after="100" w:line="259" w:lineRule="auto"/>
      </w:pPr>
      <w:r>
        <w:rPr>
          <w:rFonts w:ascii="Aptos" w:hAnsi="Aptos" w:eastAsia="Aptos"/>
          <w:b w:val="0"/>
          <w:i w:val="0"/>
          <w:color w:val="243B53"/>
          <w:sz w:val="18"/>
        </w:rPr>
        <w:t>3. CNS Skills demonstration fixture. Evidence-boundary reporting card. Synthetic record, 2026. Placeholder DOI: 10.0000/cns.synthetic.reporting.003 (deliberately non-resolving).</w:t>
      </w:r>
    </w:p>
    <w:p>
      <w:pPr>
        <w:pStyle w:val="Heading2"/>
      </w:pPr>
      <w:r>
        <w:rPr>
          <w:rFonts w:ascii="Aptos" w:hAnsi="Aptos" w:eastAsia="Aptos"/>
          <w:color w:val="0F766E"/>
        </w:rPr>
        <w:t>Validation snapshot</w:t>
      </w:r>
    </w:p>
    <w:p>
      <w:pPr>
        <w:keepLines w:val="0"/>
        <w:widowControl/>
        <w:spacing w:before="0" w:after="80" w:line="259" w:lineRule="auto"/>
      </w:pPr>
      <w:r>
        <w:rPr>
          <w:rFonts w:ascii="Aptos" w:hAnsi="Aptos" w:eastAsia="Aptos"/>
          <w:b/>
          <w:i w:val="0"/>
          <w:color w:val="0F766E"/>
          <w:sz w:val="18"/>
        </w:rPr>
        <w:t>Deterministic fixture: PASS · strict clean-copy on revised source: PASS · display cross-references: clean · numeric citations: 3/3 placed · real or resolvable citations: 0</w:t>
      </w:r>
    </w:p>
    <w:p>
      <w:pPr>
        <w:keepLines w:val="0"/>
        <w:widowControl/>
        <w:spacing w:before="0" w:after="0" w:line="259" w:lineRule="auto"/>
      </w:pPr>
      <w:r>
        <w:rPr>
          <w:rFonts w:ascii="Aptos" w:hAnsi="Aptos" w:eastAsia="Aptos"/>
          <w:b w:val="0"/>
          <w:i/>
          <w:color w:val="627D98"/>
          <w:sz w:val="16"/>
        </w:rPr>
        <w:t>These checks do not prove citation entailment, biological truth, or DOCX quality by themselves. This document was separately rendered page by page for visual QA before public use.</w:t>
      </w:r>
    </w:p>
    <w:sectPr>
      <w:headerReference w:type="default" r:id="rId9"/>
      <w:footerReference w:type="default" r:id="rId10"/>
      <w:pgSz w:w="12240" w:h="15840"/>
      <w:pgMar w:top="893" w:right="1037" w:bottom="893" w:left="1037" w:header="403"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Lines w:val="0"/>
      <w:widowControl/>
      <w:spacing w:before="0" w:after="0" w:line="259" w:lineRule="auto"/>
      <w:jc w:val="center"/>
    </w:pPr>
    <w:r>
      <w:rPr>
        <w:rFonts w:ascii="Aptos" w:hAnsi="Aptos" w:eastAsia="Aptos"/>
        <w:b/>
        <w:color w:val="627D98"/>
        <w:sz w:val="14"/>
      </w:rPr>
      <w:t xml:space="preserve">FULLY SYNTHETIC · NOT SCIENTIFIC EVIDENCE   |   </w:t>
    </w:r>
    <w:r>
      <w:rPr>
        <w:rFonts w:ascii="Aptos" w:hAnsi="Aptos" w:eastAsia="Aptos"/>
        <w:color w:val="627D98"/>
        <w:sz w:val="14"/>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7128"/>
      <w:gridCol w:w="3024"/>
    </w:tblGrid>
    <w:tr>
      <w:tc>
        <w:tcPr>
          <w:tcW w:type="dxa" w:w="5076"/>
          <w:tcMar>
            <w:top w:w="20" w:type="dxa"/>
            <w:start w:w="0" w:type="dxa"/>
            <w:bottom w:w="35" w:type="dxa"/>
            <w:end w:w="0" w:type="dxa"/>
          </w:tcMar>
          <w:tcBorders>
            <w:bottom w:val="single" w:sz="12" w:color="0F766E"/>
          </w:tcBorders>
        </w:tcPr>
        <w:p>
          <w:r>
            <w:rPr>
              <w:rFonts w:ascii="Aptos" w:hAnsi="Aptos" w:eastAsia="Aptos"/>
              <w:b/>
              <w:color w:val="0F766E"/>
              <w:sz w:val="14"/>
            </w:rPr>
            <w:t>CNS SKILLS · SYNTHETIC MANUSCRIPT DEMO</w:t>
          </w:r>
        </w:p>
      </w:tc>
      <w:tc>
        <w:tcPr>
          <w:tcW w:type="dxa" w:w="5076"/>
          <w:tcMar>
            <w:top w:w="20" w:type="dxa"/>
            <w:start w:w="0" w:type="dxa"/>
            <w:bottom w:w="35" w:type="dxa"/>
            <w:end w:w="0" w:type="dxa"/>
          </w:tcMar>
          <w:tcBorders>
            <w:bottom w:val="single" w:sz="12" w:color="0F766E"/>
          </w:tcBorders>
        </w:tcPr>
        <w:p>
          <w:pPr>
            <w:jc w:val="right"/>
          </w:pPr>
          <w:r>
            <w:rPr>
              <w:rFonts w:ascii="Aptos" w:hAnsi="Aptos" w:eastAsia="Aptos"/>
              <w:b/>
              <w:color w:val="0F766E"/>
              <w:sz w:val="14"/>
            </w:rPr>
            <w:t>NO REAL CITATIONS</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color w:val="243B5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Aptos Display" w:hAnsi="Aptos Display" w:eastAsia="Aptos Display"/>
      <w:b/>
      <w:bCs/>
      <w:color w:val="102A43"/>
      <w:sz w:val="4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eastAsia="Aptos Display"/>
      <w:b/>
      <w:bCs/>
      <w:color w:val="102A43"/>
      <w:sz w:val="28"/>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Aptos" w:hAnsi="Aptos" w:eastAsia="Aptos"/>
      <w:b/>
      <w:bCs/>
      <w:color w:val="102A4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20"/>
    </w:pPr>
    <w:rPr>
      <w:rFonts w:ascii="Aptos" w:hAnsi="Aptos" w:eastAsia="Aptos"/>
      <w:b/>
      <w:bCs/>
      <w:i w:val="0"/>
      <w:color w:val="627D98"/>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moLabel">
    <w:name w:val="Demo Label"/>
    <w:pPr>
      <w:spacing w:after="80"/>
    </w:pPr>
    <w:rPr>
      <w:rFonts w:ascii="Aptos" w:hAnsi="Aptos" w:eastAsia="Aptos"/>
      <w:b/>
      <w:color w:val="B4231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CNS Skills fully synthetic manuscript before/after demo</dc:title>
  <dc:subject>Evidence-bounded scientific manuscript revision demonstration</dc:subject>
  <dc:creator/>
  <cp:keywords>synthetic demonstration, scientific writing, evidence boundary</cp:keywords>
  <dc:description>No real research, citations, participants, animals, or personal data.</dc:description>
  <cp:lastModifiedBy/>
  <cp:revision>1</cp:revision>
  <dcterms:created xsi:type="dcterms:W3CDTF">2013-12-23T23:15:00Z</dcterms:created>
  <dcterms:modified xsi:type="dcterms:W3CDTF">2013-12-23T23:15:00Z</dcterms:modified>
  <cp:category/>
</cp:coreProperties>
</file>