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计算机网络实践第三阶段实验报告</w:t>
      </w:r>
    </w:p>
    <w:p>
      <w:pPr>
        <w:jc w:val="center"/>
      </w:pPr>
      <w:r>
        <w:rPr>
          <w:b/>
        </w:rPr>
        <w:t>TCP 拥塞控制实现与验证</w:t>
        <w:br/>
      </w:r>
      <w:r>
        <w:t>学号 3024244171    姓名 牛泽钰    日期 2026年9月19日</w:t>
      </w:r>
    </w:p>
    <w:p>
      <w:pPr>
        <w:pStyle w:val="Heading1"/>
      </w:pPr>
      <w:r>
        <w:t>一 实验目标</w:t>
      </w:r>
    </w:p>
    <w:p>
      <w:pPr>
        <w:spacing w:line="360" w:lineRule="auto"/>
        <w:ind w:firstLine="420"/>
      </w:pPr>
      <w:r>
        <w:t>本阶段在第二阶段可靠传输实现之上，依据 RFC 5681 实现 Reno/NewReno 拥塞控制。发送端使用拥塞窗口 cwnd 与接收端通告窗口 rwnd 的较小值约束在途数据，完成慢启动、拥塞避免、快速重传、快速恢复以及超时后的窗口回退，并保留可复现的事件 trace。</w:t>
      </w:r>
    </w:p>
    <w:p>
      <w:pPr>
        <w:pStyle w:val="Heading1"/>
      </w:pPr>
      <w:r>
        <w:t>二 实现边界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  <w:vAlign w:val="center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4646"/>
            <w:shd w:fill="D9EAF7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>
              <w:t>本阶段实现</w:t>
            </w:r>
          </w:p>
        </w:tc>
        <w:tc>
          <w:tcPr>
            <w:tcW w:type="dxa" w:w="7087"/>
            <w:vAlign w:val="center"/>
          </w:tcPr>
          <w:p>
            <w:r>
              <w:t>Slow Start、Congestion Avoidance、Fast Retransmit、Fast Recovery、RTO 回退、FlightSize 约束</w:t>
            </w:r>
          </w:p>
        </w:tc>
      </w:tr>
      <w:tr>
        <w:tc>
          <w:tcPr>
            <w:tcW w:type="dxa" w:w="1814"/>
            <w:vAlign w:val="center"/>
          </w:tcPr>
          <w:p>
            <w:r>
              <w:t>第二阶段复用</w:t>
            </w:r>
          </w:p>
        </w:tc>
        <w:tc>
          <w:tcPr>
            <w:tcW w:type="dxa" w:w="7087"/>
            <w:vAlign w:val="center"/>
          </w:tcPr>
          <w:p>
            <w:r>
              <w:t>连接建立与关闭、累计 ACK、乱序缓存、RTT/RTO、接收窗口</w:t>
            </w:r>
          </w:p>
        </w:tc>
      </w:tr>
      <w:tr>
        <w:tc>
          <w:tcPr>
            <w:tcW w:type="dxa" w:w="1814"/>
            <w:vAlign w:val="center"/>
          </w:tcPr>
          <w:p>
            <w:r>
              <w:t>未纳入</w:t>
            </w:r>
          </w:p>
        </w:tc>
        <w:tc>
          <w:tcPr>
            <w:tcW w:type="dxa" w:w="7087"/>
            <w:vAlign w:val="center"/>
          </w:tcPr>
          <w:p>
            <w:r>
              <w:t>CUBIC、SACK、ECN、BBR、RACK-TLP 等挑战功能</w:t>
            </w:r>
          </w:p>
        </w:tc>
      </w:tr>
    </w:tbl>
    <w:p/>
    <w:p>
      <w:pPr>
        <w:pStyle w:val="Heading1"/>
      </w:pPr>
      <w:r>
        <w:t>三 数据结构与发送约束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097"/>
            <w:shd w:fill="D9EAF7"/>
            <w:vAlign w:val="center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3097"/>
            <w:shd w:fill="D9EAF7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1814"/>
            <w:vAlign w:val="center"/>
          </w:tcPr>
          <w:p>
            <w:r>
              <w:t>cwnd</w:t>
            </w:r>
          </w:p>
        </w:tc>
        <w:tc>
          <w:tcPr>
            <w:tcW w:type="dxa" w:w="1361"/>
            <w:vAlign w:val="center"/>
          </w:tcPr>
          <w:p>
            <w:r>
              <w:t>字节</w:t>
            </w:r>
          </w:p>
        </w:tc>
        <w:tc>
          <w:tcPr>
            <w:tcW w:type="dxa" w:w="5783"/>
            <w:vAlign w:val="center"/>
          </w:tcPr>
          <w:p>
            <w:r>
              <w:t>拥塞窗口</w:t>
            </w:r>
          </w:p>
        </w:tc>
      </w:tr>
      <w:tr>
        <w:tc>
          <w:tcPr>
            <w:tcW w:type="dxa" w:w="1814"/>
            <w:vAlign w:val="center"/>
          </w:tcPr>
          <w:p>
            <w:r>
              <w:t>ssthresh</w:t>
            </w:r>
          </w:p>
        </w:tc>
        <w:tc>
          <w:tcPr>
            <w:tcW w:type="dxa" w:w="1361"/>
            <w:vAlign w:val="center"/>
          </w:tcPr>
          <w:p>
            <w:r>
              <w:t>字节</w:t>
            </w:r>
          </w:p>
        </w:tc>
        <w:tc>
          <w:tcPr>
            <w:tcW w:type="dxa" w:w="5783"/>
            <w:vAlign w:val="center"/>
          </w:tcPr>
          <w:p>
            <w:r>
              <w:t>慢启动阈值</w:t>
            </w:r>
          </w:p>
        </w:tc>
      </w:tr>
      <w:tr>
        <w:tc>
          <w:tcPr>
            <w:tcW w:type="dxa" w:w="1814"/>
            <w:vAlign w:val="center"/>
          </w:tcPr>
          <w:p>
            <w:r>
              <w:t>peer_window</w:t>
            </w:r>
          </w:p>
        </w:tc>
        <w:tc>
          <w:tcPr>
            <w:tcW w:type="dxa" w:w="1361"/>
            <w:vAlign w:val="center"/>
          </w:tcPr>
          <w:p>
            <w:r>
              <w:t>字节</w:t>
            </w:r>
          </w:p>
        </w:tc>
        <w:tc>
          <w:tcPr>
            <w:tcW w:type="dxa" w:w="5783"/>
            <w:vAlign w:val="center"/>
          </w:tcPr>
          <w:p>
            <w:r>
              <w:t>接收端通告窗口</w:t>
            </w:r>
          </w:p>
        </w:tc>
      </w:tr>
      <w:tr>
        <w:tc>
          <w:tcPr>
            <w:tcW w:type="dxa" w:w="1814"/>
            <w:vAlign w:val="center"/>
          </w:tcPr>
          <w:p>
            <w:r>
              <w:t>tx_nxt - tx_una</w:t>
            </w:r>
          </w:p>
        </w:tc>
        <w:tc>
          <w:tcPr>
            <w:tcW w:type="dxa" w:w="1361"/>
            <w:vAlign w:val="center"/>
          </w:tcPr>
          <w:p>
            <w:r>
              <w:t>字节</w:t>
            </w:r>
          </w:p>
        </w:tc>
        <w:tc>
          <w:tcPr>
            <w:tcW w:type="dxa" w:w="5783"/>
            <w:vAlign w:val="center"/>
          </w:tcPr>
          <w:p>
            <w:r>
              <w:t>FlightSize</w:t>
            </w:r>
          </w:p>
        </w:tc>
      </w:tr>
      <w:tr>
        <w:tc>
          <w:tcPr>
            <w:tcW w:type="dxa" w:w="1814"/>
            <w:vAlign w:val="center"/>
          </w:tcPr>
          <w:p>
            <w:r>
              <w:t>dup_ack_cnt</w:t>
            </w:r>
          </w:p>
        </w:tc>
        <w:tc>
          <w:tcPr>
            <w:tcW w:type="dxa" w:w="1361"/>
            <w:vAlign w:val="center"/>
          </w:tcPr>
          <w:p>
            <w:r>
              <w:t>次</w:t>
            </w:r>
          </w:p>
        </w:tc>
        <w:tc>
          <w:tcPr>
            <w:tcW w:type="dxa" w:w="5783"/>
            <w:vAlign w:val="center"/>
          </w:tcPr>
          <w:p>
            <w:r>
              <w:t>重复 ACK 计数</w:t>
            </w:r>
          </w:p>
        </w:tc>
      </w:tr>
      <w:tr>
        <w:tc>
          <w:tcPr>
            <w:tcW w:type="dxa" w:w="1814"/>
            <w:vAlign w:val="center"/>
          </w:tcPr>
          <w:p>
            <w:r>
              <w:t>recover_point</w:t>
            </w:r>
          </w:p>
        </w:tc>
        <w:tc>
          <w:tcPr>
            <w:tcW w:type="dxa" w:w="1361"/>
            <w:vAlign w:val="center"/>
          </w:tcPr>
          <w:p>
            <w:r>
              <w:t>序号</w:t>
            </w:r>
          </w:p>
        </w:tc>
        <w:tc>
          <w:tcPr>
            <w:tcW w:type="dxa" w:w="5783"/>
            <w:vAlign w:val="center"/>
          </w:tcPr>
          <w:p>
            <w:r>
              <w:t>快速恢复退出边界</w:t>
            </w:r>
          </w:p>
        </w:tc>
      </w:tr>
    </w:tbl>
    <w:p/>
    <w:p>
      <w:pPr>
        <w:spacing w:line="360" w:lineRule="auto"/>
        <w:ind w:firstLine="420"/>
      </w:pPr>
      <w:r>
        <w:t>发送函数 flush_tx 计算 effective_window=min(cwnd,rwnd)，仅当 effective_window-FlightSize 大于零时发送新数据。INIT_WDS 可由 Makefile 传入并转换为 INIT_WDSIZE 个 SMSS 字节。</w:t>
      </w:r>
    </w:p>
    <w:p>
      <w:pPr>
        <w:pStyle w:val="Heading1"/>
      </w:pPr>
      <w:r>
        <w:t>四 RFC 5681 状态转换</w:t>
      </w:r>
    </w:p>
    <w:p>
      <w:pPr>
        <w:pStyle w:val="Heading2"/>
      </w:pPr>
      <w:r>
        <w:t>4.1 慢启动</w:t>
      </w:r>
    </w:p>
    <w:p>
      <w:pPr>
        <w:spacing w:line="360" w:lineRule="auto"/>
        <w:ind w:firstLine="420"/>
      </w:pPr>
      <w:r>
        <w:t>当 cwnd 小于 ssthresh 时，每个确认新数据的累计 ACK 使 cwnd 增长 min(newly_acked,SMSS)。窗口随往返轮次近似指数增长。</w:t>
      </w:r>
    </w:p>
    <w:p>
      <w:pPr>
        <w:pStyle w:val="Heading2"/>
      </w:pPr>
      <w:r>
        <w:t>4.2 拥塞避免</w:t>
      </w:r>
    </w:p>
    <w:p>
      <w:pPr>
        <w:spacing w:line="360" w:lineRule="auto"/>
        <w:ind w:firstLine="420"/>
      </w:pPr>
      <w:r>
        <w:t>当 cwnd 不小于 ssthresh 时，按 SMSS*newly_acked/cwnd 增长，使一个 RTT 内累计增长约一个 SMSS。所有运算使用字节单位和 64 位中间值避免溢出。</w:t>
      </w:r>
    </w:p>
    <w:p>
      <w:pPr>
        <w:pStyle w:val="Heading2"/>
      </w:pPr>
      <w:r>
        <w:t>4.3 快速重传与快速恢复</w:t>
      </w:r>
    </w:p>
    <w:p>
      <w:pPr>
        <w:spacing w:line="360" w:lineRule="auto"/>
        <w:ind w:firstLine="420"/>
      </w:pPr>
      <w:r>
        <w:t>对未推进 tx_una 且仍有在途数据的 ACK 计数。第三个重复 ACK 到达时，ssthresh=max(FlightSize/2,2*SMSS)，cwnd=ssthresh+3*SMSS，记录 recover_point 并立即重传最早未确认段。额外重复 ACK 使 cwnd 增加一个 SMSS；确认越过 recover_point 后退出快速恢复并令 cwnd=ssthresh。</w:t>
      </w:r>
    </w:p>
    <w:p>
      <w:pPr>
        <w:pStyle w:val="Heading2"/>
      </w:pPr>
      <w:r>
        <w:t>4.4 超时</w:t>
      </w:r>
    </w:p>
    <w:p>
      <w:pPr>
        <w:spacing w:line="360" w:lineRule="auto"/>
        <w:ind w:firstLine="420"/>
      </w:pPr>
      <w:r>
        <w:t>RTO 超时视为严重拥塞：ssthresh=max(FlightSize/2,2*SMSS)，cwnd=SMSS，退出快速恢复并重传最早未确认段。RTO 指数退避，重传段不用于 RTT 采样，符合 Karn 算法。</w:t>
      </w:r>
    </w:p>
    <w:p>
      <w:pPr>
        <w:pStyle w:val="Heading1"/>
      </w:pPr>
      <w:r>
        <w:t>五 实现修正记录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  <w:vAlign w:val="center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097"/>
            <w:shd w:fill="D9EAF7"/>
            <w:vAlign w:val="center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3097"/>
            <w:shd w:fill="D9EAF7"/>
            <w:vAlign w:val="center"/>
          </w:tcPr>
          <w:p>
            <w:r>
              <w:rPr>
                <w:b/>
              </w:rPr>
              <w:t>修正</w:t>
            </w:r>
          </w:p>
        </w:tc>
      </w:tr>
      <w:tr>
        <w:tc>
          <w:tcPr>
            <w:tcW w:type="dxa" w:w="2381"/>
            <w:vAlign w:val="center"/>
          </w:tcPr>
          <w:p>
            <w:r>
              <w:t>发送路径绕过 cwnd</w:t>
            </w:r>
          </w:p>
        </w:tc>
        <w:tc>
          <w:tcPr>
            <w:tcW w:type="dxa" w:w="2948"/>
            <w:vAlign w:val="center"/>
          </w:tcPr>
          <w:p>
            <w:r>
              <w:t>拥塞控制曲线无效</w:t>
            </w:r>
          </w:p>
        </w:tc>
        <w:tc>
          <w:tcPr>
            <w:tcW w:type="dxa" w:w="3685"/>
            <w:vAlign w:val="center"/>
          </w:tcPr>
          <w:p>
            <w:r>
              <w:t>启用 USE_CWND_LIMIT，发送窗口取 min(cwnd,rwnd)</w:t>
            </w:r>
          </w:p>
        </w:tc>
      </w:tr>
      <w:tr>
        <w:tc>
          <w:tcPr>
            <w:tcW w:type="dxa" w:w="2381"/>
            <w:vAlign w:val="center"/>
          </w:tcPr>
          <w:p>
            <w:r>
              <w:t>ssthresh 最低值为 49152</w:t>
            </w:r>
          </w:p>
        </w:tc>
        <w:tc>
          <w:tcPr>
            <w:tcW w:type="dxa" w:w="2948"/>
            <w:vAlign w:val="center"/>
          </w:tcPr>
          <w:p>
            <w:r>
              <w:t>不符合 RFC 减半下限</w:t>
            </w:r>
          </w:p>
        </w:tc>
        <w:tc>
          <w:tcPr>
            <w:tcW w:type="dxa" w:w="3685"/>
            <w:vAlign w:val="center"/>
          </w:tcPr>
          <w:p>
            <w:r>
              <w:t>改为 2*SMSS</w:t>
            </w:r>
          </w:p>
        </w:tc>
      </w:tr>
      <w:tr>
        <w:tc>
          <w:tcPr>
            <w:tcW w:type="dxa" w:w="2381"/>
            <w:vAlign w:val="center"/>
          </w:tcPr>
          <w:p>
            <w:r>
              <w:t>INIT_WDS 参数未生效</w:t>
            </w:r>
          </w:p>
        </w:tc>
        <w:tc>
          <w:tcPr>
            <w:tcW w:type="dxa" w:w="2948"/>
            <w:vAlign w:val="center"/>
          </w:tcPr>
          <w:p>
            <w:r>
              <w:t>测试不同初始窗口得到相同结果</w:t>
            </w:r>
          </w:p>
        </w:tc>
        <w:tc>
          <w:tcPr>
            <w:tcW w:type="dxa" w:w="3685"/>
            <w:vAlign w:val="center"/>
          </w:tcPr>
          <w:p>
            <w:r>
              <w:t>Makefile 同时支持 INIT_WDS 与 INIT_WDSIZE</w:t>
            </w:r>
          </w:p>
        </w:tc>
      </w:tr>
      <w:tr>
        <w:tc>
          <w:tcPr>
            <w:tcW w:type="dxa" w:w="2381"/>
            <w:vAlign w:val="center"/>
          </w:tcPr>
          <w:p>
            <w:r>
              <w:t>握手失败后过早释放 socket</w:t>
            </w:r>
          </w:p>
        </w:tc>
        <w:tc>
          <w:tcPr>
            <w:tcW w:type="dxa" w:w="2948"/>
            <w:vAlign w:val="center"/>
          </w:tcPr>
          <w:p>
            <w:r>
              <w:t>API 线程出现 use-after-free</w:t>
            </w:r>
          </w:p>
        </w:tc>
        <w:tc>
          <w:tcPr>
            <w:tcW w:type="dxa" w:w="3685"/>
            <w:vAlign w:val="center"/>
          </w:tcPr>
          <w:p>
            <w:r>
              <w:t>内核表摘除与应用所有权分离</w:t>
            </w:r>
          </w:p>
        </w:tc>
      </w:tr>
      <w:tr>
        <w:tc>
          <w:tcPr>
            <w:tcW w:type="dxa" w:w="2381"/>
            <w:vAlign w:val="center"/>
          </w:tcPr>
          <w:p>
            <w:r>
              <w:t>本地测试地址被改为 172.17.0.6</w:t>
            </w:r>
          </w:p>
        </w:tc>
        <w:tc>
          <w:tcPr>
            <w:tcW w:type="dxa" w:w="2948"/>
            <w:vAlign w:val="center"/>
          </w:tcPr>
          <w:p>
            <w:r>
              <w:t>与 client/server 的 .2/.3 拓扑不符</w:t>
            </w:r>
          </w:p>
        </w:tc>
        <w:tc>
          <w:tcPr>
            <w:tcW w:type="dxa" w:w="3685"/>
            <w:vAlign w:val="center"/>
          </w:tcPr>
          <w:p>
            <w:r>
              <w:t>恢复服务端地址 172.17.0.3</w:t>
            </w:r>
          </w:p>
        </w:tc>
      </w:tr>
    </w:tbl>
    <w:p/>
    <w:p>
      <w:pPr>
        <w:pStyle w:val="Heading1"/>
      </w:pPr>
      <w:r>
        <w:t>六 测试环境与步骤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646"/>
            <w:shd w:fill="D9EAF7"/>
            <w:vAlign w:val="center"/>
          </w:tcPr>
          <w:p>
            <w:r>
              <w:rPr>
                <w:b/>
              </w:rPr>
              <w:t>配置</w:t>
            </w:r>
          </w:p>
        </w:tc>
      </w:tr>
      <w:tr>
        <w:tc>
          <w:tcPr>
            <w:tcW w:type="dxa" w:w="2381"/>
            <w:vAlign w:val="center"/>
          </w:tcPr>
          <w:p>
            <w:r>
              <w:t>拓扑</w:t>
            </w:r>
          </w:p>
        </w:tc>
        <w:tc>
          <w:tcPr>
            <w:tcW w:type="dxa" w:w="6520"/>
            <w:vAlign w:val="center"/>
          </w:tcPr>
          <w:p>
            <w:r>
              <w:t>client 172.17.0.2 / server 172.17.0.3</w:t>
            </w:r>
          </w:p>
        </w:tc>
      </w:tr>
      <w:tr>
        <w:tc>
          <w:tcPr>
            <w:tcW w:type="dxa" w:w="2381"/>
            <w:vAlign w:val="center"/>
          </w:tcPr>
          <w:p>
            <w:r>
              <w:t>编译器</w:t>
            </w:r>
          </w:p>
        </w:tc>
        <w:tc>
          <w:tcPr>
            <w:tcW w:type="dxa" w:w="6520"/>
            <w:vAlign w:val="center"/>
          </w:tcPr>
          <w:p>
            <w:r>
              <w:t>gcc -pthread -g -ggdb</w:t>
            </w:r>
          </w:p>
        </w:tc>
      </w:tr>
      <w:tr>
        <w:tc>
          <w:tcPr>
            <w:tcW w:type="dxa" w:w="2381"/>
            <w:vAlign w:val="center"/>
          </w:tcPr>
          <w:p>
            <w:r>
              <w:t>报文</w:t>
            </w:r>
          </w:p>
        </w:tc>
        <w:tc>
          <w:tcPr>
            <w:tcW w:type="dxa" w:w="6520"/>
            <w:vAlign w:val="center"/>
          </w:tcPr>
          <w:p>
            <w:r>
              <w:t>UDP 承载的 20 字节课程 TCP 头，MAX_SEG_LEN=1375</w:t>
            </w:r>
          </w:p>
        </w:tc>
      </w:tr>
      <w:tr>
        <w:tc>
          <w:tcPr>
            <w:tcW w:type="dxa" w:w="2381"/>
            <w:vAlign w:val="center"/>
          </w:tcPr>
          <w:p>
            <w:r>
              <w:t>可变参数</w:t>
            </w:r>
          </w:p>
        </w:tc>
        <w:tc>
          <w:tcPr>
            <w:tcW w:type="dxa" w:w="6520"/>
            <w:vAlign w:val="center"/>
          </w:tcPr>
          <w:p>
            <w:r>
              <w:t>rate、delay、delay-distro、loss、INIT_WDS</w:t>
            </w:r>
          </w:p>
        </w:tc>
      </w:tr>
    </w:tbl>
    <w:p/>
    <w:p>
      <w:pPr>
        <w:spacing w:line="360" w:lineRule="auto"/>
        <w:ind w:firstLine="420"/>
      </w:pPr>
      <w:r>
        <w:t>编译验证依次执行 make INIT_WDS=1、10、50。拥塞测试先启动 server 与 tcpdump，再启动 client；建立连接后用 tcset 设置带宽、时延、抖动和丢包率，运行规定时长，终止双端并恢复 100Mbps/20ms 网络。最后收集 client.event.trace、server.event.trace 与 server.pcap。</w:t>
      </w:r>
    </w:p>
    <w:p>
      <w:pPr>
        <w:pStyle w:val="Heading1"/>
      </w:pPr>
      <w:r>
        <w:t>七 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7"/>
        <w:gridCol w:w="1327"/>
        <w:gridCol w:w="1327"/>
        <w:gridCol w:w="1327"/>
        <w:gridCol w:w="1327"/>
        <w:gridCol w:w="1327"/>
        <w:gridCol w:w="1327"/>
      </w:tblGrid>
      <w:tr>
        <w:tc>
          <w:tcPr>
            <w:tcW w:type="dxa" w:w="1327"/>
            <w:shd w:fill="D9EAF7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327"/>
            <w:shd w:fill="D9EAF7"/>
            <w:vAlign w:val="center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327"/>
            <w:shd w:fill="D9EAF7"/>
            <w:vAlign w:val="center"/>
          </w:tcPr>
          <w:p>
            <w:r>
              <w:rPr>
                <w:b/>
              </w:rPr>
              <w:t>delay</w:t>
            </w:r>
          </w:p>
        </w:tc>
        <w:tc>
          <w:tcPr>
            <w:tcW w:type="dxa" w:w="1327"/>
            <w:shd w:fill="D9EAF7"/>
            <w:vAlign w:val="center"/>
          </w:tcPr>
          <w:p>
            <w:r>
              <w:rPr>
                <w:b/>
              </w:rPr>
              <w:t>distro</w:t>
            </w:r>
          </w:p>
        </w:tc>
        <w:tc>
          <w:tcPr>
            <w:tcW w:type="dxa" w:w="1327"/>
            <w:shd w:fill="D9EAF7"/>
            <w:vAlign w:val="center"/>
          </w:tcPr>
          <w:p>
            <w:r>
              <w:rPr>
                <w:b/>
              </w:rPr>
              <w:t>loss</w:t>
            </w:r>
          </w:p>
        </w:tc>
        <w:tc>
          <w:tcPr>
            <w:tcW w:type="dxa" w:w="1327"/>
            <w:shd w:fill="D9EAF7"/>
            <w:vAlign w:val="center"/>
          </w:tcPr>
          <w:p>
            <w:r>
              <w:rPr>
                <w:b/>
              </w:rPr>
              <w:t>INIT_WDS</w:t>
            </w:r>
          </w:p>
        </w:tc>
        <w:tc>
          <w:tcPr>
            <w:tcW w:type="dxa" w:w="1327"/>
            <w:shd w:fill="D9EAF7"/>
            <w:vAlign w:val="center"/>
          </w:tcPr>
          <w:p>
            <w:r>
              <w:rPr>
                <w:b/>
              </w:rPr>
              <w:t>检查点</w:t>
            </w:r>
          </w:p>
        </w:tc>
      </w:tr>
      <w:tr>
        <w:tc>
          <w:tcPr>
            <w:tcW w:type="dxa" w:w="794"/>
            <w:vAlign w:val="center"/>
          </w:tcPr>
          <w:p>
            <w:r>
              <w:t>CC-01</w:t>
            </w:r>
          </w:p>
        </w:tc>
        <w:tc>
          <w:tcPr>
            <w:tcW w:type="dxa" w:w="1304"/>
            <w:vAlign w:val="center"/>
          </w:tcPr>
          <w:p>
            <w:r>
              <w:t>100Mbps</w:t>
            </w:r>
          </w:p>
        </w:tc>
        <w:tc>
          <w:tcPr>
            <w:tcW w:type="dxa" w:w="1191"/>
            <w:vAlign w:val="center"/>
          </w:tcPr>
          <w:p>
            <w:r>
              <w:t>20ms</w:t>
            </w:r>
          </w:p>
        </w:tc>
        <w:tc>
          <w:tcPr>
            <w:tcW w:type="dxa" w:w="1134"/>
            <w:vAlign w:val="center"/>
          </w:tcPr>
          <w:p>
            <w:r>
              <w:t>0</w:t>
            </w:r>
          </w:p>
        </w:tc>
        <w:tc>
          <w:tcPr>
            <w:tcW w:type="dxa" w:w="1020"/>
            <w:vAlign w:val="center"/>
          </w:tcPr>
          <w:p>
            <w:r>
              <w:t>0%</w:t>
            </w:r>
          </w:p>
        </w:tc>
        <w:tc>
          <w:tcPr>
            <w:tcW w:type="dxa" w:w="1361"/>
            <w:vAlign w:val="center"/>
          </w:tcPr>
          <w:p>
            <w:r>
              <w:t>1</w:t>
            </w:r>
          </w:p>
        </w:tc>
        <w:tc>
          <w:tcPr>
            <w:tcW w:type="dxa" w:w="3005"/>
            <w:vAlign w:val="center"/>
          </w:tcPr>
          <w:p>
            <w:r>
              <w:t>慢启动</w:t>
            </w:r>
          </w:p>
        </w:tc>
      </w:tr>
      <w:tr>
        <w:tc>
          <w:tcPr>
            <w:tcW w:type="dxa" w:w="794"/>
            <w:vAlign w:val="center"/>
          </w:tcPr>
          <w:p>
            <w:r>
              <w:t>CC-02</w:t>
            </w:r>
          </w:p>
        </w:tc>
        <w:tc>
          <w:tcPr>
            <w:tcW w:type="dxa" w:w="1304"/>
            <w:vAlign w:val="center"/>
          </w:tcPr>
          <w:p>
            <w:r>
              <w:t>100Mbps</w:t>
            </w:r>
          </w:p>
        </w:tc>
        <w:tc>
          <w:tcPr>
            <w:tcW w:type="dxa" w:w="1191"/>
            <w:vAlign w:val="center"/>
          </w:tcPr>
          <w:p>
            <w:r>
              <w:t>20ms</w:t>
            </w:r>
          </w:p>
        </w:tc>
        <w:tc>
          <w:tcPr>
            <w:tcW w:type="dxa" w:w="1134"/>
            <w:vAlign w:val="center"/>
          </w:tcPr>
          <w:p>
            <w:r>
              <w:t>0</w:t>
            </w:r>
          </w:p>
        </w:tc>
        <w:tc>
          <w:tcPr>
            <w:tcW w:type="dxa" w:w="1020"/>
            <w:vAlign w:val="center"/>
          </w:tcPr>
          <w:p>
            <w:r>
              <w:t>0%</w:t>
            </w:r>
          </w:p>
        </w:tc>
        <w:tc>
          <w:tcPr>
            <w:tcW w:type="dxa" w:w="1361"/>
            <w:vAlign w:val="center"/>
          </w:tcPr>
          <w:p>
            <w:r>
              <w:t>10</w:t>
            </w:r>
          </w:p>
        </w:tc>
        <w:tc>
          <w:tcPr>
            <w:tcW w:type="dxa" w:w="3005"/>
            <w:vAlign w:val="center"/>
          </w:tcPr>
          <w:p>
            <w:r>
              <w:t>慢启动转拥塞避免</w:t>
            </w:r>
          </w:p>
        </w:tc>
      </w:tr>
      <w:tr>
        <w:tc>
          <w:tcPr>
            <w:tcW w:type="dxa" w:w="794"/>
            <w:vAlign w:val="center"/>
          </w:tcPr>
          <w:p>
            <w:r>
              <w:t>CC-03</w:t>
            </w:r>
          </w:p>
        </w:tc>
        <w:tc>
          <w:tcPr>
            <w:tcW w:type="dxa" w:w="1304"/>
            <w:vAlign w:val="center"/>
          </w:tcPr>
          <w:p>
            <w:r>
              <w:t>100Mbps</w:t>
            </w:r>
          </w:p>
        </w:tc>
        <w:tc>
          <w:tcPr>
            <w:tcW w:type="dxa" w:w="1191"/>
            <w:vAlign w:val="center"/>
          </w:tcPr>
          <w:p>
            <w:r>
              <w:t>300ms</w:t>
            </w:r>
          </w:p>
        </w:tc>
        <w:tc>
          <w:tcPr>
            <w:tcW w:type="dxa" w:w="1134"/>
            <w:vAlign w:val="center"/>
          </w:tcPr>
          <w:p>
            <w:r>
              <w:t>50</w:t>
            </w:r>
          </w:p>
        </w:tc>
        <w:tc>
          <w:tcPr>
            <w:tcW w:type="dxa" w:w="1020"/>
            <w:vAlign w:val="center"/>
          </w:tcPr>
          <w:p>
            <w:r>
              <w:t>5%</w:t>
            </w:r>
          </w:p>
        </w:tc>
        <w:tc>
          <w:tcPr>
            <w:tcW w:type="dxa" w:w="1361"/>
            <w:vAlign w:val="center"/>
          </w:tcPr>
          <w:p>
            <w:r>
              <w:t>10</w:t>
            </w:r>
          </w:p>
        </w:tc>
        <w:tc>
          <w:tcPr>
            <w:tcW w:type="dxa" w:w="3005"/>
            <w:vAlign w:val="center"/>
          </w:tcPr>
          <w:p>
            <w:r>
              <w:t>快速重传/恢复</w:t>
            </w:r>
          </w:p>
        </w:tc>
      </w:tr>
      <w:tr>
        <w:tc>
          <w:tcPr>
            <w:tcW w:type="dxa" w:w="794"/>
            <w:vAlign w:val="center"/>
          </w:tcPr>
          <w:p>
            <w:r>
              <w:t>CC-04</w:t>
            </w:r>
          </w:p>
        </w:tc>
        <w:tc>
          <w:tcPr>
            <w:tcW w:type="dxa" w:w="1304"/>
            <w:vAlign w:val="center"/>
          </w:tcPr>
          <w:p>
            <w:r>
              <w:t>100Mbps</w:t>
            </w:r>
          </w:p>
        </w:tc>
        <w:tc>
          <w:tcPr>
            <w:tcW w:type="dxa" w:w="1191"/>
            <w:vAlign w:val="center"/>
          </w:tcPr>
          <w:p>
            <w:r>
              <w:t>300ms</w:t>
            </w:r>
          </w:p>
        </w:tc>
        <w:tc>
          <w:tcPr>
            <w:tcW w:type="dxa" w:w="1134"/>
            <w:vAlign w:val="center"/>
          </w:tcPr>
          <w:p>
            <w:r>
              <w:t>50</w:t>
            </w:r>
          </w:p>
        </w:tc>
        <w:tc>
          <w:tcPr>
            <w:tcW w:type="dxa" w:w="1020"/>
            <w:vAlign w:val="center"/>
          </w:tcPr>
          <w:p>
            <w:r>
              <w:t>10%</w:t>
            </w:r>
          </w:p>
        </w:tc>
        <w:tc>
          <w:tcPr>
            <w:tcW w:type="dxa" w:w="1361"/>
            <w:vAlign w:val="center"/>
          </w:tcPr>
          <w:p>
            <w:r>
              <w:t>10</w:t>
            </w:r>
          </w:p>
        </w:tc>
        <w:tc>
          <w:tcPr>
            <w:tcW w:type="dxa" w:w="3005"/>
            <w:vAlign w:val="center"/>
          </w:tcPr>
          <w:p>
            <w:r>
              <w:t>超时回退</w:t>
            </w:r>
          </w:p>
        </w:tc>
      </w:tr>
      <w:tr>
        <w:tc>
          <w:tcPr>
            <w:tcW w:type="dxa" w:w="794"/>
            <w:vAlign w:val="center"/>
          </w:tcPr>
          <w:p>
            <w:r>
              <w:t>CC-05</w:t>
            </w:r>
          </w:p>
        </w:tc>
        <w:tc>
          <w:tcPr>
            <w:tcW w:type="dxa" w:w="1304"/>
            <w:vAlign w:val="center"/>
          </w:tcPr>
          <w:p>
            <w:r>
              <w:t>50Mbps</w:t>
            </w:r>
          </w:p>
        </w:tc>
        <w:tc>
          <w:tcPr>
            <w:tcW w:type="dxa" w:w="1191"/>
            <w:vAlign w:val="center"/>
          </w:tcPr>
          <w:p>
            <w:r>
              <w:t>300ms</w:t>
            </w:r>
          </w:p>
        </w:tc>
        <w:tc>
          <w:tcPr>
            <w:tcW w:type="dxa" w:w="1134"/>
            <w:vAlign w:val="center"/>
          </w:tcPr>
          <w:p>
            <w:r>
              <w:t>50</w:t>
            </w:r>
          </w:p>
        </w:tc>
        <w:tc>
          <w:tcPr>
            <w:tcW w:type="dxa" w:w="1020"/>
            <w:vAlign w:val="center"/>
          </w:tcPr>
          <w:p>
            <w:r>
              <w:t>5%</w:t>
            </w:r>
          </w:p>
        </w:tc>
        <w:tc>
          <w:tcPr>
            <w:tcW w:type="dxa" w:w="1361"/>
            <w:vAlign w:val="center"/>
          </w:tcPr>
          <w:p>
            <w:r>
              <w:t>50</w:t>
            </w:r>
          </w:p>
        </w:tc>
        <w:tc>
          <w:tcPr>
            <w:tcW w:type="dxa" w:w="3005"/>
            <w:vAlign w:val="center"/>
          </w:tcPr>
          <w:p>
            <w:r>
              <w:t>大初始窗口</w:t>
            </w:r>
          </w:p>
        </w:tc>
      </w:tr>
    </w:tbl>
    <w:p/>
    <w:p>
      <w:pPr>
        <w:pStyle w:val="Heading1"/>
      </w:pPr>
      <w:r>
        <w:t>八 已完成验证</w:t>
      </w:r>
    </w:p>
    <w:p>
      <w:pPr>
        <w:pStyle w:val="ListBullet"/>
        <w:spacing w:line="312" w:lineRule="auto"/>
      </w:pPr>
      <w:r>
        <w:t>INIT_WDS=1、10、50 三种配置均在课程 Ubuntu VM 使用 GCC 编译通过。</w:t>
      </w:r>
    </w:p>
    <w:p>
      <w:pPr>
        <w:pStyle w:val="ListBullet"/>
        <w:spacing w:line="312" w:lineRule="auto"/>
      </w:pPr>
      <w:r>
        <w:t>编译命令已显示 -DINIT_WDSIZE 对应实际传入值，确认参数链路有效。</w:t>
      </w:r>
    </w:p>
    <w:p>
      <w:pPr>
        <w:pStyle w:val="ListBullet"/>
        <w:spacing w:line="312" w:lineRule="auto"/>
      </w:pPr>
      <w:r>
        <w:t>发送窗口已恢复 RFC 要求的 min(cwnd,rwnd) 约束。</w:t>
      </w:r>
    </w:p>
    <w:p>
      <w:pPr>
        <w:pStyle w:val="ListBullet"/>
        <w:spacing w:line="312" w:lineRule="auto"/>
      </w:pPr>
      <w:r>
        <w:t>拥塞事件输出 CWND、DUPACK、FAST_RETRANSMIT、TIMEOUT、ssthresh 与 recover_point 字段。</w:t>
      </w:r>
    </w:p>
    <w:p>
      <w:pPr>
        <w:pStyle w:val="ListBullet"/>
        <w:spacing w:line="312" w:lineRule="auto"/>
      </w:pPr>
      <w:r>
        <w:t>修复连接失败路径的 socket 生命周期错误，避免控制块在 API 返回前释放。</w:t>
      </w:r>
    </w:p>
    <w:p>
      <w:pPr>
        <w:pStyle w:val="Heading1"/>
      </w:pPr>
      <w:r>
        <w:t>九 证据文件与复现</w:t>
      </w:r>
    </w:p>
    <w:p>
      <w:pPr>
        <w:spacing w:line="360" w:lineRule="auto"/>
        <w:ind w:firstLine="420"/>
      </w:pPr>
      <w:r>
        <w:t>源码位于 tju_tcp/src 与 tju_tcp/inc；构建入口为 tju_tcp/Makefile；测试驱动与绘图工具位于 tju_tcp/test。第三阶段原始证据统一放入 reports/phase3_evidence，包括编译日志、测试矩阵、trace、pcap 和生成图。提交前应从 client VM 执行完整测试矩阵，并用仓库内脚本重新生成窗口曲线。</w:t>
      </w:r>
    </w:p>
    <w:p>
      <w:pPr>
        <w:pStyle w:val="Heading1"/>
      </w:pPr>
      <w:r>
        <w:t>十 AI 协作记录</w:t>
      </w:r>
    </w:p>
    <w:p>
      <w:pPr>
        <w:spacing w:line="360" w:lineRule="auto"/>
        <w:ind w:firstLine="420"/>
      </w:pPr>
      <w:r>
        <w:t>AI 用于对照 RFC 5681 审核拥塞窗口更新、识别 Makefile 参数未传递、发现 cwnd 约束被关闭以及定位 socket 生命周期崩溃。所有修改均通过源码定位和 Linux VM 编译验证；报告未将未运行的极端网络测试描述为已通过。</w:t>
      </w:r>
    </w:p>
    <w:p>
      <w:pPr>
        <w:pStyle w:val="Heading1"/>
      </w:pPr>
      <w:r>
        <w:t>十一 结论</w:t>
      </w:r>
    </w:p>
    <w:p>
      <w:pPr>
        <w:spacing w:line="360" w:lineRule="auto"/>
        <w:ind w:firstLine="420"/>
      </w:pPr>
      <w:r>
        <w:t>第三阶段代码已建立符合 RFC 5681 边界的 Reno/NewReno 控制路径，并提供可配置初始窗口及结构化 trace。最终验收以完整测试矩阵生成的窗口曲线、抓包和第二阶段回归结果为准。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