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最后更新：2026-10-28，本批基线 </w:t>
      </w:r>
      <w:r>
        <w:rPr>
          <w:rFonts w:ascii="Consolas" w:hAnsi="Consolas" w:eastAsia="宋体"/>
          <w:b w:val="0"/>
          <w:color w:val="A31D1D"/>
          <w:sz w:val="19"/>
        </w:rPr>
        <w:t>581104f</w:t>
      </w:r>
      <w:r>
        <w:rPr>
          <w:rFonts w:ascii="Times New Roman" w:hAnsi="Times New Roman" w:eastAsia="宋体"/>
          <w:b w:val="0"/>
          <w:color w:val="595959"/>
          <w:sz w:val="20"/>
        </w:rPr>
        <w:t>（F01–F17 已提交）。个人赛程、待办、运动护照已接入，本批按用户授权验收后提交，尚未部署；第 4 项场地看板、校园赛历、成绩分享卡暂不做。见</w:t>
      </w:r>
      <w:r>
        <w:rPr>
          <w:rFonts w:ascii="Times New Roman" w:hAnsi="Times New Roman" w:eastAsia="宋体"/>
          <w:b w:val="0"/>
          <w:color w:val="595959"/>
          <w:sz w:val="20"/>
        </w:rPr>
        <w:t>个人体育中心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44 个页面、202 个云函数 action、52 个数据库集合、96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3222 通过 / 0 失败（196 个测试文件，19.4 秒）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cloudfunctions/data/lib/（96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utils/interface-view.js</w:t>
      </w:r>
      <w:r>
        <w:rPr>
          <w:rFonts w:ascii="Times New Roman" w:hAnsi="Times New Roman" w:eastAsia="宋体"/>
          <w:b w:val="0"/>
          <w:sz w:val="21"/>
        </w:rPr>
        <w:t xml:space="preserve"> 以及个人体育中心两个服务模块进入云端镜像；客户端交互装饰器放在 </w:t>
      </w:r>
      <w:r>
        <w:rPr>
          <w:rFonts w:ascii="Consolas" w:hAnsi="Consolas" w:eastAsia="宋体"/>
          <w:b w:val="0"/>
          <w:color w:val="A31D1D"/>
          <w:sz w:val="20"/>
        </w:rPr>
        <w:t>templates/</w:t>
      </w:r>
      <w:r>
        <w:rPr>
          <w:rFonts w:ascii="Times New Roman" w:hAnsi="Times New Roman" w:eastAsia="宋体"/>
          <w:b w:val="0"/>
          <w:sz w:val="21"/>
        </w:rPr>
        <w:t>，不进入纯模块镜像。当前 3222 条用例仍在 Node 中验证。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52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第三节。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学院负责人的管理范围只取 </w:t>
      </w:r>
      <w:r>
        <w:rPr>
          <w:rFonts w:ascii="Consolas" w:hAnsi="Consolas" w:eastAsia="宋体"/>
          <w:b w:val="0"/>
          <w:color w:val="A31D1D"/>
          <w:sz w:val="20"/>
        </w:rPr>
        <w:t>memberships.collegeId</w:t>
      </w:r>
      <w:r>
        <w:rPr>
          <w:rFonts w:ascii="Times New Roman" w:hAnsi="Times New Roman" w:eastAsia="宋体"/>
          <w:b w:val="0"/>
          <w:sz w:val="21"/>
        </w:rPr>
        <w:t xml:space="preserve">，与 </w:t>
      </w:r>
      <w:r>
        <w:rPr>
          <w:rFonts w:ascii="Consolas" w:hAnsi="Consolas" w:eastAsia="宋体"/>
          <w:b w:val="0"/>
          <w:color w:val="A31D1D"/>
          <w:sz w:val="20"/>
        </w:rPr>
        <w:t>school_members.collegeId</w:t>
      </w:r>
      <w:r>
        <w:rPr>
          <w:rFonts w:ascii="Times New Roman" w:hAnsi="Times New Roman" w:eastAsia="宋体"/>
          <w:b w:val="0"/>
          <w:sz w:val="21"/>
        </w:rPr>
        <w:t xml:space="preserve"> 的学籍归属分开。学院名单、排阵在事务内用当前身份和目标学院复核。实时计分四类写操作及赛季重置也在事务内重读身份；抽签逐场重读版本与结算状态，拒绝覆盖已确认比赛。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个人赛事当前上限为单打 88 人、双打 176 人，名额填 0 也受此限制；发布、报名和抽签三处共用容量限制，抽签另校验实际操作预算。历史超限赛事需调整报名名单后再抽签。会员全量选人接口保留，但先在数据库筛状态、学院，再补账号；跨校裁判改为独立的管理接口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>，按已接受邀请的学校搜索分页。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界面使用同一容量模块 </w:t>
      </w:r>
      <w:r>
        <w:rPr>
          <w:rFonts w:ascii="Consolas" w:hAnsi="Consolas" w:eastAsia="宋体"/>
          <w:b w:val="0"/>
          <w:color w:val="A31D1D"/>
          <w:sz w:val="20"/>
        </w:rPr>
        <w:t>utils/event-capacity.js</w:t>
      </w:r>
      <w:r>
        <w:rPr>
          <w:rFonts w:ascii="Times New Roman" w:hAnsi="Times New Roman" w:eastAsia="宋体"/>
          <w:b w:val="0"/>
          <w:sz w:val="21"/>
        </w:rPr>
        <w:t xml:space="preserve">；切换单打/双打即时更新名额提示，超额标记名额字段。学院报名默认从赛事下发的 </w:t>
      </w:r>
      <w:r>
        <w:rPr>
          <w:rFonts w:ascii="Consolas" w:hAnsi="Consolas" w:eastAsia="宋体"/>
          <w:b w:val="0"/>
          <w:color w:val="A31D1D"/>
          <w:sz w:val="20"/>
        </w:rPr>
        <w:t>submittableCollegeIds</w:t>
      </w:r>
      <w:r>
        <w:rPr>
          <w:rFonts w:ascii="Times New Roman" w:hAnsi="Times New Roman" w:eastAsia="宋体"/>
          <w:b w:val="0"/>
          <w:sz w:val="21"/>
        </w:rPr>
        <w:t xml:space="preserve"> 选择，学籍学院只在获授权时作为默认项；授权面板单独选择管理学院，会话和名册分别返回 </w:t>
      </w:r>
      <w:r>
        <w:rPr>
          <w:rFonts w:ascii="Consolas" w:hAnsi="Consolas" w:eastAsia="宋体"/>
          <w:b w:val="0"/>
          <w:color w:val="A31D1D"/>
          <w:sz w:val="20"/>
        </w:rPr>
        <w:t>managedCollegeId</w:t>
      </w:r>
      <w:r>
        <w:rPr>
          <w:rFonts w:ascii="Times New Roman" w:hAnsi="Times New Roman" w:eastAsia="宋体"/>
          <w:b w:val="0"/>
          <w:sz w:val="21"/>
        </w:rPr>
        <w:t xml:space="preserve"> 与学籍 </w:t>
      </w:r>
      <w:r>
        <w:rPr>
          <w:rFonts w:ascii="Consolas" w:hAnsi="Consolas" w:eastAsia="宋体"/>
          <w:b w:val="0"/>
          <w:color w:val="A31D1D"/>
          <w:sz w:val="20"/>
        </w:rPr>
        <w:t>collegeId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转校待办由会员审核页识别并调用 </w:t>
      </w:r>
      <w:r>
        <w:rPr>
          <w:rFonts w:ascii="Consolas" w:hAnsi="Consolas" w:eastAsia="宋体"/>
          <w:b w:val="0"/>
          <w:color w:val="A31D1D"/>
          <w:sz w:val="20"/>
        </w:rPr>
        <w:t>reviewSchoolTransfer</w:t>
      </w:r>
      <w:r>
        <w:rPr>
          <w:rFonts w:ascii="Times New Roman" w:hAnsi="Times New Roman" w:eastAsia="宋体"/>
          <w:b w:val="0"/>
          <w:sz w:val="21"/>
        </w:rPr>
        <w:t xml:space="preserve">。两处审核入口若待办超过服务端当前批次，会明确提示还有更多申请，处理后刷新继续。跨校发起表单支持 2–8 校及各校独立配额。公告服务端以置顶、时间、编号倒序分页，返回 </w:t>
      </w:r>
      <w:r>
        <w:rPr>
          <w:rFonts w:ascii="Consolas" w:hAnsi="Consolas" w:eastAsia="宋体"/>
          <w:b w:val="0"/>
          <w:color w:val="A31D1D"/>
          <w:sz w:val="20"/>
        </w:rPr>
        <w:t>total / hasMore / nextCursor</w:t>
      </w:r>
      <w:r>
        <w:rPr>
          <w:rFonts w:ascii="Times New Roman" w:hAnsi="Times New Roman" w:eastAsia="宋体"/>
          <w:b w:val="0"/>
          <w:sz w:val="21"/>
        </w:rPr>
        <w:t xml:space="preserve">，公开页与台账保留相同游标顺序；台账状态计数只指已加载记录。运动会筛选、公告续页均使旧请求失效。首页团队赛事通过 </w:t>
      </w:r>
      <w:r>
        <w:rPr>
          <w:rFonts w:ascii="Consolas" w:hAnsi="Consolas" w:eastAsia="宋体"/>
          <w:b w:val="0"/>
          <w:color w:val="A31D1D"/>
          <w:sz w:val="20"/>
        </w:rPr>
        <w:t>listTeamEvents({home:true})</w:t>
      </w:r>
      <w:r>
        <w:rPr>
          <w:rFonts w:ascii="Times New Roman" w:hAnsi="Times New Roman" w:eastAsia="宋体"/>
          <w:b w:val="0"/>
          <w:sz w:val="21"/>
        </w:rPr>
        <w:t xml:space="preserve"> 取限量摘要与计数，不读取全量报名和比赛。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第九轮部署增加 5 条查询索引，见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。先等待索引可用，再重新部署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并上传小程序。裁判候选使用已存在的账号目录派生字段，旧环境仍须先完成目录回填；本批没有新增数据迁移。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第十轮的 §2.6 五条索引仍须在目标环境核对。F01–F17 已提交 </w:t>
      </w:r>
      <w:r>
        <w:rPr>
          <w:rFonts w:ascii="Consolas" w:hAnsi="Consolas" w:eastAsia="宋体"/>
          <w:b w:val="0"/>
          <w:color w:val="A31D1D"/>
          <w:sz w:val="20"/>
        </w:rPr>
        <w:t>581104f</w:t>
      </w:r>
      <w:r>
        <w:rPr>
          <w:rFonts w:ascii="Times New Roman" w:hAnsi="Times New Roman" w:eastAsia="宋体"/>
          <w:b w:val="0"/>
          <w:sz w:val="21"/>
        </w:rPr>
        <w:t xml:space="preserve">，学院选人复用既有目录索引。个人体育中心新增 </w:t>
      </w:r>
      <w:r>
        <w:rPr>
          <w:rFonts w:ascii="Consolas" w:hAnsi="Consolas" w:eastAsia="宋体"/>
          <w:b w:val="0"/>
          <w:color w:val="A31D1D"/>
          <w:sz w:val="20"/>
        </w:rPr>
        <w:t>personal-sports-query.js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personal-sports-service.js</w:t>
      </w:r>
      <w:r>
        <w:rPr>
          <w:rFonts w:ascii="Times New Roman" w:hAnsi="Times New Roman" w:eastAsia="宋体"/>
          <w:b w:val="0"/>
          <w:sz w:val="21"/>
        </w:rPr>
        <w:t xml:space="preserve">，共 96 个镜像文件；新增只读 action </w:t>
      </w:r>
      <w:r>
        <w:rPr>
          <w:rFonts w:ascii="Consolas" w:hAnsi="Consolas" w:eastAsia="宋体"/>
          <w:b w:val="0"/>
          <w:color w:val="A31D1D"/>
          <w:sz w:val="20"/>
        </w:rPr>
        <w:t>getMySportsDashboard</w:t>
      </w:r>
      <w:r>
        <w:rPr>
          <w:rFonts w:ascii="Times New Roman" w:hAnsi="Times New Roman" w:eastAsia="宋体"/>
          <w:b w:val="0"/>
          <w:sz w:val="21"/>
        </w:rPr>
        <w:t xml:space="preserve">，无新集合或回填。按 §2.7 新增 13 条关系/管理范围索引并核对六类关联外键索引，再同步镜像、重新部署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、上传小程序。三份 docx 从 md 重建，当前环境缺少可用渲染器，版式待补验。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体育中心按用户授权完成验收后提交。首页提供下一场与三条待办，“我的”增加护照入口；个人/学院比赛、团队赛和运动会按本人关系及当前权限聚合。护照区分确认比分、已发布名次、名单入选和报告收录，名单不推定实际出场，不生成成长值。个人比赛复用现有面板单场模式，写接口继续事务内鉴权。新增 34 条回归；11 个源码代表界面已核对三种宽度及字体放大，原生字体、键盘、刘海、包体与真实云端性能仍待验证。细节见</w:t>
      </w:r>
      <w:r>
        <w:rPr>
          <w:rFonts w:ascii="Times New Roman" w:hAnsi="Times New Roman" w:eastAsia="宋体"/>
          <w:b w:val="0"/>
          <w:sz w:val="21"/>
        </w:rPr>
        <w:t>个人体育中心说明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