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四协会（匹克球 / 乒乓 / 羽球 / 网球）、校级活动（石榴籽杯 / 运动会 / 跨校邀请赛）、协会级个人赛、实时计分台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名额不填视为不限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学院负责人在杯赛详情提交本院名单：只能勾本院在册会员，人数须落在区间内，同一人勾两次只算一次。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发起：填名称、赛制（与校内赛同一套六种）、时间、地点，选择要邀请的学校。对方学校在自己的页面「接受」或「婉拒」，也可以撤回邀请。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：决赛打完点「结算名次」。冠军 = 决赛胜者，亚军 = 决赛负者。首版</w:t>
      </w:r>
      <w:r>
        <w:rPr>
          <w:rFonts w:ascii="Times New Roman" w:hAnsi="Times New Roman" w:eastAsia="宋体"/>
          <w:b/>
          <w:sz w:val="21"/>
        </w:rPr>
        <w:t>不生成三四名赛</w:t>
      </w:r>
      <w:r>
        <w:rPr>
          <w:rFonts w:ascii="Times New Roman" w:hAnsi="Times New Roman" w:eastAsia="宋体"/>
          <w:b w:val="0"/>
          <w:sz w:val="21"/>
        </w:rPr>
        <w:t>，第 3、4 名按「被淘汰的轮次」倒排：同为半决赛负者时按积分表次序（净胜分 → 总得分）定先后。每轮打完后点「排下一轮」生成下一轮对阵——上一轮还有比赛没发布时，这一步会被拒绝。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