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最后更新：2026-10-28，本批基线 </w:t>
      </w:r>
      <w:r>
        <w:rPr>
          <w:rFonts w:ascii="Consolas" w:hAnsi="Consolas" w:eastAsia="宋体"/>
          <w:b w:val="0"/>
          <w:color w:val="A31D1D"/>
          <w:sz w:val="19"/>
        </w:rPr>
        <w:t>309e1f4</w:t>
      </w:r>
      <w:r>
        <w:rPr>
          <w:rFonts w:ascii="Times New Roman" w:hAnsi="Times New Roman" w:eastAsia="宋体"/>
          <w:b w:val="0"/>
          <w:color w:val="595959"/>
          <w:sz w:val="20"/>
        </w:rPr>
        <w:t>；F01–F17 首轮界面优化未提交，等待用户审阅效果，F18 排除。见</w:t>
      </w:r>
      <w:r>
        <w:rPr>
          <w:rFonts w:ascii="Times New Roman" w:hAnsi="Times New Roman" w:eastAsia="宋体"/>
          <w:b w:val="0"/>
          <w:color w:val="595959"/>
          <w:sz w:val="20"/>
        </w:rPr>
        <w:t>预览说明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个页面、201 个云函数 action、52 个数据库集合、94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3188 通过 / 0 失败（194 个测试文件，19.1 秒）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cloudfunctions/data/lib/（94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新增的 </w:t>
      </w:r>
      <w:r>
        <w:rPr>
          <w:rFonts w:ascii="Consolas" w:hAnsi="Consolas" w:eastAsia="宋体"/>
          <w:b w:val="0"/>
          <w:color w:val="A31D1D"/>
          <w:sz w:val="20"/>
        </w:rPr>
        <w:t>utils/interface-view.js</w:t>
      </w:r>
      <w:r>
        <w:rPr>
          <w:rFonts w:ascii="Times New Roman" w:hAnsi="Times New Roman" w:eastAsia="宋体"/>
          <w:b w:val="0"/>
          <w:sz w:val="21"/>
        </w:rPr>
        <w:t xml:space="preserve"> 进入云端镜像；客户端交互装饰器放在 </w:t>
      </w:r>
      <w:r>
        <w:rPr>
          <w:rFonts w:ascii="Consolas" w:hAnsi="Consolas" w:eastAsia="宋体"/>
          <w:b w:val="0"/>
          <w:color w:val="A31D1D"/>
          <w:sz w:val="20"/>
        </w:rPr>
        <w:t>templates/</w:t>
      </w:r>
      <w:r>
        <w:rPr>
          <w:rFonts w:ascii="Times New Roman" w:hAnsi="Times New Roman" w:eastAsia="宋体"/>
          <w:b w:val="0"/>
          <w:sz w:val="21"/>
        </w:rPr>
        <w:t>，不进入纯模块镜像。当前 3188 条用例仍在 Node 中验证。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52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第三节。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学院负责人的管理范围只取 </w:t>
      </w:r>
      <w:r>
        <w:rPr>
          <w:rFonts w:ascii="Consolas" w:hAnsi="Consolas" w:eastAsia="宋体"/>
          <w:b w:val="0"/>
          <w:color w:val="A31D1D"/>
          <w:sz w:val="20"/>
        </w:rPr>
        <w:t>memberships.collegeId</w:t>
      </w:r>
      <w:r>
        <w:rPr>
          <w:rFonts w:ascii="Times New Roman" w:hAnsi="Times New Roman" w:eastAsia="宋体"/>
          <w:b w:val="0"/>
          <w:sz w:val="21"/>
        </w:rPr>
        <w:t xml:space="preserve">，与 </w:t>
      </w:r>
      <w:r>
        <w:rPr>
          <w:rFonts w:ascii="Consolas" w:hAnsi="Consolas" w:eastAsia="宋体"/>
          <w:b w:val="0"/>
          <w:color w:val="A31D1D"/>
          <w:sz w:val="20"/>
        </w:rPr>
        <w:t>school_members.collegeId</w:t>
      </w:r>
      <w:r>
        <w:rPr>
          <w:rFonts w:ascii="Times New Roman" w:hAnsi="Times New Roman" w:eastAsia="宋体"/>
          <w:b w:val="0"/>
          <w:sz w:val="21"/>
        </w:rPr>
        <w:t xml:space="preserve"> 的学籍归属分开。学院名单、排阵在事务内用当前身份和目标学院复核。实时计分四类写操作及赛季重置也在事务内重读身份；抽签逐场重读版本与结算状态，拒绝覆盖已确认比赛。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个人赛事当前上限为单打 88 人、双打 176 人，名额填 0 也受此限制；发布、报名和抽签三处共用容量限制，抽签另校验实际操作预算。历史超限赛事需调整报名名单后再抽签。会员全量选人接口保留，但先在数据库筛状态、学院，再补账号；跨校裁判改为独立的管理接口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>，按已接受邀请的学校搜索分页。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界面使用同一容量模块 </w:t>
      </w:r>
      <w:r>
        <w:rPr>
          <w:rFonts w:ascii="Consolas" w:hAnsi="Consolas" w:eastAsia="宋体"/>
          <w:b w:val="0"/>
          <w:color w:val="A31D1D"/>
          <w:sz w:val="20"/>
        </w:rPr>
        <w:t>utils/event-capacity.js</w:t>
      </w:r>
      <w:r>
        <w:rPr>
          <w:rFonts w:ascii="Times New Roman" w:hAnsi="Times New Roman" w:eastAsia="宋体"/>
          <w:b w:val="0"/>
          <w:sz w:val="21"/>
        </w:rPr>
        <w:t xml:space="preserve">；切换单打/双打即时更新名额提示，超额标记名额字段。学院报名默认从赛事下发的 </w:t>
      </w:r>
      <w:r>
        <w:rPr>
          <w:rFonts w:ascii="Consolas" w:hAnsi="Consolas" w:eastAsia="宋体"/>
          <w:b w:val="0"/>
          <w:color w:val="A31D1D"/>
          <w:sz w:val="20"/>
        </w:rPr>
        <w:t>submittableCollegeIds</w:t>
      </w:r>
      <w:r>
        <w:rPr>
          <w:rFonts w:ascii="Times New Roman" w:hAnsi="Times New Roman" w:eastAsia="宋体"/>
          <w:b w:val="0"/>
          <w:sz w:val="21"/>
        </w:rPr>
        <w:t xml:space="preserve"> 选择，学籍学院只在获授权时作为默认项；授权面板单独选择管理学院，会话和名册分别返回 </w:t>
      </w:r>
      <w:r>
        <w:rPr>
          <w:rFonts w:ascii="Consolas" w:hAnsi="Consolas" w:eastAsia="宋体"/>
          <w:b w:val="0"/>
          <w:color w:val="A31D1D"/>
          <w:sz w:val="20"/>
        </w:rPr>
        <w:t>managedCollegeId</w:t>
      </w:r>
      <w:r>
        <w:rPr>
          <w:rFonts w:ascii="Times New Roman" w:hAnsi="Times New Roman" w:eastAsia="宋体"/>
          <w:b w:val="0"/>
          <w:sz w:val="21"/>
        </w:rPr>
        <w:t xml:space="preserve"> 与学籍 </w:t>
      </w:r>
      <w:r>
        <w:rPr>
          <w:rFonts w:ascii="Consolas" w:hAnsi="Consolas" w:eastAsia="宋体"/>
          <w:b w:val="0"/>
          <w:color w:val="A31D1D"/>
          <w:sz w:val="20"/>
        </w:rPr>
        <w:t>collegeId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转校待办由会员审核页识别并调用 </w:t>
      </w:r>
      <w:r>
        <w:rPr>
          <w:rFonts w:ascii="Consolas" w:hAnsi="Consolas" w:eastAsia="宋体"/>
          <w:b w:val="0"/>
          <w:color w:val="A31D1D"/>
          <w:sz w:val="20"/>
        </w:rPr>
        <w:t>reviewSchoolTransfer</w:t>
      </w:r>
      <w:r>
        <w:rPr>
          <w:rFonts w:ascii="Times New Roman" w:hAnsi="Times New Roman" w:eastAsia="宋体"/>
          <w:b w:val="0"/>
          <w:sz w:val="21"/>
        </w:rPr>
        <w:t xml:space="preserve">。两处审核入口若待办超过服务端当前批次，会明确提示还有更多申请，处理后刷新继续。跨校发起表单支持 2–8 校及各校独立配额。公告服务端以置顶、时间、编号倒序分页，返回 </w:t>
      </w:r>
      <w:r>
        <w:rPr>
          <w:rFonts w:ascii="Consolas" w:hAnsi="Consolas" w:eastAsia="宋体"/>
          <w:b w:val="0"/>
          <w:color w:val="A31D1D"/>
          <w:sz w:val="20"/>
        </w:rPr>
        <w:t>total / hasMore / nextCursor</w:t>
      </w:r>
      <w:r>
        <w:rPr>
          <w:rFonts w:ascii="Times New Roman" w:hAnsi="Times New Roman" w:eastAsia="宋体"/>
          <w:b w:val="0"/>
          <w:sz w:val="21"/>
        </w:rPr>
        <w:t xml:space="preserve">，公开页与台账保留相同游标顺序；台账状态计数只指已加载记录。运动会筛选、公告续页均使旧请求失效。首页团队赛事通过 </w:t>
      </w:r>
      <w:r>
        <w:rPr>
          <w:rFonts w:ascii="Consolas" w:hAnsi="Consolas" w:eastAsia="宋体"/>
          <w:b w:val="0"/>
          <w:color w:val="A31D1D"/>
          <w:sz w:val="20"/>
        </w:rPr>
        <w:t>listTeamEvents({home:true})</w:t>
      </w:r>
      <w:r>
        <w:rPr>
          <w:rFonts w:ascii="Times New Roman" w:hAnsi="Times New Roman" w:eastAsia="宋体"/>
          <w:b w:val="0"/>
          <w:sz w:val="21"/>
        </w:rPr>
        <w:t xml:space="preserve"> 取限量摘要与计数，不读取全量报名和比赛。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全量（3080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第九轮部署增加 5 条查询索引，见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。先等待索引可用，再重新部署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并上传小程序。裁判候选使用已存在的账号目录派生字段，旧环境仍须先完成目录回填；本批没有新增数据迁移。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第十轮还需新增 §2.6 的 5 条索引（公告四种筛选组合、团队首页一条）。其共享模块为 </w:t>
      </w:r>
      <w:r>
        <w:rPr>
          <w:rFonts w:ascii="Consolas" w:hAnsi="Consolas" w:eastAsia="宋体"/>
          <w:b w:val="0"/>
          <w:color w:val="A31D1D"/>
          <w:sz w:val="20"/>
        </w:rPr>
        <w:t>event-capacity.js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school-overview-reads.js</w:t>
      </w:r>
      <w:r>
        <w:rPr>
          <w:rFonts w:ascii="Times New Roman" w:hAnsi="Times New Roman" w:eastAsia="宋体"/>
          <w:b w:val="0"/>
          <w:sz w:val="21"/>
        </w:rPr>
        <w:t xml:space="preserve">；本轮再加入 </w:t>
      </w:r>
      <w:r>
        <w:rPr>
          <w:rFonts w:ascii="Consolas" w:hAnsi="Consolas" w:eastAsia="宋体"/>
          <w:b w:val="0"/>
          <w:color w:val="A31D1D"/>
          <w:sz w:val="20"/>
        </w:rPr>
        <w:t>interface-view.js</w:t>
      </w:r>
      <w:r>
        <w:rPr>
          <w:rFonts w:ascii="Times New Roman" w:hAnsi="Times New Roman" w:eastAsia="宋体"/>
          <w:b w:val="0"/>
          <w:sz w:val="21"/>
        </w:rPr>
        <w:t xml:space="preserve">，当前共 94 个镜像文件。将来仍须同步并重新部署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、上传小程序。F01–F17 本轮不增加集合、action、索引或回填，学院选人复用既有目录索引。三份 docx 从 md 重建；当前环境无法完成版式渲染，需在有渲染器的环境补验。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当前代码保留用户审阅状态：不暂存、不提交、不部署。学院名单首先接入共享分页选人，旧个人赛选人入口后续逐项迁移；F10 共享复核覆盖个人赛、学院赛和公告发布。代表界面的源码辅助预览已经核对三种宽度，原生字体、键盘、刘海和真实云端性能仍待设备验证。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