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最后更新：2026-10-23，优化前基线 </w:t>
      </w:r>
      <w:r>
        <w:rPr>
          <w:rFonts w:ascii="Consolas" w:hAnsi="Consolas" w:eastAsia="宋体"/>
          <w:b w:val="0"/>
          <w:color w:val="A31D1D"/>
          <w:sz w:val="19"/>
        </w:rPr>
        <w:t>00cb2b9</w:t>
      </w:r>
      <w:r>
        <w:rPr>
          <w:rFonts w:ascii="Times New Roman" w:hAnsi="Times New Roman" w:eastAsia="宋体"/>
          <w:b w:val="0"/>
          <w:color w:val="595959"/>
          <w:sz w:val="20"/>
        </w:rPr>
        <w:t>；安全与性能优化见本批验收记录。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3043 通过 / 0 失败（183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3043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全量（3043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