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最后更新：2026-10-23，优化前基线 </w:t>
      </w:r>
      <w:r>
        <w:rPr>
          <w:rFonts w:ascii="Consolas" w:hAnsi="Consolas" w:eastAsia="宋体"/>
          <w:b w:val="0"/>
          <w:color w:val="A31D1D"/>
          <w:sz w:val="19"/>
        </w:rPr>
        <w:t>00cb2b9</w:t>
      </w:r>
      <w:r>
        <w:rPr>
          <w:rFonts w:ascii="Times New Roman" w:hAnsi="Times New Roman" w:eastAsia="宋体"/>
          <w:b w:val="0"/>
          <w:color w:val="595959"/>
          <w:sz w:val="20"/>
        </w:rPr>
        <w:t>；安全与性能优化见本批验收记录。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 个页面、200 个云函数 action、52 个数据库集合、91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3080 通过 / 0 失败（186 个测试文件）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六个体育协会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、足球 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cloudfunctions/data/lib/（91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</w:t>
      </w:r>
      <w:r>
        <w:rPr>
          <w:rFonts w:ascii="Times New Roman" w:hAnsi="Times New Roman" w:eastAsia="宋体"/>
          <w:b w:val="0"/>
          <w:sz w:val="21"/>
        </w:rPr>
        <w:t xml:space="preserve"> 下全部可以在 Node 里直接跑，这是 3080 条测试能不开小程序就跑完的前提。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演示账号由 </w:t>
      </w:r>
      <w:r>
        <w:rPr>
          <w:rFonts w:ascii="Consolas" w:hAnsi="Consolas" w:eastAsia="宋体"/>
          <w:b w:val="0"/>
          <w:color w:val="A31D1D"/>
          <w:sz w:val="20"/>
        </w:rPr>
        <w:t>school-seed.js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school-mock.js</w:t>
      </w:r>
      <w:r>
        <w:rPr>
          <w:rFonts w:ascii="Times New Roman" w:hAnsi="Times New Roman" w:eastAsia="宋体"/>
          <w:b w:val="0"/>
          <w:sz w:val="21"/>
        </w:rPr>
        <w:t xml:space="preserve"> 维护，页面与协议测试依赖其身份关系；不要把它当真实账号配置。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47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第二节。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全量（3080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 安全与性能优化交接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七项问题的本地修复已完成：他人学号按审核权限控制；新账号使用不可逆的稳定编号；注册与修改复用昵称头像校验；球队清理事务内重读成员身份；名录在数据库内关联与分页；篮球足球个人成绩按关联历史读取；限流桶正常流量下回收并保护容量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新增 4 个共享模块，云端镜像由 87 增至 91。接口、页面和集合数量不变。新增 19 项回归，详见</w:t>
      </w:r>
      <w:r>
        <w:rPr>
          <w:rFonts w:ascii="Times New Roman" w:hAnsi="Times New Roman" w:eastAsia="宋体"/>
          <w:b w:val="0"/>
          <w:sz w:val="21"/>
        </w:rPr>
        <w:t>验收记录</w:t>
      </w:r>
      <w:r>
        <w:rPr>
          <w:rFonts w:ascii="Times New Roman" w:hAnsi="Times New Roman" w:eastAsia="宋体"/>
          <w:b w:val="0"/>
          <w:sz w:val="21"/>
        </w:rPr>
        <w:t>。发布前必须完成</w:t>
      </w:r>
      <w:r>
        <w:rPr>
          <w:rFonts w:ascii="Times New Roman" w:hAnsi="Times New Roman" w:eastAsia="宋体"/>
          <w:b w:val="0"/>
          <w:sz w:val="21"/>
        </w:rPr>
        <w:t>实施方案</w:t>
      </w:r>
      <w:r>
        <w:rPr>
          <w:rFonts w:ascii="Times New Roman" w:hAnsi="Times New Roman" w:eastAsia="宋体"/>
          <w:b w:val="0"/>
          <w:sz w:val="21"/>
        </w:rPr>
        <w:t>中的存量账号与目录字段迁移、新索引、云函数重部署及真机验收。离线工具不会自行连接或修改云端。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