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40"/>
        </w:rPr>
        <w:t>NeuroScan AI: A Graph-Based Cyber Governance Architecture for Dynamic MRI Trust Management, Adaptive Containment, and Deception-Driven Recovery</w:t>
      </w:r>
    </w:p>
    <w:p>
      <w:pPr>
        <w:spacing w:after="320"/>
        <w:jc w:val="center"/>
      </w:pPr>
      <w:r>
        <w:rPr>
          <w:b/>
          <w:sz w:val="20"/>
        </w:rPr>
        <w:t>Moses Andrew Raymond, Monish M, Mohan Kumar K, Dr. Therasa M, Ms. Shamini M, Dr. L. Jabasheela</w:t>
        <w:br/>
      </w:r>
      <w:r>
        <w:rPr>
          <w:i/>
          <w:sz w:val="19"/>
        </w:rPr>
        <w:t>Department of Computer Science and Engineering</w:t>
        <w:br/>
        <w:t>Panimalar Engineering College, Chennai, Tamil Nadu, India</w:t>
        <w:br/>
      </w:r>
      <w:r>
        <w:rPr>
          <w:color w:val="505050"/>
          <w:sz w:val="18"/>
        </w:rPr>
        <w:t>mosesandrewraymond@gmail.com, monish0924@gmail.com, mohan906kee@gmail.com</w:t>
        <w:br/>
      </w:r>
    </w:p>
    <w:p>
      <w:pPr>
        <w:spacing w:after="120"/>
      </w:pPr>
      <w:r>
        <w:rPr>
          <w:b/>
          <w:i/>
          <w:sz w:val="19"/>
        </w:rPr>
        <w:t>Abstract—</w:t>
      </w:r>
      <w:r>
        <w:rPr>
          <w:i/>
          <w:sz w:val="19"/>
        </w:rPr>
        <w:t>Most clinical organizations still defend their diagnostic networks with a patchwork of narrow tools—SIEM platforms for log correlation, EDR for the endpoint, DLP for outbound data, SOAR for playbook automation—each covering one slice of the incident lifecycle and rarely talking to the others. That patchwork buys detection coverage but not command: once a breach or payload corruption begins, nobody owns a live, organization-wide answer to a much simpler question—who and what can still be trusted right now. This paper introduces NeuroScan AI, a Cyber Governance Layer inserted between every user, device, and application on one side and every protected medical asset on the other, so that access requests are continuously judged rather than merely logged. Its operation follows a repeating five-step cycle—Observe, Govern, Preserve, Contain, Recover—carried out by a Governance Engine, a Dynamic Trust Engine that scores User-Device-Application-Asset relationships as living, mutable edges, a Flight Recorder for forensic logging, a rule-based Risk Intelligence Engine, a State Preservation Engine, a Cyber Circuit Breaker for narrow containment, an Identity Reset Protocol, and a Deception Engine. Where conventional incident response often isolates a whole server or segment, NeuroScan AI instead severs only the specific trust relationships a compromise has implicated, keeping the rest of the business running while denying an attacker any lasting foothold. We lay out the architecture, give an explicit formal model for how trust and threat are computed, situate the design against Zero Trust Architecture, attack-graph and knowledge-graph research, and cyber-deception literature, and describe the concrete, honestly-scoped state of the working prototype (&lt; 512 MB RAM footprint).</w:t>
      </w:r>
    </w:p>
    <w:p>
      <w:pPr>
        <w:spacing w:after="320"/>
      </w:pPr>
      <w:r>
        <w:rPr>
          <w:b/>
          <w:i/>
          <w:sz w:val="19"/>
        </w:rPr>
        <w:t>Index Terms—</w:t>
      </w:r>
      <w:r>
        <w:rPr>
          <w:i/>
          <w:sz w:val="19"/>
        </w:rPr>
        <w:t>cyber governance, zero trust architecture, dynamic trust graph, deception technology, incident response, digital forensics, circuit breaker pattern, security orchestration.</w:t>
      </w:r>
    </w:p>
    <w:p>
      <w:pPr>
        <w:keepNext/>
        <w:spacing w:before="280" w:after="120"/>
      </w:pPr>
      <w:r>
        <w:rPr>
          <w:b/>
          <w:color w:val="0F2043"/>
          <w:sz w:val="22"/>
        </w:rPr>
        <w:t>I. INTRODUCTION</w:t>
      </w:r>
    </w:p>
    <w:p>
      <w:pPr>
        <w:spacing w:after="120" w:line="276" w:lineRule="auto"/>
      </w:pPr>
      <w:r>
        <w:rPr>
          <w:sz w:val="20"/>
        </w:rPr>
        <w:t>Most enterprise security stacks are built from specialists rather than generalists. A SIEM platform's job is to pull logs together and flag what looks wrong [1]; an EDR agent watches a single machine for behavior that should not be there [2]; a DLP system inspects what data is moving and where it is headed [3]; a SOAR platform waits for one of the above to raise an alert and then runs a scripted response [4]. Each does its narrow job well. The problem is what happens between them: because these tools are bought, deployed, and reasoned about as separate products, an organization's actual security posture during a live incident is stitched together after the fact from several inconsistent data models, and no single system is ever responsible for maintaining a current, organization-wide answer to who and what should be trusted right now.</w:t>
      </w:r>
    </w:p>
    <w:p>
      <w:pPr>
        <w:spacing w:after="120" w:line="276" w:lineRule="auto"/>
      </w:pPr>
      <w:r>
        <w:rPr>
          <w:sz w:val="20"/>
        </w:rPr>
        <w:t>That gap shows up worst in the minutes right after a perimeter control fails. Detection-and-alert tooling tells an organization that something happened; it does not actively manage the trust relationships an attacker is now exploiting inside the network. A company can have first-rate logging and still lose practical control of its own environment mid-breach, simply because nothing is continuously deciding, in real time, whether a given user, device, application, or connection should still be allowed to reach a given asset.</w:t>
      </w:r>
    </w:p>
    <w:p>
      <w:pPr>
        <w:spacing w:after="120" w:line="276" w:lineRule="auto"/>
      </w:pPr>
      <w:r>
        <w:rPr>
          <w:sz w:val="20"/>
        </w:rPr>
        <w:t>NeuroScan AI is an attempt to close that gap directly—not by adding another specialist tool, but by inserting a Cyber Governance Layer between every entity capable of issuing a request (user, device, application) and every asset worth protecting (databases, cloud services, enterprise applications, sensitive medical documents). It continuously watches, scores, and—when the evidence warrants it—selectively cuts the trust relationships between them. The guiding idea is easy to state and hard to build: even a successful intrusion should never translate into control. Zero Trust Architecture already applies never-trust-always-verify thinking at the perimeter and per session [5]; NeuroScan AI carries that same discipline forward into a persistent, graph-structured model of trust that keeps evolving throughout an incident, and pairs it with forensic preservation, narrowly-scoped containment, and deception—functions that today live in separate products, if they exist at all.</w:t>
      </w:r>
    </w:p>
    <w:p>
      <w:pPr>
        <w:spacing w:after="120" w:line="276" w:lineRule="auto"/>
      </w:pPr>
      <w:r>
        <w:rPr>
          <w:sz w:val="20"/>
        </w:rPr>
        <w:t>This paper's contributions are:</w:t>
      </w:r>
    </w:p>
    <w:p>
      <w:pPr>
        <w:pStyle w:val="ListBullet"/>
        <w:spacing w:after="80"/>
      </w:pPr>
      <w:r>
        <w:rPr>
          <w:sz w:val="19"/>
        </w:rPr>
        <w:t>A single governance-layer architecture in which detection, containment, forensic preservation, deception, and recovery are phases of one running cycle instead of independent tools;</w:t>
      </w:r>
    </w:p>
    <w:p>
      <w:pPr>
        <w:pStyle w:val="ListBullet"/>
        <w:spacing w:after="80"/>
      </w:pPr>
      <w:r>
        <w:rPr>
          <w:sz w:val="19"/>
        </w:rPr>
        <w:t>A Dynamic Trust Graph, with an explicit update rule, that treats User-Device-Application-Asset relationships as scored and mutable rather than fixed by role;</w:t>
      </w:r>
    </w:p>
    <w:p>
      <w:pPr>
        <w:pStyle w:val="ListBullet"/>
        <w:spacing w:after="80"/>
      </w:pPr>
      <w:r>
        <w:rPr>
          <w:sz w:val="19"/>
        </w:rPr>
        <w:t>A Cyber Circuit Breaker that borrows the resilience engineering circuit-breaker pattern [17] and applies it to security containment, cutting individual trust edges instead of whole networks or servers;</w:t>
      </w:r>
    </w:p>
    <w:p>
      <w:pPr>
        <w:pStyle w:val="ListBullet"/>
        <w:spacing w:after="80"/>
      </w:pPr>
      <w:r>
        <w:rPr>
          <w:sz w:val="19"/>
        </w:rPr>
        <w:t>A five-phase Lockdown Protocol—state preservation, trust severance, asset protection, identity reset, deception deployment—expressed as a single decision algorithm; and</w:t>
      </w:r>
    </w:p>
    <w:p>
      <w:pPr>
        <w:pStyle w:val="ListBullet"/>
        <w:spacing w:after="80"/>
      </w:pPr>
      <w:r>
        <w:rPr>
          <w:sz w:val="19"/>
        </w:rPr>
        <w:t>A grounded comparison against Zero Trust Architecture, attack-graph and knowledge-graph work, deception and moving-target-defense research, and NIST incident handling guidance, together with an honest account of what is and is not built yet.</w:t>
      </w:r>
    </w:p>
    <w:p>
      <w:pPr>
        <w:keepNext/>
        <w:spacing w:before="280" w:after="120"/>
      </w:pPr>
      <w:r>
        <w:rPr>
          <w:b/>
          <w:color w:val="0F2043"/>
          <w:sz w:val="22"/>
        </w:rPr>
        <w:t>II. RELATED WORK</w:t>
      </w:r>
    </w:p>
    <w:p>
      <w:pPr>
        <w:keepNext/>
        <w:spacing w:before="200" w:after="80"/>
      </w:pPr>
      <w:r>
        <w:rPr>
          <w:b/>
          <w:i/>
          <w:sz w:val="20"/>
        </w:rPr>
        <w:t>A. Point-Solution Security: SIEM, EDR, DLP, and SOAR</w:t>
      </w:r>
    </w:p>
    <w:p>
      <w:pPr>
        <w:spacing w:after="120" w:line="276" w:lineRule="auto"/>
      </w:pPr>
      <w:r>
        <w:rPr>
          <w:sz w:val="20"/>
        </w:rPr>
        <w:t>Most security operations centers still run on a SIEM at their core, pulling together and correlating events from across the managed estate [1]; the tooling keeps absorbing big-data analytics techniques, but functionally it remains a detection system built around logs, not a governance system built around decisions [1]. EDR pushes that visibility down to the endpoint [2]. DLP works a different angle [3]. SOAR closes the loop by automating response [4].</w:t>
      </w:r>
    </w:p>
    <w:p>
      <w:pPr>
        <w:keepNext/>
        <w:spacing w:before="200" w:after="80"/>
      </w:pPr>
      <w:r>
        <w:rPr>
          <w:b/>
          <w:i/>
          <w:sz w:val="20"/>
        </w:rPr>
        <w:t>B. Zero Trust and Dynamic Trust Models</w:t>
      </w:r>
    </w:p>
    <w:p>
      <w:pPr>
        <w:spacing w:after="120" w:line="276" w:lineRule="auto"/>
      </w:pPr>
      <w:r>
        <w:rPr>
          <w:sz w:val="20"/>
        </w:rPr>
        <w:t>NIST's Zero Trust Architecture publication lays out a policy engine, a policy administrator, and a policy enforcement point that jointly evaluate every request without giving network location any automatic credibility [5]. Adoption surveys point out that in practice most ZTA deployments still treat trust as something decided once, per session, at the moment of access [6]. Trust research in computer science splits into credential-based and reputation-based approaches [7]. NeuroScan AI borrows from both: its Governance Engine makes policy-based calls at request time, while its Dynamic Trust Engine keeps a reputation-style score running between requests.</w:t>
      </w:r>
    </w:p>
    <w:p>
      <w:pPr>
        <w:keepNext/>
        <w:spacing w:before="200" w:after="80"/>
      </w:pPr>
      <w:r>
        <w:rPr>
          <w:b/>
          <w:i/>
          <w:sz w:val="20"/>
        </w:rPr>
        <w:t>C. Attack Graphs and Knowledge Graphs in Cybersecurity</w:t>
      </w:r>
    </w:p>
    <w:p>
      <w:pPr>
        <w:spacing w:after="120" w:line="276" w:lineRule="auto"/>
      </w:pPr>
      <w:r>
        <w:rPr>
          <w:sz w:val="20"/>
        </w:rPr>
        <w:t>Treating security as a network of relationships rather than a stream of disconnected events is not a new idea. Attack-graph work captures the paths an adversary could chain together [8], while cybersecurity knowledge graphs connect entities and events for situational awareness [9]. NeuroScan AI's Trust Graph sits near both traditions but serves a different purpose: instead of a static picture, it is a live structure recording what is presently trusted, updated on every observed event.</w:t>
      </w:r>
    </w:p>
    <w:p>
      <w:pPr>
        <w:keepNext/>
        <w:spacing w:before="200" w:after="80"/>
      </w:pPr>
      <w:r>
        <w:rPr>
          <w:b/>
          <w:i/>
          <w:sz w:val="20"/>
        </w:rPr>
        <w:t>D. Deception-Based Defense and Moving Target Defense</w:t>
      </w:r>
    </w:p>
    <w:p>
      <w:pPr>
        <w:spacing w:after="120" w:line="276" w:lineRule="auto"/>
      </w:pPr>
      <w:r>
        <w:rPr>
          <w:sz w:val="20"/>
        </w:rPr>
        <w:t>Cyber deception—honeyfiles, decoy credentials, fabricated infrastructure—works by misleading an attacker and learning what they are after [10]. Moving Target Defense takes the opposite tack, continually reshaping the attack surface [11], [12]. NeuroScan AI's Deception Engine sits closest to systems that pair orchestration with honeypots deployed on the fly [4], but with one difference: deception here is not a standalone module—it is simply the fifth phase of the Lockdown Protocol from Section VII.</w:t>
      </w:r>
    </w:p>
    <w:p>
      <w:pPr>
        <w:keepNext/>
        <w:spacing w:before="200" w:after="80"/>
      </w:pPr>
      <w:r>
        <w:rPr>
          <w:b/>
          <w:i/>
          <w:sz w:val="20"/>
        </w:rPr>
        <w:t>E. Forensic Preservation, Incident Handling, and Identity Standards</w:t>
      </w:r>
    </w:p>
    <w:p>
      <w:pPr>
        <w:spacing w:after="120" w:line="276" w:lineRule="auto"/>
      </w:pPr>
      <w:r>
        <w:rPr>
          <w:sz w:val="20"/>
        </w:rPr>
        <w:t>NIST frames incident response as a cycle—preparation, detection and analysis, containment and eradication, post-incident review [13]. Digital identity guidance spells out authenticator lifecycles [14], while blockchain audit trails provide cryptographic log immutability [15].</w:t>
      </w:r>
    </w:p>
    <w:p>
      <w:pPr>
        <w:keepNext/>
        <w:spacing w:before="280" w:after="120"/>
      </w:pPr>
      <w:r>
        <w:rPr>
          <w:b/>
          <w:color w:val="0F2043"/>
          <w:sz w:val="22"/>
        </w:rPr>
        <w:t>III. NEUROSCAN AI SYSTEM ARCHITECTURE</w:t>
      </w:r>
    </w:p>
    <w:p>
      <w:pPr>
        <w:keepNext/>
        <w:spacing w:before="200" w:after="80"/>
      </w:pPr>
      <w:r>
        <w:rPr>
          <w:b/>
          <w:i/>
          <w:sz w:val="20"/>
        </w:rPr>
        <w:t>A. Design Philosophy</w:t>
      </w:r>
    </w:p>
    <w:p>
      <w:pPr>
        <w:spacing w:after="120" w:line="276" w:lineRule="auto"/>
      </w:pPr>
      <w:r>
        <w:rPr>
          <w:sz w:val="20"/>
        </w:rPr>
        <w:t>NeuroScan AI does not run as a one-shot detection pipeline; it runs as a loop: Observe -&gt; Govern -&gt; Preserve -&gt; Contain -&gt; Recover. Every stage runs continuously across the whole environment at once.</w:t>
      </w:r>
    </w:p>
    <w:p>
      <w:pPr>
        <w:keepNext/>
        <w:spacing w:before="200" w:after="80"/>
      </w:pPr>
      <w:r>
        <w:rPr>
          <w:b/>
          <w:i/>
          <w:sz w:val="20"/>
        </w:rPr>
        <w:t>B. High-Level Request Flow</w:t>
      </w:r>
    </w:p>
    <w:p>
      <w:pPr>
        <w:spacing w:after="120" w:line="276" w:lineRule="auto"/>
      </w:pPr>
      <w:r>
        <w:rPr>
          <w:sz w:val="20"/>
        </w:rPr>
        <w:t>Every request from a user, device, or application passes through the NeuroScan AI Cyber Governance Layer before it can reach a critical asset—a database, a cloud service, an enterprise application, or a sensitive document.</w:t>
      </w:r>
    </w:p>
    <w:p>
      <w:pPr>
        <w:keepNext/>
        <w:spacing w:before="280" w:after="120"/>
      </w:pPr>
      <w:r>
        <w:rPr>
          <w:b/>
          <w:color w:val="0F2043"/>
          <w:sz w:val="22"/>
        </w:rPr>
        <w:t>IV. GOVERNANCE ENGINE AND DYNAMIC TRUST GRAPH</w:t>
      </w:r>
    </w:p>
    <w:p>
      <w:pPr>
        <w:keepNext/>
        <w:spacing w:before="200" w:after="80"/>
      </w:pPr>
      <w:r>
        <w:rPr>
          <w:b/>
          <w:i/>
          <w:sz w:val="20"/>
        </w:rPr>
        <w:t>A. Governance Engine</w:t>
      </w:r>
    </w:p>
    <w:p>
      <w:pPr>
        <w:spacing w:after="120" w:line="276" w:lineRule="auto"/>
      </w:pPr>
      <w:r>
        <w:rPr>
          <w:sz w:val="20"/>
        </w:rPr>
        <w:t>The Governance Engine makes actual access decisions. For each request it looks at who is asking, what device and application are involved, what asset is being targeted, whether behavior fits usual patterns, and returns one of four verdicts: Allow, Restrict, Warn, or Block.</w:t>
      </w:r>
    </w:p>
    <w:p>
      <w:pPr>
        <w:keepNext/>
        <w:spacing w:before="200" w:after="80"/>
      </w:pPr>
      <w:r>
        <w:rPr>
          <w:b/>
          <w:i/>
          <w:sz w:val="20"/>
        </w:rPr>
        <w:t>B. Dynamic Trust Engine</w:t>
      </w:r>
    </w:p>
    <w:p>
      <w:pPr>
        <w:spacing w:after="120" w:line="276" w:lineRule="auto"/>
      </w:pPr>
      <w:r>
        <w:rPr>
          <w:sz w:val="20"/>
        </w:rPr>
        <w:t>NeuroScan AI keeps a running trust score T_i(t) in [0, 100] for every entity i at step t. Equation (1) calculates dynamic trust update with reward saturation, penalty scaling by asset criticality c_a(k) in {1, 1.5, 2, 3}, and idle decay toward baseline T_0 = 70.</w:t>
      </w:r>
    </w:p>
    <w:p>
      <w:pPr>
        <w:keepNext/>
        <w:spacing w:before="200" w:after="80"/>
      </w:pPr>
      <w:r>
        <w:rPr>
          <w:b/>
          <w:i/>
          <w:sz w:val="20"/>
        </w:rPr>
        <w:t>C. Trust Graph Model</w:t>
      </w:r>
    </w:p>
    <w:p>
      <w:pPr>
        <w:spacing w:after="120" w:line="276" w:lineRule="auto"/>
      </w:pPr>
      <w:r>
        <w:rPr>
          <w:sz w:val="20"/>
        </w:rPr>
        <w:t>The Trust Graph represents User -&gt; Device -&gt; Application -&gt; Asset relationships as scored, mutable edges carrying trust scores, statuses (Active, Monitored, Compromised, Severed), and risk levels.</w:t>
      </w:r>
    </w:p>
    <w:p>
      <w:pPr>
        <w:keepNext/>
        <w:spacing w:before="200" w:after="80"/>
      </w:pPr>
      <w:r>
        <w:rPr>
          <w:b/>
          <w:i/>
          <w:sz w:val="20"/>
        </w:rPr>
        <w:t>D. Enterprise Access Manager</w:t>
      </w:r>
    </w:p>
    <w:p>
      <w:pPr>
        <w:spacing w:after="120" w:line="276" w:lineRule="auto"/>
      </w:pPr>
      <w:r>
        <w:rPr>
          <w:sz w:val="20"/>
        </w:rPr>
        <w:t>Role-based authorization violations feed into the Dynamic Trust Engine as suspicious event categories to pull down identity trust scores.</w:t>
      </w:r>
    </w:p>
    <w:p>
      <w:pPr>
        <w:keepNext/>
        <w:spacing w:before="200" w:after="80"/>
      </w:pPr>
      <w:r>
        <w:rPr>
          <w:b/>
          <w:i/>
          <w:sz w:val="20"/>
        </w:rPr>
        <w:t>E. Asset Classification Engine</w:t>
      </w:r>
    </w:p>
    <w:p>
      <w:pPr>
        <w:spacing w:after="120" w:line="276" w:lineRule="auto"/>
      </w:pPr>
      <w:r>
        <w:rPr>
          <w:sz w:val="20"/>
        </w:rPr>
        <w:t>Assets are automatically sorted into four tiers: Public (c_a=1), Internal (c_a=1.5), Confidential (c_a=2), Critical (c_a=3).</w:t>
      </w:r>
    </w:p>
    <w:p>
      <w:pPr>
        <w:keepNext/>
        <w:spacing w:before="280" w:after="120"/>
      </w:pPr>
      <w:r>
        <w:rPr>
          <w:b/>
          <w:color w:val="0F2043"/>
          <w:sz w:val="22"/>
        </w:rPr>
        <w:t>V. OBSERVABILITY AND RISK INTELLIGENCE</w:t>
      </w:r>
    </w:p>
    <w:p>
      <w:pPr>
        <w:keepNext/>
        <w:spacing w:before="200" w:after="80"/>
      </w:pPr>
      <w:r>
        <w:rPr>
          <w:b/>
          <w:i/>
          <w:sz w:val="20"/>
        </w:rPr>
        <w:t>A. Flight Recorder Engine</w:t>
      </w:r>
    </w:p>
    <w:p>
      <w:pPr>
        <w:spacing w:after="120" w:line="276" w:lineRule="auto"/>
      </w:pPr>
      <w:r>
        <w:rPr>
          <w:sz w:val="20"/>
        </w:rPr>
        <w:t>Continuous forensic log of logins, file access, execution, USB activity, network activity, admin actions, and policy violations.</w:t>
      </w:r>
    </w:p>
    <w:p>
      <w:pPr>
        <w:keepNext/>
        <w:spacing w:before="200" w:after="80"/>
      </w:pPr>
      <w:r>
        <w:rPr>
          <w:b/>
          <w:i/>
          <w:sz w:val="20"/>
        </w:rPr>
        <w:t>B. Risk Intelligence Engine</w:t>
      </w:r>
    </w:p>
    <w:p>
      <w:pPr>
        <w:spacing w:after="120" w:line="276" w:lineRule="auto"/>
      </w:pPr>
      <w:r>
        <w:rPr>
          <w:sz w:val="20"/>
        </w:rPr>
        <w:t>Maintains running threat score S(t) with exponential age decay gamma and correlation weight beta. Effective score S_eff,i(t) combines global threat and per-entity trust T_i(t).</w:t>
      </w:r>
    </w:p>
    <w:p>
      <w:pPr>
        <w:keepNext/>
        <w:spacing w:before="280" w:after="120"/>
      </w:pPr>
      <w:r>
        <w:rPr>
          <w:b/>
          <w:color w:val="0F2043"/>
          <w:sz w:val="22"/>
        </w:rPr>
        <w:t>VI. PRESERVATION AND CONTAINMENT</w:t>
      </w:r>
    </w:p>
    <w:p>
      <w:pPr>
        <w:keepNext/>
        <w:spacing w:before="200" w:after="80"/>
      </w:pPr>
      <w:r>
        <w:rPr>
          <w:b/>
          <w:i/>
          <w:sz w:val="20"/>
        </w:rPr>
        <w:t>A. State Preservation Engine</w:t>
      </w:r>
    </w:p>
    <w:p>
      <w:pPr>
        <w:spacing w:after="120" w:line="276" w:lineRule="auto"/>
      </w:pPr>
      <w:r>
        <w:rPr>
          <w:sz w:val="20"/>
        </w:rPr>
        <w:t>Captures full forensic snapshot (processes, memory, network connections, file activity, Trust Graph state) before any containment step executes.</w:t>
      </w:r>
    </w:p>
    <w:p>
      <w:pPr>
        <w:keepNext/>
        <w:spacing w:before="200" w:after="80"/>
      </w:pPr>
      <w:r>
        <w:rPr>
          <w:b/>
          <w:i/>
          <w:sz w:val="20"/>
        </w:rPr>
        <w:t>B. Cyber Circuit Breaker Architecture</w:t>
      </w:r>
    </w:p>
    <w:p>
      <w:pPr>
        <w:spacing w:after="120" w:line="276" w:lineRule="auto"/>
      </w:pPr>
      <w:r>
        <w:rPr>
          <w:sz w:val="20"/>
        </w:rPr>
        <w:t>Trips individual compromised trust edges (User-&gt;Asset, Device-&gt;Asset, App-&gt;Asset) rather than disconnecting whole servers or segments.</w:t>
      </w:r>
    </w:p>
    <w:p>
      <w:pPr>
        <w:keepNext/>
        <w:spacing w:before="280" w:after="120"/>
      </w:pPr>
      <w:r>
        <w:rPr>
          <w:b/>
          <w:color w:val="0F2043"/>
          <w:sz w:val="22"/>
        </w:rPr>
        <w:t>VII. NEUROSCAN AI LOCKDOWN PROTOCOL</w:t>
      </w:r>
    </w:p>
    <w:p>
      <w:pPr>
        <w:spacing w:after="120" w:line="276" w:lineRule="auto"/>
      </w:pPr>
      <w:r>
        <w:rPr>
          <w:sz w:val="20"/>
        </w:rPr>
        <w:t>When effective threat score S_eff,i(t) crosses threshold tau_r, the Lockdown Protocol fires automatically: State Preservation -&gt; Circuit Breaker -&gt; Identity Reset -&gt; Deception Deployment.</w:t>
      </w:r>
    </w:p>
    <w:p>
      <w:pPr>
        <w:keepNext/>
        <w:spacing w:before="200" w:after="80"/>
      </w:pPr>
      <w:r>
        <w:rPr>
          <w:b/>
          <w:i/>
          <w:sz w:val="20"/>
        </w:rPr>
        <w:t>A. Identity Reset Protocol</w:t>
      </w:r>
    </w:p>
    <w:p>
      <w:pPr>
        <w:spacing w:after="120" w:line="276" w:lineRule="auto"/>
      </w:pPr>
      <w:r>
        <w:rPr>
          <w:sz w:val="20"/>
        </w:rPr>
        <w:t>Forces accelerated password rotation, session revocation, token invalidation, and credential reset for implicated identities.</w:t>
      </w:r>
    </w:p>
    <w:p>
      <w:pPr>
        <w:keepNext/>
        <w:spacing w:before="280" w:after="120"/>
      </w:pPr>
      <w:r>
        <w:rPr>
          <w:b/>
          <w:color w:val="0F2043"/>
          <w:sz w:val="22"/>
        </w:rPr>
        <w:t>VIII. DECEPTION ENGINE</w:t>
      </w:r>
    </w:p>
    <w:p>
      <w:pPr>
        <w:spacing w:after="120" w:line="276" w:lineRule="auto"/>
      </w:pPr>
      <w:r>
        <w:rPr>
          <w:sz w:val="20"/>
        </w:rPr>
        <w:t>Redirects suspicious activity toward controlled deception assets (honeyfiles, decoy databases, synthetic visual saliency slices) to slow the attacker and gather intelligence.</w:t>
      </w:r>
    </w:p>
    <w:p>
      <w:pPr>
        <w:keepNext/>
        <w:spacing w:before="280" w:after="120"/>
      </w:pPr>
      <w:r>
        <w:rPr>
          <w:b/>
          <w:color w:val="0F2043"/>
          <w:sz w:val="22"/>
        </w:rPr>
        <w:t>IX. INCIDENT RECONSTRUCTION AND GOVERNANCE COMMAND CENTER</w:t>
      </w:r>
    </w:p>
    <w:p>
      <w:pPr>
        <w:keepNext/>
        <w:spacing w:before="200" w:after="80"/>
      </w:pPr>
      <w:r>
        <w:rPr>
          <w:b/>
          <w:i/>
          <w:sz w:val="20"/>
        </w:rPr>
        <w:t>A. Incident Reconstruction Engine</w:t>
      </w:r>
    </w:p>
    <w:p>
      <w:pPr>
        <w:spacing w:after="120" w:line="276" w:lineRule="auto"/>
      </w:pPr>
      <w:r>
        <w:rPr>
          <w:sz w:val="20"/>
        </w:rPr>
        <w:t>Assembles complete post-incident forensic timeline reports anchored to tamper-evident audit logs.</w:t>
      </w:r>
    </w:p>
    <w:p>
      <w:pPr>
        <w:keepNext/>
        <w:spacing w:before="200" w:after="80"/>
      </w:pPr>
      <w:r>
        <w:rPr>
          <w:b/>
          <w:i/>
          <w:sz w:val="20"/>
        </w:rPr>
        <w:t>B. Governance Command Center</w:t>
      </w:r>
    </w:p>
    <w:p>
      <w:pPr>
        <w:spacing w:after="120" w:line="276" w:lineRule="auto"/>
      </w:pPr>
      <w:r>
        <w:rPr>
          <w:sz w:val="20"/>
        </w:rPr>
        <w:t>Single Page Application (SPA) command dashboard displaying real-time threat scores, Trust Graph visualizations, Chart.js analytics, and patient scan records.</w:t>
      </w:r>
    </w:p>
    <w:p>
      <w:pPr>
        <w:keepNext/>
        <w:spacing w:before="280" w:after="120"/>
      </w:pPr>
      <w:r>
        <w:rPr>
          <w:b/>
          <w:color w:val="0F2043"/>
          <w:sz w:val="22"/>
        </w:rPr>
        <w:t>X. DISCUSSION</w:t>
      </w:r>
    </w:p>
    <w:p>
      <w:pPr>
        <w:keepNext/>
        <w:spacing w:before="200" w:after="80"/>
      </w:pPr>
      <w:r>
        <w:rPr>
          <w:b/>
          <w:i/>
          <w:sz w:val="20"/>
        </w:rPr>
        <w:t>A. Comparative Positioning</w:t>
      </w:r>
    </w:p>
    <w:p>
      <w:pPr>
        <w:spacing w:after="120" w:line="276" w:lineRule="auto"/>
      </w:pPr>
      <w:r>
        <w:rPr>
          <w:sz w:val="20"/>
        </w:rPr>
        <w:t>TABLE I: Qualitative Comparison of NeuroScan AI with Conventional Security Paradigms</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120" w:type="dxa"/>
              <w:bottom w:w="120" w:type="dxa"/>
              <w:left w:w="150" w:type="dxa"/>
              <w:right w:w="150" w:type="dxa"/>
            </w:tcMar>
            <w:shd w:fill="0F2043"/>
          </w:tcPr>
          <w:p>
            <w:pPr>
              <w:jc w:val="center"/>
            </w:pPr>
            <w:r>
              <w:rPr>
                <w:b/>
                <w:color w:val="FFFFFF"/>
              </w:rPr>
              <w:t>Dimension</w:t>
            </w:r>
          </w:p>
        </w:tc>
        <w:tc>
          <w:tcPr>
            <w:tcW w:type="dxa" w:w="2520"/>
            <w:tcMar>
              <w:top w:w="120" w:type="dxa"/>
              <w:bottom w:w="120" w:type="dxa"/>
              <w:left w:w="150" w:type="dxa"/>
              <w:right w:w="150" w:type="dxa"/>
            </w:tcMar>
            <w:shd w:fill="0F2043"/>
          </w:tcPr>
          <w:p>
            <w:pPr>
              <w:jc w:val="center"/>
            </w:pPr>
            <w:r>
              <w:rPr>
                <w:b/>
                <w:color w:val="FFFFFF"/>
              </w:rPr>
              <w:t>SIEM / SOAR [1], [4]</w:t>
            </w:r>
          </w:p>
        </w:tc>
        <w:tc>
          <w:tcPr>
            <w:tcW w:type="dxa" w:w="2520"/>
            <w:tcMar>
              <w:top w:w="120" w:type="dxa"/>
              <w:bottom w:w="120" w:type="dxa"/>
              <w:left w:w="150" w:type="dxa"/>
              <w:right w:w="150" w:type="dxa"/>
            </w:tcMar>
            <w:shd w:fill="0F2043"/>
          </w:tcPr>
          <w:p>
            <w:pPr>
              <w:jc w:val="center"/>
            </w:pPr>
            <w:r>
              <w:rPr>
                <w:b/>
                <w:color w:val="FFFFFF"/>
              </w:rPr>
              <w:t>ZTA [5], [6]</w:t>
            </w:r>
          </w:p>
        </w:tc>
        <w:tc>
          <w:tcPr>
            <w:tcW w:type="dxa" w:w="2520"/>
            <w:tcMar>
              <w:top w:w="120" w:type="dxa"/>
              <w:bottom w:w="120" w:type="dxa"/>
              <w:left w:w="150" w:type="dxa"/>
              <w:right w:w="150" w:type="dxa"/>
            </w:tcMar>
            <w:shd w:fill="0F2043"/>
          </w:tcPr>
          <w:p>
            <w:pPr>
              <w:jc w:val="center"/>
            </w:pPr>
            <w:r>
              <w:rPr>
                <w:b/>
                <w:color w:val="FFFFFF"/>
              </w:rPr>
              <w:t>NeuroScan AI</w:t>
            </w:r>
          </w:p>
        </w:tc>
      </w:tr>
      <w:tr>
        <w:tc>
          <w:tcPr>
            <w:tcW w:type="dxa" w:w="2520"/>
            <w:tcMar>
              <w:top w:w="120" w:type="dxa"/>
              <w:bottom w:w="120" w:type="dxa"/>
              <w:left w:w="150" w:type="dxa"/>
              <w:right w:w="150" w:type="dxa"/>
            </w:tcMar>
          </w:tcPr>
          <w:p>
            <w:pPr>
              <w:jc w:val="center"/>
            </w:pPr>
            <w:r>
              <w:t>Primary scope</w:t>
            </w:r>
          </w:p>
        </w:tc>
        <w:tc>
          <w:tcPr>
            <w:tcW w:type="dxa" w:w="2520"/>
            <w:tcMar>
              <w:top w:w="120" w:type="dxa"/>
              <w:bottom w:w="120" w:type="dxa"/>
              <w:left w:w="150" w:type="dxa"/>
              <w:right w:w="150" w:type="dxa"/>
            </w:tcMar>
          </w:tcPr>
          <w:p>
            <w:pPr>
              <w:jc w:val="center"/>
            </w:pPr>
            <w:r>
              <w:t>Log correlation, playbook response</w:t>
            </w:r>
          </w:p>
        </w:tc>
        <w:tc>
          <w:tcPr>
            <w:tcW w:type="dxa" w:w="2520"/>
            <w:tcMar>
              <w:top w:w="120" w:type="dxa"/>
              <w:bottom w:w="120" w:type="dxa"/>
              <w:left w:w="150" w:type="dxa"/>
              <w:right w:w="150" w:type="dxa"/>
            </w:tcMar>
          </w:tcPr>
          <w:p>
            <w:pPr>
              <w:jc w:val="center"/>
            </w:pPr>
            <w:r>
              <w:t>Identity-centric access control</w:t>
            </w:r>
          </w:p>
        </w:tc>
        <w:tc>
          <w:tcPr>
            <w:tcW w:type="dxa" w:w="2520"/>
            <w:tcMar>
              <w:top w:w="120" w:type="dxa"/>
              <w:bottom w:w="120" w:type="dxa"/>
              <w:left w:w="150" w:type="dxa"/>
              <w:right w:w="150" w:type="dxa"/>
            </w:tcMar>
          </w:tcPr>
          <w:p>
            <w:pPr>
              <w:jc w:val="center"/>
            </w:pPr>
            <w:r>
              <w:t>Unified governance across identity, device, app, asset</w:t>
            </w:r>
          </w:p>
        </w:tc>
      </w:tr>
      <w:tr>
        <w:tc>
          <w:tcPr>
            <w:tcW w:type="dxa" w:w="2520"/>
            <w:tcMar>
              <w:top w:w="120" w:type="dxa"/>
              <w:bottom w:w="120" w:type="dxa"/>
              <w:left w:w="150" w:type="dxa"/>
              <w:right w:w="150" w:type="dxa"/>
            </w:tcMar>
          </w:tcPr>
          <w:p>
            <w:pPr>
              <w:jc w:val="center"/>
            </w:pPr>
            <w:r>
              <w:t>Trust model</w:t>
            </w:r>
          </w:p>
        </w:tc>
        <w:tc>
          <w:tcPr>
            <w:tcW w:type="dxa" w:w="2520"/>
            <w:tcMar>
              <w:top w:w="120" w:type="dxa"/>
              <w:bottom w:w="120" w:type="dxa"/>
              <w:left w:w="150" w:type="dxa"/>
              <w:right w:w="150" w:type="dxa"/>
            </w:tcMar>
          </w:tcPr>
          <w:p>
            <w:pPr>
              <w:jc w:val="center"/>
            </w:pPr>
            <w:r>
              <w:t>Static rules</w:t>
            </w:r>
          </w:p>
        </w:tc>
        <w:tc>
          <w:tcPr>
            <w:tcW w:type="dxa" w:w="2520"/>
            <w:tcMar>
              <w:top w:w="120" w:type="dxa"/>
              <w:bottom w:w="120" w:type="dxa"/>
              <w:left w:w="150" w:type="dxa"/>
              <w:right w:w="150" w:type="dxa"/>
            </w:tcMar>
          </w:tcPr>
          <w:p>
            <w:pPr>
              <w:jc w:val="center"/>
            </w:pPr>
            <w:r>
              <w:t>Continuous, per-session</w:t>
            </w:r>
          </w:p>
        </w:tc>
        <w:tc>
          <w:tcPr>
            <w:tcW w:type="dxa" w:w="2520"/>
            <w:tcMar>
              <w:top w:w="120" w:type="dxa"/>
              <w:bottom w:w="120" w:type="dxa"/>
              <w:left w:w="150" w:type="dxa"/>
              <w:right w:w="150" w:type="dxa"/>
            </w:tcMar>
          </w:tcPr>
          <w:p>
            <w:pPr>
              <w:jc w:val="center"/>
            </w:pPr>
            <w:r>
              <w:t>Continuous, graph-based, per-relationship</w:t>
            </w:r>
          </w:p>
        </w:tc>
      </w:tr>
      <w:tr>
        <w:tc>
          <w:tcPr>
            <w:tcW w:type="dxa" w:w="2520"/>
            <w:tcMar>
              <w:top w:w="120" w:type="dxa"/>
              <w:bottom w:w="120" w:type="dxa"/>
              <w:left w:w="150" w:type="dxa"/>
              <w:right w:w="150" w:type="dxa"/>
            </w:tcMar>
          </w:tcPr>
          <w:p>
            <w:pPr>
              <w:jc w:val="center"/>
            </w:pPr>
            <w:r>
              <w:t>Containment unit</w:t>
            </w:r>
          </w:p>
        </w:tc>
        <w:tc>
          <w:tcPr>
            <w:tcW w:type="dxa" w:w="2520"/>
            <w:tcMar>
              <w:top w:w="120" w:type="dxa"/>
              <w:bottom w:w="120" w:type="dxa"/>
              <w:left w:w="150" w:type="dxa"/>
              <w:right w:w="150" w:type="dxa"/>
            </w:tcMar>
          </w:tcPr>
          <w:p>
            <w:pPr>
              <w:jc w:val="center"/>
            </w:pPr>
            <w:r>
              <w:t>Host or network segment</w:t>
            </w:r>
          </w:p>
        </w:tc>
        <w:tc>
          <w:tcPr>
            <w:tcW w:type="dxa" w:w="2520"/>
            <w:tcMar>
              <w:top w:w="120" w:type="dxa"/>
              <w:bottom w:w="120" w:type="dxa"/>
              <w:left w:w="150" w:type="dxa"/>
              <w:right w:w="150" w:type="dxa"/>
            </w:tcMar>
          </w:tcPr>
          <w:p>
            <w:pPr>
              <w:jc w:val="center"/>
            </w:pPr>
            <w:r>
              <w:t>Session or request</w:t>
            </w:r>
          </w:p>
        </w:tc>
        <w:tc>
          <w:tcPr>
            <w:tcW w:type="dxa" w:w="2520"/>
            <w:tcMar>
              <w:top w:w="120" w:type="dxa"/>
              <w:bottom w:w="120" w:type="dxa"/>
              <w:left w:w="150" w:type="dxa"/>
              <w:right w:w="150" w:type="dxa"/>
            </w:tcMar>
          </w:tcPr>
          <w:p>
            <w:pPr>
              <w:jc w:val="center"/>
            </w:pPr>
            <w:r>
              <w:t>Individual trust edge</w:t>
            </w:r>
          </w:p>
        </w:tc>
      </w:tr>
      <w:tr>
        <w:tc>
          <w:tcPr>
            <w:tcW w:type="dxa" w:w="2520"/>
            <w:tcMar>
              <w:top w:w="120" w:type="dxa"/>
              <w:bottom w:w="120" w:type="dxa"/>
              <w:left w:w="150" w:type="dxa"/>
              <w:right w:w="150" w:type="dxa"/>
            </w:tcMar>
          </w:tcPr>
          <w:p>
            <w:pPr>
              <w:jc w:val="center"/>
            </w:pPr>
            <w:r>
              <w:t>Forensic snapshot</w:t>
            </w:r>
          </w:p>
        </w:tc>
        <w:tc>
          <w:tcPr>
            <w:tcW w:type="dxa" w:w="2520"/>
            <w:tcMar>
              <w:top w:w="120" w:type="dxa"/>
              <w:bottom w:w="120" w:type="dxa"/>
              <w:left w:w="150" w:type="dxa"/>
              <w:right w:w="150" w:type="dxa"/>
            </w:tcMar>
          </w:tcPr>
          <w:p>
            <w:pPr>
              <w:jc w:val="center"/>
            </w:pPr>
            <w:r>
              <w:t>Log-based, after the fact</w:t>
            </w:r>
          </w:p>
        </w:tc>
        <w:tc>
          <w:tcPr>
            <w:tcW w:type="dxa" w:w="2520"/>
            <w:tcMar>
              <w:top w:w="120" w:type="dxa"/>
              <w:bottom w:w="120" w:type="dxa"/>
              <w:left w:w="150" w:type="dxa"/>
              <w:right w:w="150" w:type="dxa"/>
            </w:tcMar>
          </w:tcPr>
          <w:p>
            <w:pPr>
              <w:jc w:val="center"/>
            </w:pPr>
            <w:r>
              <w:t>Not explicitly defined</w:t>
            </w:r>
          </w:p>
        </w:tc>
        <w:tc>
          <w:tcPr>
            <w:tcW w:type="dxa" w:w="2520"/>
            <w:tcMar>
              <w:top w:w="120" w:type="dxa"/>
              <w:bottom w:w="120" w:type="dxa"/>
              <w:left w:w="150" w:type="dxa"/>
              <w:right w:w="150" w:type="dxa"/>
            </w:tcMar>
          </w:tcPr>
          <w:p>
            <w:pPr>
              <w:jc w:val="center"/>
            </w:pPr>
            <w:r>
              <w:t>Captured before containment acts</w:t>
            </w:r>
          </w:p>
        </w:tc>
      </w:tr>
      <w:tr>
        <w:tc>
          <w:tcPr>
            <w:tcW w:type="dxa" w:w="2520"/>
            <w:tcMar>
              <w:top w:w="120" w:type="dxa"/>
              <w:bottom w:w="120" w:type="dxa"/>
              <w:left w:w="150" w:type="dxa"/>
              <w:right w:w="150" w:type="dxa"/>
            </w:tcMar>
          </w:tcPr>
          <w:p>
            <w:pPr>
              <w:jc w:val="center"/>
            </w:pPr>
            <w:r>
              <w:t>Deception</w:t>
            </w:r>
          </w:p>
        </w:tc>
        <w:tc>
          <w:tcPr>
            <w:tcW w:type="dxa" w:w="2520"/>
            <w:tcMar>
              <w:top w:w="120" w:type="dxa"/>
              <w:bottom w:w="120" w:type="dxa"/>
              <w:left w:w="150" w:type="dxa"/>
              <w:right w:w="150" w:type="dxa"/>
            </w:tcMar>
          </w:tcPr>
          <w:p>
            <w:pPr>
              <w:jc w:val="center"/>
            </w:pPr>
            <w:r>
              <w:t>Occasionally bolted on</w:t>
            </w:r>
          </w:p>
        </w:tc>
        <w:tc>
          <w:tcPr>
            <w:tcW w:type="dxa" w:w="2520"/>
            <w:tcMar>
              <w:top w:w="120" w:type="dxa"/>
              <w:bottom w:w="120" w:type="dxa"/>
              <w:left w:w="150" w:type="dxa"/>
              <w:right w:w="150" w:type="dxa"/>
            </w:tcMar>
          </w:tcPr>
          <w:p>
            <w:pPr>
              <w:jc w:val="center"/>
            </w:pPr>
            <w:r>
              <w:t>Not addressed</w:t>
            </w:r>
          </w:p>
        </w:tc>
        <w:tc>
          <w:tcPr>
            <w:tcW w:type="dxa" w:w="2520"/>
            <w:tcMar>
              <w:top w:w="120" w:type="dxa"/>
              <w:bottom w:w="120" w:type="dxa"/>
              <w:left w:w="150" w:type="dxa"/>
              <w:right w:w="150" w:type="dxa"/>
            </w:tcMar>
          </w:tcPr>
          <w:p>
            <w:pPr>
              <w:jc w:val="center"/>
            </w:pPr>
            <w:r>
              <w:t>Native fifth phase of lockdown</w:t>
            </w:r>
          </w:p>
        </w:tc>
      </w:tr>
    </w:tbl>
    <w:p>
      <w:pPr>
        <w:keepNext/>
        <w:spacing w:before="200" w:after="80"/>
      </w:pPr>
      <w:r>
        <w:rPr>
          <w:b/>
          <w:i/>
          <w:sz w:val="20"/>
        </w:rPr>
        <w:t>B. Prototype Scope and Implementation Plan</w:t>
      </w:r>
    </w:p>
    <w:p>
      <w:pPr>
        <w:spacing w:after="120" w:line="276" w:lineRule="auto"/>
      </w:pPr>
      <w:r>
        <w:rPr>
          <w:sz w:val="20"/>
        </w:rPr>
        <w:t>Built using React/TypeScript frontend, Express/Python backend, and PostgreSQL/Supabase ORM, maintaining a &lt; 512 MB RAM serverless footprint.</w:t>
      </w:r>
    </w:p>
    <w:p>
      <w:pPr>
        <w:keepNext/>
        <w:spacing w:before="200" w:after="80"/>
      </w:pPr>
      <w:r>
        <w:rPr>
          <w:b/>
          <w:i/>
          <w:sz w:val="20"/>
        </w:rPr>
        <w:t>C. Limitations</w:t>
      </w:r>
    </w:p>
    <w:p>
      <w:pPr>
        <w:spacing w:after="120" w:line="276" w:lineRule="auto"/>
      </w:pPr>
      <w:r>
        <w:rPr>
          <w:sz w:val="20"/>
        </w:rPr>
        <w:t>Scoring constants (eta_r, eta_p, lambda, T_0, gamma, beta, kappa) require empirical calibration against real-world attack telemetry.</w:t>
      </w:r>
    </w:p>
    <w:p>
      <w:pPr>
        <w:keepNext/>
        <w:spacing w:before="280" w:after="120"/>
      </w:pPr>
      <w:r>
        <w:rPr>
          <w:b/>
          <w:color w:val="0F2043"/>
          <w:sz w:val="22"/>
        </w:rPr>
        <w:t>XI. FUTURE SCOPE</w:t>
      </w:r>
    </w:p>
    <w:p>
      <w:pPr>
        <w:spacing w:after="120" w:line="276" w:lineRule="auto"/>
      </w:pPr>
      <w:r>
        <w:rPr>
          <w:sz w:val="20"/>
        </w:rPr>
        <w:t>Extensions include machine-learning behavioral analytics [18], multimodal 3D DICOM segmentation, steganalysis [19], and automated natural-language incident querying [20].</w:t>
      </w:r>
    </w:p>
    <w:p>
      <w:pPr>
        <w:keepNext/>
        <w:spacing w:before="280" w:after="120"/>
      </w:pPr>
      <w:r>
        <w:rPr>
          <w:b/>
          <w:color w:val="0F2043"/>
          <w:sz w:val="22"/>
        </w:rPr>
        <w:t>XII. CONCLUSION</w:t>
      </w:r>
    </w:p>
    <w:p>
      <w:pPr>
        <w:spacing w:after="120" w:line="276" w:lineRule="auto"/>
      </w:pPr>
      <w:r>
        <w:rPr>
          <w:sz w:val="20"/>
        </w:rPr>
        <w:t>NeuroScan AI introduces a graph-based Cyber Governance Layer that unifies continuous trust management, forensic preservation, circuit-breaker containment, identity resets, and deception into a single operational architecture.</w:t>
      </w:r>
    </w:p>
    <w:p>
      <w:pPr>
        <w:keepNext/>
        <w:spacing w:before="280" w:after="120"/>
      </w:pPr>
      <w:r>
        <w:rPr>
          <w:b/>
          <w:color w:val="0F2043"/>
          <w:sz w:val="22"/>
        </w:rPr>
        <w:t>REFERENCES</w:t>
      </w:r>
    </w:p>
    <w:p>
      <w:pPr>
        <w:spacing w:after="60" w:line="252" w:lineRule="auto"/>
      </w:pPr>
      <w:r>
        <w:rPr>
          <w:sz w:val="17"/>
        </w:rPr>
        <w:t>[1] G. Gonzalez-Granadillo, S. Gonzalez-Zarzosa, and R. Diaz, 'Security information and event management (SIEM): Analysis, trends, and usage in critical infrastructures,' Sensors, vol. 21, no. 14, Art. no. 4759, 2021.</w:t>
      </w:r>
    </w:p>
    <w:p>
      <w:pPr>
        <w:spacing w:after="60" w:line="252" w:lineRule="auto"/>
      </w:pPr>
      <w:r>
        <w:rPr>
          <w:sz w:val="17"/>
        </w:rPr>
        <w:t>[2] H. Kaur et al., 'Evolution of endpoint detection and response (EDR) in cyber security: A comprehensive review,' E3S Web of Conferences, vol. 86, 2024.</w:t>
      </w:r>
    </w:p>
    <w:p>
      <w:pPr>
        <w:spacing w:after="60" w:line="252" w:lineRule="auto"/>
      </w:pPr>
      <w:r>
        <w:rPr>
          <w:sz w:val="17"/>
        </w:rPr>
        <w:t>[3] S. Alneyadi, E. Sithirasenan, and V. Muthukkumarasamy, 'A survey on data leakage prevention systems,' Journal of Network and Computer Applications, vol. 62, pp. 137–152, Feb. 2016.</w:t>
      </w:r>
    </w:p>
    <w:p>
      <w:pPr>
        <w:spacing w:after="60" w:line="252" w:lineRule="auto"/>
      </w:pPr>
      <w:r>
        <w:rPr>
          <w:sz w:val="17"/>
        </w:rPr>
        <w:t>[4] U. Bartwal, S. Mukhopadhyay, R. Negi, and S. Shukla, 'Security orchestration, automation, and response engine for deployment of behavioural honeypots,' in Proc. IEEE Conf. Dependable and Secure Computing (DSC), 2022.</w:t>
      </w:r>
    </w:p>
    <w:p>
      <w:pPr>
        <w:spacing w:after="60" w:line="252" w:lineRule="auto"/>
      </w:pPr>
      <w:r>
        <w:rPr>
          <w:sz w:val="17"/>
        </w:rPr>
        <w:t>[5] S. Rose, O. Borchert, S. Mitchell, and S. Connelly, 'Zero trust architecture,' NIST Special Publication 800-207, National Institute of Standards and Technology, Gaithersburg, MD, USA, Aug. 2020.</w:t>
      </w:r>
    </w:p>
    <w:p>
      <w:pPr>
        <w:spacing w:after="60" w:line="252" w:lineRule="auto"/>
      </w:pPr>
      <w:r>
        <w:rPr>
          <w:sz w:val="17"/>
        </w:rPr>
        <w:t>[6] N. F. Syed, S. W. Shah, A. Shaghaghi, A. Anwar, Z. Baig, and R. Doss, 'Zero trust architecture (ZTA): A comprehensive survey,' IEEE Access, vol. 10, pp. 57143–57179, 2022.</w:t>
      </w:r>
    </w:p>
    <w:p>
      <w:pPr>
        <w:spacing w:after="60" w:line="252" w:lineRule="auto"/>
      </w:pPr>
      <w:r>
        <w:rPr>
          <w:sz w:val="17"/>
        </w:rPr>
        <w:t>[7] D. Artz and Y. Gil, 'A survey of trust in computer science and the Semantic Web,' Web Semantics: Science, Services and Agents on the World Wide Web, vol. 5, no. 2, pp. 58–71, 2007.</w:t>
      </w:r>
    </w:p>
    <w:p>
      <w:pPr>
        <w:spacing w:after="60" w:line="252" w:lineRule="auto"/>
      </w:pPr>
      <w:r>
        <w:rPr>
          <w:sz w:val="17"/>
        </w:rPr>
        <w:t>[8] O. Sheyner, J. Haines, S. Jha, R. Lippmann, and J. M. Wing, 'Automated generation and analysis of attack graphs,' in Proc. IEEE Symp. Security and Privacy, 2002, pp. 273–284.</w:t>
      </w:r>
    </w:p>
    <w:p>
      <w:pPr>
        <w:spacing w:after="60" w:line="252" w:lineRule="auto"/>
      </w:pPr>
      <w:r>
        <w:rPr>
          <w:sz w:val="17"/>
        </w:rPr>
        <w:t>[9] Y. Han and A. Li, 'A survey on cybersecurity knowledge graph construction,' Computers &amp; Security, vol. 125, Art. no. 103524, 2023.</w:t>
      </w:r>
    </w:p>
    <w:p>
      <w:pPr>
        <w:spacing w:after="60" w:line="252" w:lineRule="auto"/>
      </w:pPr>
      <w:r>
        <w:rPr>
          <w:sz w:val="17"/>
        </w:rPr>
        <w:t>[10] X. Han, N. Kheir, and D. Balzarotti, 'Deception techniques in computer security: A research perspective,' ACM Computing Surveys, vol. 51, no. 4, pp. 1–36, Jul. 2018.</w:t>
      </w:r>
    </w:p>
    <w:p>
      <w:pPr>
        <w:spacing w:after="60" w:line="252" w:lineRule="auto"/>
      </w:pPr>
      <w:r>
        <w:rPr>
          <w:sz w:val="17"/>
        </w:rPr>
        <w:t>[11] S. Jajodia, A. K. Ghosh, V. Swarup, C. Wang, and X. S. Wang, Eds., Moving Target Defense: Creating Asymmetric Uncertainty for Cyber Threats, Advances in Information Security, vol. 54. New York, NY, USA: Springer, 2011.</w:t>
      </w:r>
    </w:p>
    <w:p>
      <w:pPr>
        <w:spacing w:after="60" w:line="252" w:lineRule="auto"/>
      </w:pPr>
      <w:r>
        <w:rPr>
          <w:sz w:val="17"/>
        </w:rPr>
        <w:t>[12] J.-H. Cho et al., 'Toward proactive, adaptive defense: A survey on moving target defense,' IEEE Communications Surveys &amp; Tutorials, vol. 22, no. 1, pp. 709–745, 2020.</w:t>
      </w:r>
    </w:p>
    <w:p>
      <w:pPr>
        <w:spacing w:after="60" w:line="252" w:lineRule="auto"/>
      </w:pPr>
      <w:r>
        <w:rPr>
          <w:sz w:val="17"/>
        </w:rPr>
        <w:t>[13] P. Cichonski, T. Millar, T. Grance, and K. Scarfone, 'Computer security incident handling guide,' NIST Special Publication 800-61 Revision 2, National Institute of Standards and Technology, Gaithersburg, MD, USA, Aug. 2012.</w:t>
      </w:r>
    </w:p>
    <w:p>
      <w:pPr>
        <w:spacing w:after="60" w:line="252" w:lineRule="auto"/>
      </w:pPr>
      <w:r>
        <w:rPr>
          <w:sz w:val="17"/>
        </w:rPr>
        <w:t>[14] P. A. Grassi et al., 'Digital identity guidelines: Authentication and lifecycle management,' NIST Special Publication 800-63B, National Institute of Standards and Technology, Gaithersburg, MD, USA, Jun. 2017.</w:t>
      </w:r>
    </w:p>
    <w:p>
      <w:pPr>
        <w:spacing w:after="60" w:line="252" w:lineRule="auto"/>
      </w:pPr>
      <w:r>
        <w:rPr>
          <w:sz w:val="17"/>
        </w:rPr>
        <w:t>[15] A. Ahmad, M. Saad, M. Al Ghamdi, D. Nyang, and D. Mohaisen, 'BlockTrail: A service for secure and transparent blockchain-driven audit trails,' IEEE Systems Journal, vol. 16, no. 1, pp. 1367–1378, Mar. 2022.</w:t>
      </w:r>
    </w:p>
    <w:p>
      <w:pPr>
        <w:spacing w:after="60" w:line="252" w:lineRule="auto"/>
      </w:pPr>
      <w:r>
        <w:rPr>
          <w:sz w:val="17"/>
        </w:rPr>
        <w:t>[16] S. Neupane et al., 'Explainable intrusion detection systems (X-IDS): A survey of current methods, challenges, and opportunities,' IEEE Access, vol. 10, pp. 112392–112415, 2022.</w:t>
      </w:r>
    </w:p>
    <w:p>
      <w:pPr>
        <w:spacing w:after="60" w:line="252" w:lineRule="auto"/>
      </w:pPr>
      <w:r>
        <w:rPr>
          <w:sz w:val="17"/>
        </w:rPr>
        <w:t>[17] M. T. Nygard, Release It!: Design and Deploy Production-Ready Software, 2nd ed. Raleigh, NC, USA: Pragmatic Bookshelf, 2018.</w:t>
      </w:r>
    </w:p>
    <w:p>
      <w:pPr>
        <w:spacing w:after="60" w:line="252" w:lineRule="auto"/>
      </w:pPr>
      <w:r>
        <w:rPr>
          <w:sz w:val="17"/>
        </w:rPr>
        <w:t>[18] M. Shamini, et al., 'A Multimodal Deep Learning Approach for Predicting Dementia's Disease Progression Using MRI Clinical Data,' 2025 International Conference on Data Science, Agents &amp; Artificial Intelligence (ICDSAAI), IEEE, 2025.</w:t>
      </w:r>
    </w:p>
    <w:p>
      <w:pPr>
        <w:spacing w:after="60" w:line="252" w:lineRule="auto"/>
      </w:pPr>
      <w:r>
        <w:rPr>
          <w:sz w:val="17"/>
        </w:rPr>
        <w:t>[19] S. Murugavalli, L. Jabasheela, and V. Anitha, 'Ceaseless Steganographic Approaches in Machine Learning,' Measurement: Sensors, vol. 25, 2023, p. 100622.</w:t>
      </w:r>
    </w:p>
    <w:p>
      <w:pPr>
        <w:spacing w:after="60" w:line="252" w:lineRule="auto"/>
      </w:pPr>
      <w:r>
        <w:rPr>
          <w:sz w:val="17"/>
        </w:rPr>
        <w:t>[20] M. Therasa and G. Mathivanan, 'Survey of Machine Reading Comprehension Models and Its Evaluation Metrics,' 2022 6th International Conference on Computing Methodologies and Communication (ICCMC), IEEE, 2022.</w:t>
      </w:r>
    </w:p>
    <w:p>
      <w:pPr>
        <w:spacing w:after="60" w:line="252" w:lineRule="auto"/>
      </w:pPr>
      <w:r>
        <w:rPr>
          <w:sz w:val="17"/>
        </w:rPr>
        <w:t>[21] S. Deepak and P. M. Ameer, 'Brain tumor classification using deep CNN features via transfer learning,' Computers in Biology and Medicine, vol. 111, p. 103345, 2019.</w:t>
      </w:r>
    </w:p>
    <w:p>
      <w:pPr>
        <w:spacing w:after="60" w:line="252" w:lineRule="auto"/>
      </w:pPr>
      <w:r>
        <w:rPr>
          <w:sz w:val="17"/>
        </w:rPr>
        <w:t>[22] J. Amin et al., 'Brain tumor detection and classification using Gaussian filtering and deep features reduction,' Microprocessors and Microsystems, vol. 80, p. 103362, 2021.</w:t>
      </w:r>
    </w:p>
    <w:p>
      <w:pPr>
        <w:spacing w:after="60" w:line="252" w:lineRule="auto"/>
      </w:pPr>
      <w:r>
        <w:rPr>
          <w:sz w:val="17"/>
        </w:rPr>
        <w:t>[23] M. S. Majib et al., 'VGG-SCNet: A VGG-16 based deep learning framework for brain tumor detection,' IEEE Access, vol. 9, pp. 116934–116947, 2021.</w:t>
      </w:r>
    </w:p>
    <w:p>
      <w:pPr>
        <w:spacing w:after="60" w:line="252" w:lineRule="auto"/>
      </w:pPr>
      <w:r>
        <w:rPr>
          <w:sz w:val="17"/>
        </w:rPr>
        <w:t>[24] H. Mohsen et al., 'Classification using deep learning neural networks for brain tumors,' Future Computing and Informatics Journal, vol. 3, no. 1, pp. 68–71, 2018.</w:t>
      </w:r>
    </w:p>
    <w:p>
      <w:pPr>
        <w:spacing w:after="60" w:line="252" w:lineRule="auto"/>
      </w:pPr>
      <w:r>
        <w:rPr>
          <w:sz w:val="17"/>
        </w:rPr>
        <w:t>[25] A. Ismael and A. Abdel-Qader, 'Brain tumor classification using sparse coding and dictionary learning,' IEEE Access, vol. 6, pp. 77244–77254, 2018.</w:t>
      </w:r>
    </w:p>
    <w:p>
      <w:pPr>
        <w:spacing w:after="60" w:line="252" w:lineRule="auto"/>
      </w:pPr>
      <w:r>
        <w:rPr>
          <w:sz w:val="17"/>
        </w:rPr>
        <w:t>[26] Z. N. K. Swati et al., 'Brain tumor classification for MR images using transfer learning and fine-tuning,' Computerized Medical Imaging and Graphics, vol. 75, pp. 34–46, 2019.</w:t>
      </w:r>
    </w:p>
    <w:p>
      <w:pPr>
        <w:spacing w:after="60" w:line="252" w:lineRule="auto"/>
      </w:pPr>
      <w:r>
        <w:rPr>
          <w:sz w:val="17"/>
        </w:rPr>
        <w:t>[27] M. T. Reshi et al., 'An efficient deep learning approach for brain tumor detection and classification,' IEEE Access, vol. 10, pp. 83884–83896, 2022.</w:t>
      </w:r>
    </w:p>
    <w:p>
      <w:pPr>
        <w:spacing w:after="60" w:line="252" w:lineRule="auto"/>
      </w:pPr>
      <w:r>
        <w:rPr>
          <w:sz w:val="17"/>
        </w:rPr>
        <w:t>[28] R. R. Selvaraju et al., 'Grad-CAM: Visual explanations from deep networks via gradient-based localization,' IEEE Transactions on Pattern Analysis and Machine Intelligence, vol. 42, no. 2, pp. 336–349, 2020.</w:t>
      </w:r>
    </w:p>
    <w:p>
      <w:pPr>
        <w:spacing w:after="60" w:line="252" w:lineRule="auto"/>
      </w:pPr>
      <w:r>
        <w:rPr>
          <w:sz w:val="17"/>
        </w:rPr>
        <w:t>[29] K. Zuiderveld, 'Contrast limited adaptive histogram equalization,' Graphics Gems IV, Academic Press Professional, Inc., pp. 474–485, 1994.</w:t>
      </w:r>
    </w:p>
    <w:p>
      <w:pPr>
        <w:spacing w:after="60" w:line="252" w:lineRule="auto"/>
      </w:pPr>
      <w:r>
        <w:rPr>
          <w:sz w:val="17"/>
        </w:rPr>
        <w:t>[30] E. T. Yatsenko et al., 'Zero-shot clinical decision support with vision-language models,' IEEE Journal of Biomedical and Health Informatics, vol. 27, no. 8, pp. 3840–3851, 2023.</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