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E2761"/>
          <w:sz w:val="56"/>
          <w:szCs w:val="56"/>
        </w:rPr>
        <w:t xml:space="preserve">E-COMMERCE SALES ANALYSIS</w:t>
      </w:r>
    </w:p>
    <w:p>
      <w:pPr>
        <w:spacing w:after="400"/>
        <w:jc w:val="center"/>
      </w:pPr>
      <w:r>
        <w:rPr>
          <w:b/>
          <w:bCs/>
          <w:color w:val="1E2761"/>
          <w:sz w:val="56"/>
          <w:szCs w:val="56"/>
        </w:rPr>
        <w:t xml:space="preserve">&amp; DEMAND PREDICTION</w:t>
      </w:r>
    </w:p>
    <w:p>
      <w:pPr>
        <w:spacing w:after="200" w:before="200"/>
        <w:jc w:val="center"/>
      </w:pPr>
      <w:r>
        <w:rPr>
          <w:i/>
          <w:iCs/>
          <w:color w:val="555555"/>
          <w:sz w:val="28"/>
          <w:szCs w:val="28"/>
        </w:rPr>
        <w:t xml:space="preserve">A Data Science Internship Project Report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Prepared by: Nivash</w:t>
      </w:r>
    </w:p>
    <w:p>
      <w:pPr>
        <w:spacing w:before="100"/>
        <w:jc w:val="center"/>
      </w:pPr>
      <w:r>
        <w:rPr>
          <w:sz w:val="22"/>
          <w:szCs w:val="22"/>
        </w:rPr>
        <w:t xml:space="preserve">B.Tech, Computer Science &amp; Engineering (AI &amp; ML)</w:t>
      </w:r>
    </w:p>
    <w:p>
      <w:pPr>
        <w:spacing w:before="60"/>
        <w:jc w:val="center"/>
      </w:pPr>
      <w:r>
        <w:rPr>
          <w:sz w:val="22"/>
          <w:szCs w:val="22"/>
        </w:rPr>
        <w:t xml:space="preserve">VIT Chennai</w:t>
      </w:r>
    </w:p>
    <w:p>
      <w:pPr>
        <w:spacing w:before="800"/>
        <w:jc w:val="center"/>
      </w:pPr>
      <w:r>
        <w:rPr>
          <w:color w:val="777777"/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40"/>
      </w:pPr>
      <w:r>
        <w:rPr>
          <w:sz w:val="24"/>
          <w:szCs w:val="24"/>
        </w:rPr>
        <w:t xml:space="preserve">Executive Summary</w:t>
      </w:r>
    </w:p>
    <w:p>
      <w:pPr>
        <w:spacing w:after="140"/>
      </w:pPr>
      <w:r>
        <w:rPr>
          <w:sz w:val="24"/>
          <w:szCs w:val="24"/>
        </w:rPr>
        <w:t xml:space="preserve">1. Introduction &amp; Objective</w:t>
      </w:r>
    </w:p>
    <w:p>
      <w:pPr>
        <w:spacing w:after="140"/>
      </w:pPr>
      <w:r>
        <w:rPr>
          <w:sz w:val="24"/>
          <w:szCs w:val="24"/>
        </w:rPr>
        <w:t xml:space="preserve">2. Dataset</w:t>
      </w:r>
    </w:p>
    <w:p>
      <w:pPr>
        <w:spacing w:after="140"/>
      </w:pPr>
      <w:r>
        <w:rPr>
          <w:sz w:val="24"/>
          <w:szCs w:val="24"/>
        </w:rPr>
        <w:t xml:space="preserve">3. Data Cleaning &amp; Preprocessing</w:t>
      </w:r>
    </w:p>
    <w:p>
      <w:pPr>
        <w:spacing w:after="140"/>
      </w:pPr>
      <w:r>
        <w:rPr>
          <w:sz w:val="24"/>
          <w:szCs w:val="24"/>
        </w:rPr>
        <w:t xml:space="preserve">4. Exploratory Data Analysis</w:t>
      </w:r>
    </w:p>
    <w:p>
      <w:pPr>
        <w:spacing w:after="140"/>
      </w:pPr>
      <w:r>
        <w:rPr>
          <w:sz w:val="24"/>
          <w:szCs w:val="24"/>
        </w:rPr>
        <w:t xml:space="preserve">5. Machine Learning Methodology</w:t>
      </w:r>
    </w:p>
    <w:p>
      <w:pPr>
        <w:spacing w:after="140"/>
      </w:pPr>
      <w:r>
        <w:rPr>
          <w:sz w:val="24"/>
          <w:szCs w:val="24"/>
        </w:rPr>
        <w:t xml:space="preserve">6. Model Results &amp; Evaluation</w:t>
      </w:r>
    </w:p>
    <w:p>
      <w:pPr>
        <w:spacing w:after="140"/>
      </w:pPr>
      <w:r>
        <w:rPr>
          <w:sz w:val="24"/>
          <w:szCs w:val="24"/>
        </w:rPr>
        <w:t xml:space="preserve">7. Business Insights &amp; Recommendations</w:t>
      </w:r>
    </w:p>
    <w:p>
      <w:pPr>
        <w:spacing w:after="140"/>
      </w:pPr>
      <w:r>
        <w:rPr>
          <w:sz w:val="24"/>
          <w:szCs w:val="24"/>
        </w:rPr>
        <w:t xml:space="preserve">8. Conclusion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60"/>
      </w:pPr>
      <w:r>
        <w:rPr>
          <w:sz w:val="22"/>
          <w:szCs w:val="22"/>
        </w:rPr>
        <w:t xml:space="preserve">This report presents an end-to-end data science project analyzing 9,994 historical e-commerce order records spanning 2014-01-03 to 2017-12-30. The objective was to uncover sales and demand patterns and to build machine learning models capable of forecasting future product demand to support inventory optimization decisions.</w:t>
      </w:r>
    </w:p>
    <w:p>
      <w:pPr>
        <w:spacing w:after="160"/>
      </w:pPr>
      <w:r>
        <w:rPr>
          <w:sz w:val="22"/>
          <w:szCs w:val="22"/>
        </w:rPr>
        <w:t xml:space="preserve">Across the analysis period, the business generated $2.30M in total sales and $286K in profit across 5,009 unique orders. Two regression models — Linear Regression and Random Forest Regressor — were built to forecast monthly unit demand at the product-category and region level. The Random Forest model achieved the strongest performance (R² = 0.770, MAE = 2.47 units), outperforming the linear baseline on every metric.</w:t>
      </w:r>
    </w:p>
    <w:p>
      <w:pPr>
        <w:spacing w:after="160"/>
      </w:pPr>
      <w:r>
        <w:rPr>
          <w:sz w:val="22"/>
          <w:szCs w:val="22"/>
        </w:rPr>
        <w:t xml:space="preserve">Key findings include a pronounced Q4 seasonal demand spike, the West region's leadership in both revenue and volume, a clear negative relationship between heavy discounting and profitability, and confirmation that order frequency — not order size — is the dominant driver of aggregate unit demand. Actionable recommendations for inventory planning, regional strategy, and discount policy are detailed in Section 7.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Introduction &amp; Objective</w:t>
      </w:r>
    </w:p>
    <w:p>
      <w:pPr>
        <w:spacing w:after="160"/>
      </w:pPr>
      <w:r>
        <w:rPr>
          <w:sz w:val="22"/>
          <w:szCs w:val="22"/>
        </w:rPr>
        <w:t xml:space="preserve">E-commerce and retail businesses generate large volumes of transactional data every day. Buried within this data are patterns — seasonal cycles, regional preferences, product performance differences — that, if properly understood, can materially improve operational decisions such as how much stock to hold, when to reorder, and where to focus marketing and pricing efforts.</w:t>
      </w:r>
    </w:p>
    <w:p>
      <w:pPr>
        <w:spacing w:after="160"/>
      </w:pPr>
      <w:r>
        <w:rPr>
          <w:sz w:val="22"/>
          <w:szCs w:val="22"/>
        </w:rPr>
        <w:t xml:space="preserve">The objective of this project is twofold: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Analyze historical e-commerce sales data to understand sales trends, product and category performance, regional variation, and seasonality.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Build and compare machine learning models that predict future product demand (units), enabling data-driven inventory optimization.</w:t>
      </w:r>
    </w:p>
    <w:p>
      <w:pPr>
        <w:spacing w:after="160"/>
      </w:pPr>
      <w:r>
        <w:rPr>
          <w:sz w:val="22"/>
          <w:szCs w:val="22"/>
        </w:rPr>
        <w:t xml:space="preserve">The project follows a standard data science lifecycle: data acquisition, cleaning, exploratory analysis, feature engineering, model building, evaluation, and translation of findings into business recommendations.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Dataset</w:t>
      </w:r>
    </w:p>
    <w:p>
      <w:pPr>
        <w:pStyle w:val="Heading2"/>
        <w:spacing w:after="150" w:before="300"/>
      </w:pPr>
      <w:r>
        <w:t xml:space="preserve">2.1 Source &amp; Justification</w:t>
      </w:r>
    </w:p>
    <w:p>
      <w:pPr>
        <w:spacing w:after="160"/>
      </w:pPr>
      <w:r>
        <w:rPr>
          <w:sz w:val="22"/>
          <w:szCs w:val="22"/>
        </w:rPr>
        <w:t xml:space="preserve">The project uses the publicly available "Sample Superstore" dataset, a widely used retail transactional dataset (mirrored on Kaggle and originally distributed as a Tableau sample dataset). It was selected because it natively satisfies every field required by the project brief — Order Date, Product Name, Category, Sales, Quantity, and Region — while also providing Profit, Discount, and Segment fields that enable a richer, more business-relevant feature set for demand modeling than a minimal dataset would allow.</w:t>
      </w:r>
    </w:p>
    <w:p>
      <w:pPr>
        <w:pStyle w:val="Heading2"/>
        <w:spacing w:after="150" w:before="300"/>
      </w:pPr>
      <w:r>
        <w:t xml:space="preserve">2.2 Structure</w:t>
      </w:r>
    </w:p>
    <w:p>
      <w:pPr>
        <w:spacing w:after="160"/>
      </w:pPr>
      <w:r>
        <w:rPr>
          <w:sz w:val="22"/>
          <w:szCs w:val="22"/>
        </w:rPr>
        <w:t xml:space="preserve">The raw dataset contains 9,994 order line items across 21 columns, with no missing values and no duplicate rows on arrival.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50%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Order ID / Row ID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Unique order / line-item identifiers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Order Date / Ship Date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Transaction and fulfillment dates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Customer Name / Segment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Customer identity and business segment (Consumer, Corporate, Home Office)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Region / State / City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Geographic breakdown (Central, East, South, West)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Category / Sub-Category / Product Name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Product taxonomy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Sales / Quantity / Discount / Profit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Core transactional metrics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Date range: 2014-01-03 to 2017-12-30 — four full calendar years, sufficient to observe genuine year-over-year seasonality rather than a single snapshot.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Data Cleaning &amp; Preprocessing</w:t>
      </w:r>
    </w:p>
    <w:p>
      <w:pPr>
        <w:spacing w:after="160"/>
      </w:pPr>
      <w:r>
        <w:rPr>
          <w:sz w:val="22"/>
          <w:szCs w:val="22"/>
        </w:rPr>
        <w:t xml:space="preserve">Although the raw dataset arrived free of missing values and duplicates, a full, production-grade cleaning pipeline was implemented to ensure the workflow is robust and reusable against future, messier data drops.</w:t>
      </w:r>
    </w:p>
    <w:p>
      <w:pPr>
        <w:pStyle w:val="Heading2"/>
        <w:spacing w:after="150" w:before="300"/>
      </w:pPr>
      <w:r>
        <w:t xml:space="preserve">3.1 Missing Value Handling</w:t>
      </w:r>
    </w:p>
    <w:p>
      <w:pPr>
        <w:spacing w:after="160"/>
      </w:pPr>
      <w:r>
        <w:rPr>
          <w:sz w:val="22"/>
          <w:szCs w:val="22"/>
        </w:rPr>
        <w:t xml:space="preserve">Numeric columns are imputed with the column median and categorical columns with the column mode. No missing values were present in this run, confirming data quality at source.</w:t>
      </w:r>
    </w:p>
    <w:p>
      <w:pPr>
        <w:pStyle w:val="Heading2"/>
        <w:spacing w:after="150" w:before="300"/>
      </w:pPr>
      <w:r>
        <w:t xml:space="preserve">3.2 Duplicate Removal</w:t>
      </w:r>
    </w:p>
    <w:p>
      <w:pPr>
        <w:spacing w:after="160"/>
      </w:pPr>
      <w:r>
        <w:rPr>
          <w:sz w:val="22"/>
          <w:szCs w:val="22"/>
        </w:rPr>
        <w:t xml:space="preserve">Exact duplicate rows are dropped via pandas' drop_duplicates(). Zero duplicates were found in the raw file.</w:t>
      </w:r>
    </w:p>
    <w:p>
      <w:pPr>
        <w:pStyle w:val="Heading2"/>
        <w:spacing w:after="150" w:before="300"/>
      </w:pPr>
      <w:r>
        <w:t xml:space="preserve">3.3 Date Parsing</w:t>
      </w:r>
    </w:p>
    <w:p>
      <w:pPr>
        <w:spacing w:after="160"/>
      </w:pPr>
      <w:r>
        <w:rPr>
          <w:sz w:val="22"/>
          <w:szCs w:val="22"/>
        </w:rPr>
        <w:t xml:space="preserve">Order Date and Ship Date are parsed into proper datetime objects (format %m/%d/%Y). Rows with unparseable dates are removed; none were found in this dataset.</w:t>
      </w:r>
    </w:p>
    <w:p>
      <w:pPr>
        <w:pStyle w:val="Heading2"/>
        <w:spacing w:after="150" w:before="300"/>
      </w:pPr>
      <w:r>
        <w:t xml:space="preserve">3.4 Outlier Detection &amp; Treatment</w:t>
      </w:r>
    </w:p>
    <w:p>
      <w:pPr>
        <w:spacing w:after="160"/>
      </w:pPr>
      <w:r>
        <w:rPr>
          <w:sz w:val="22"/>
          <w:szCs w:val="22"/>
        </w:rPr>
        <w:t xml:space="preserve">The Interquartile Range (IQR) method was applied to the Sales column. Approximately 11.7% of rows fall outside the [Q1 - 1.5×IQR, Q3 + 1.5×IQR] bound — these represent genuine high-value bulk and technology purchases (e.g. copiers, video-conferencing systems) rather than data-entry errors, so they were retained for revenue reporting rather than dropped, while being explicitly flagged for awareness during modeling.</w:t>
      </w:r>
    </w:p>
    <w:p>
      <w:pPr>
        <w:pStyle w:val="Heading2"/>
        <w:spacing w:after="150" w:before="300"/>
      </w:pPr>
      <w:r>
        <w:t xml:space="preserve">3.5 Feature Engineering</w:t>
      </w:r>
    </w:p>
    <w:p>
      <w:pPr>
        <w:spacing w:after="160"/>
      </w:pPr>
      <w:r>
        <w:rPr>
          <w:sz w:val="22"/>
          <w:szCs w:val="22"/>
        </w:rPr>
        <w:t xml:space="preserve">The following calendar-derived features were engineered from Order Date to support trend and seasonality analysis: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Year — for year-over-year trend comparison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Month — for monthly seasonality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Day — for day-of-month patterns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Quarter — for quarterly business-cycle reporting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DayOfWeek — for weekday ordering behavior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Exploratory Data Analysis</w:t>
      </w:r>
    </w:p>
    <w:p>
      <w:pPr>
        <w:spacing w:after="160"/>
      </w:pPr>
      <w:r>
        <w:rPr>
          <w:sz w:val="22"/>
          <w:szCs w:val="22"/>
        </w:rPr>
        <w:t xml:space="preserve">Thirteen visualizations were produced to explore time trends, product and category performance, regional variation, seasonality, feature relationships, and distributional properties of the data.</w:t>
      </w:r>
    </w:p>
    <w:p>
      <w:pPr>
        <w:pStyle w:val="Heading2"/>
        <w:spacing w:after="150" w:before="300"/>
      </w:pPr>
      <w:r>
        <w:t xml:space="preserve">4.1 Sales Trend Over Time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283199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1. Monthly total sales, 2014–2017.</w:t>
      </w:r>
    </w:p>
    <w:p>
      <w:pPr>
        <w:spacing w:after="160"/>
      </w:pPr>
      <w:r>
        <w:rPr>
          <w:sz w:val="22"/>
          <w:szCs w:val="22"/>
        </w:rPr>
        <w:t xml:space="preserve">Sales trend upward year over year with a clear, recurring spike at the end of each year — a classic retail holiday-season signature.</w:t>
      </w:r>
    </w:p>
    <w:p>
      <w:pPr>
        <w:pStyle w:val="Heading2"/>
        <w:spacing w:after="150" w:before="300"/>
      </w:pPr>
      <w:r>
        <w:t xml:space="preserve">4.2 Monthly Sales Trend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31105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2. Total sales by calendar month, aggregated across all years.</w:t>
      </w:r>
    </w:p>
    <w:p>
      <w:pPr>
        <w:spacing w:after="160"/>
      </w:pPr>
      <w:r>
        <w:rPr>
          <w:sz w:val="22"/>
          <w:szCs w:val="22"/>
        </w:rPr>
        <w:t xml:space="preserve">September, November, and December are consistently the strongest months, reinforcing the need for pre-holiday inventory build-up beginning in Q3.</w:t>
      </w:r>
    </w:p>
    <w:p>
      <w:pPr>
        <w:pStyle w:val="Heading2"/>
        <w:spacing w:after="150" w:before="300"/>
      </w:pPr>
      <w:r>
        <w:t xml:space="preserve">4.3 Top-Selling Products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278245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3. Top 10 products by total revenue.</w:t>
      </w:r>
    </w:p>
    <w:p>
      <w:pPr>
        <w:spacing w:after="160"/>
      </w:pPr>
      <w:r>
        <w:rPr>
          <w:sz w:val="22"/>
          <w:szCs w:val="22"/>
        </w:rPr>
        <w:t xml:space="preserve">High-ticket Technology items dominate the revenue leaderboard despite comparatively low unit volumes, illustrating that revenue leadership and unit-demand leadership are distinct — a key reason the demand model targets Quantity, not Sales.</w:t>
      </w:r>
    </w:p>
    <w:p>
      <w:pPr>
        <w:pStyle w:val="Heading2"/>
        <w:spacing w:after="150" w:before="300"/>
      </w:pPr>
      <w:r>
        <w:t xml:space="preserve">4.4 Top-Selling Categories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25445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4. Total sales and share of sales by category.</w:t>
      </w:r>
    </w:p>
    <w:p>
      <w:pPr>
        <w:spacing w:after="160"/>
      </w:pPr>
      <w:r>
        <w:rPr>
          <w:sz w:val="22"/>
          <w:szCs w:val="22"/>
        </w:rPr>
        <w:t xml:space="preserve">Technology leads with $836K in sales, closely followed by Furniture ($742K) and Office Supplies ($719K) — the three categories are fairly balanced, so inventory strategy should be tailored per category rather than applying one blanket policy.</w:t>
      </w:r>
    </w:p>
    <w:p>
      <w:pPr>
        <w:pStyle w:val="Heading2"/>
        <w:spacing w:after="150" w:before="300"/>
      </w:pPr>
      <w:r>
        <w:t xml:space="preserve">4.5 Region-wise Sales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34072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5. Total sales by region.</w:t>
      </w:r>
    </w:p>
    <w:p>
      <w:pPr>
        <w:pStyle w:val="Heading2"/>
        <w:spacing w:after="150" w:before="300"/>
      </w:pPr>
      <w:r>
        <w:t xml:space="preserve">4.6 Region-wise Quantity Sold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344988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6. Total units sold by region.</w:t>
      </w:r>
    </w:p>
    <w:p>
      <w:pPr>
        <w:spacing w:after="160"/>
      </w:pPr>
      <w:r>
        <w:rPr>
          <w:sz w:val="22"/>
          <w:szCs w:val="22"/>
        </w:rPr>
        <w:t xml:space="preserve">The West region leads on both metrics ($725K in sales, 12,266 units), while South trails on both — a clear candidate for a regional growth initiative.</w:t>
      </w:r>
    </w:p>
    <w:p>
      <w:pPr>
        <w:pStyle w:val="Heading2"/>
        <w:spacing w:after="150" w:before="300"/>
      </w:pPr>
      <w:r>
        <w:t xml:space="preserve">4.7 Seasonal Demand Patterns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2649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7. Quantity demand by month and by quarter.</w:t>
      </w:r>
    </w:p>
    <w:p>
      <w:pPr>
        <w:spacing w:after="160"/>
      </w:pPr>
      <w:r>
        <w:rPr>
          <w:sz w:val="22"/>
          <w:szCs w:val="22"/>
        </w:rPr>
        <w:t xml:space="preserve">Q4 consistently records the highest unit demand across all years — the most reliable planning signal in the dataset, and the basis for the inventory recommendations in Section 7.</w:t>
      </w:r>
    </w:p>
    <w:p>
      <w:pPr>
        <w:pStyle w:val="Heading2"/>
        <w:spacing w:after="150" w:before="300"/>
      </w:pPr>
      <w:r>
        <w:t xml:space="preserve">4.8 Correlation Heatmap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439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8. Correlation matrix of numeric features.</w:t>
      </w:r>
    </w:p>
    <w:p>
      <w:pPr>
        <w:spacing w:after="160"/>
      </w:pPr>
      <w:r>
        <w:rPr>
          <w:sz w:val="22"/>
          <w:szCs w:val="22"/>
        </w:rPr>
        <w:t xml:space="preserve">Sales and Profit are positively correlated, but Discount shows a negative correlation with Profit — heavy discounting is eroding margin, a pattern explored further in Section 4.12.</w:t>
      </w:r>
    </w:p>
    <w:p>
      <w:pPr>
        <w:pStyle w:val="Heading2"/>
        <w:spacing w:after="150" w:before="300"/>
      </w:pPr>
      <w:r>
        <w:t xml:space="preserve">4.9 Sales Distribution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348291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8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9. Distribution of order-line Sales value (clipped at 99th percentile).</w:t>
      </w:r>
    </w:p>
    <w:p>
      <w:pPr>
        <w:spacing w:after="160"/>
      </w:pPr>
      <w:r>
        <w:rPr>
          <w:sz w:val="22"/>
          <w:szCs w:val="22"/>
        </w:rPr>
        <w:t xml:space="preserve">Sales are heavily right-skewed: most order lines are low-to-moderate value, with a long tail of high-value bulk/technology purchases — motivating the use of tree-based models, which are naturally robust to skewed features.</w:t>
      </w:r>
    </w:p>
    <w:p>
      <w:pPr>
        <w:pStyle w:val="Heading2"/>
        <w:spacing w:after="150" w:before="300"/>
      </w:pPr>
      <w:r>
        <w:t xml:space="preserve">4.10 Quantity Distribution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348291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8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10. Distribution of order quantity per line item.</w:t>
      </w:r>
    </w:p>
    <w:p>
      <w:pPr>
        <w:spacing w:after="160"/>
      </w:pPr>
      <w:r>
        <w:rPr>
          <w:sz w:val="22"/>
          <w:szCs w:val="22"/>
        </w:rPr>
        <w:t xml:space="preserve">Most order lines involve 2–5 units; large single orders (10+ units) are rare. Demand is therefore driven far more by order frequency than by large individual orders — a pattern later confirmed by the Random Forest feature importance analysis.</w:t>
      </w:r>
    </w:p>
    <w:p>
      <w:pPr>
        <w:pStyle w:val="Heading2"/>
        <w:spacing w:after="150" w:before="300"/>
      </w:pPr>
      <w:r>
        <w:t xml:space="preserve">4.11 Sales vs Profit by Sub-Category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36129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11. Total sales and profit by product sub-category.</w:t>
      </w:r>
    </w:p>
    <w:p>
      <w:pPr>
        <w:spacing w:after="160"/>
      </w:pPr>
      <w:r>
        <w:rPr>
          <w:sz w:val="22"/>
          <w:szCs w:val="22"/>
        </w:rPr>
        <w:t xml:space="preserve">Tables and Bookcases generate meaningful sales but negative aggregate profit, while Copiers is the strongest profit contributor relative to its sales volume.</w:t>
      </w:r>
    </w:p>
    <w:p>
      <w:pPr>
        <w:pStyle w:val="Heading2"/>
        <w:spacing w:after="150" w:before="300"/>
      </w:pPr>
      <w:r>
        <w:t xml:space="preserve">4.12 Discount vs Profit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343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12. Discount level vs profit for a sample of orders, colored by category.</w:t>
      </w:r>
    </w:p>
    <w:p>
      <w:pPr>
        <w:spacing w:after="160"/>
      </w:pPr>
      <w:r>
        <w:rPr>
          <w:sz w:val="22"/>
          <w:szCs w:val="22"/>
        </w:rPr>
        <w:t xml:space="preserve">Profit turns negative almost universally once discounts exceed roughly 30%, regardless of category — a strong, actionable signal for setting a discounting ceiling policy.</w:t>
      </w:r>
    </w:p>
    <w:p>
      <w:pPr>
        <w:pStyle w:val="Heading2"/>
        <w:spacing w:after="150" w:before="300"/>
      </w:pPr>
      <w:r>
        <w:t xml:space="preserve">4.13 Segment-wise Sales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39478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4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13. Total sales by customer segment.</w:t>
      </w:r>
    </w:p>
    <w:p>
      <w:pPr>
        <w:spacing w:after="160"/>
      </w:pPr>
      <w:r>
        <w:rPr>
          <w:sz w:val="22"/>
          <w:szCs w:val="22"/>
        </w:rPr>
        <w:t xml:space="preserve">The Consumer segment is the largest revenue driver, ahead of Corporate and Home Office — relevant for prioritizing customer support and marketing budget allocation.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Machine Learning Methodology</w:t>
      </w:r>
    </w:p>
    <w:p>
      <w:pPr>
        <w:pStyle w:val="Heading2"/>
        <w:spacing w:after="150" w:before="300"/>
      </w:pPr>
      <w:r>
        <w:t xml:space="preserve">5.1 Problem Framing</w:t>
      </w:r>
    </w:p>
    <w:p>
      <w:pPr>
        <w:spacing w:after="160"/>
      </w:pPr>
      <w:r>
        <w:rPr>
          <w:sz w:val="22"/>
          <w:szCs w:val="22"/>
        </w:rPr>
        <w:t xml:space="preserve">Inventory planners need to forecast unit demand for a given product line, region, and time period — not the quantity on a single invoice line. The transactional data was therefore aggregated to a (Category, Sub-Category, Region, Segment, Year, Month) grain, producing a modeling table where each row represents "how many units of a given sub-category were demanded in a given region during a given month" — precisely the granularity a replenishment system needs to plan against.</w:t>
      </w:r>
    </w:p>
    <w:p>
      <w:pPr>
        <w:pStyle w:val="Heading2"/>
        <w:spacing w:after="150" w:before="300"/>
      </w:pPr>
      <w:r>
        <w:t xml:space="preserve">5.2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Categorical encoding: Category, Sub-Category, Region, and Segment were label-encoded.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Cyclical month encoding: Month was transformed into sine/cosine components to represent seasonality without a false linear ordering (December is 'close to' January).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Derived features: AvgSalesPerOrder (Sales ÷ Orders) and ProfitMargin (Profit ÷ Sales) were engineered to capture order economics beyond raw totals.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Temporal features: Year and Quarter were retained directly to capture trend and business-cycle effects.</w:t>
      </w:r>
    </w:p>
    <w:p>
      <w:pPr>
        <w:pStyle w:val="Heading2"/>
        <w:spacing w:after="150" w:before="300"/>
      </w:pPr>
      <w:r>
        <w:t xml:space="preserve">5.3 Train/Test Split</w:t>
      </w:r>
    </w:p>
    <w:p>
      <w:pPr>
        <w:spacing w:after="160"/>
      </w:pPr>
      <w:r>
        <w:rPr>
          <w:sz w:val="22"/>
          <w:szCs w:val="22"/>
        </w:rPr>
        <w:t xml:space="preserve">The aggregated modeling table was split 80/20 into training and test sets using a fixed random seed (42) for reproducibility.</w:t>
      </w:r>
    </w:p>
    <w:p>
      <w:pPr>
        <w:pStyle w:val="Heading2"/>
        <w:spacing w:after="150" w:before="300"/>
      </w:pPr>
      <w:r>
        <w:t xml:space="preserve">5.4 Models Trained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Linear Regression — a simple, interpretable baseline that assumes additive, linear relationships between features and demand.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Random Forest Regressor (300 trees, max depth 12) — a non-linear ensemble model capable of capturing interactions between category, region, season, and order behavior.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Model Results &amp; Evaluation</w:t>
      </w:r>
    </w:p>
    <w:p>
      <w:pPr>
        <w:pStyle w:val="Heading2"/>
        <w:spacing w:after="150" w:before="300"/>
      </w:pPr>
      <w:r>
        <w:t xml:space="preserve">6.1 Evaluation Metrics</w:t>
      </w:r>
    </w:p>
    <w:p>
      <w:pPr>
        <w:spacing w:after="160"/>
      </w:pPr>
      <w:r>
        <w:rPr>
          <w:sz w:val="22"/>
          <w:szCs w:val="22"/>
        </w:rPr>
        <w:t xml:space="preserve">Models were evaluated on the held-out test set using three standard regression metrics: Mean Absolute Error (MAE), Root Mean Squared Error (RMSE), and R² (coefficient of determination).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pct" w:w="25%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pct" w:w="25%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pct" w:w="25%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Linear Regression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2.608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3.504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0.762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Random Forest Regressor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2.467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3.445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0.770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5760720" cy="208348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14. Side-by-side comparison of MAE, RMSE, and R² for both models.</w:t>
      </w:r>
    </w:p>
    <w:p>
      <w:pPr>
        <w:spacing w:after="160"/>
      </w:pPr>
      <w:r>
        <w:rPr>
          <w:sz w:val="22"/>
          <w:szCs w:val="22"/>
        </w:rPr>
        <w:t xml:space="preserve">The Random Forest Regressor outperforms Linear Regression on every metric — lower error (MAE, RMSE) and higher explanatory power (R²) — confirming that unit demand depends on non-linear interactions (e.g., category × region × season) that a purely linear model cannot fully capture.</w:t>
      </w:r>
    </w:p>
    <w:p>
      <w:pPr>
        <w:pStyle w:val="Heading2"/>
        <w:spacing w:after="150" w:before="300"/>
      </w:pPr>
      <w:r>
        <w:t xml:space="preserve">6.2 Predicted vs Actual Demand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591365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1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15. Random Forest predicted vs actual demand on the test set.</w:t>
      </w:r>
    </w:p>
    <w:p>
      <w:pPr>
        <w:spacing w:after="160"/>
      </w:pPr>
      <w:r>
        <w:rPr>
          <w:sz w:val="22"/>
          <w:szCs w:val="22"/>
        </w:rPr>
        <w:t xml:space="preserve">Points cluster tightly around the diagonal (perfect-prediction) line across the full range of demand values, with no systematic bias toward over- or under-prediction at either the low or high end.</w:t>
      </w:r>
    </w:p>
    <w:p>
      <w:pPr>
        <w:pStyle w:val="Heading2"/>
        <w:spacing w:after="150" w:before="300"/>
      </w:pPr>
      <w:r>
        <w:t xml:space="preserve">6.3 Feature Importance</w:t>
      </w:r>
    </w:p>
    <w:p>
      <w:pPr>
        <w:spacing w:after="80" w:before="200"/>
        <w:jc w:val="center"/>
      </w:pPr>
      <w:r>
        <w:drawing>
          <wp:inline distT="0" distB="0" distL="0" distR="0">
            <wp:extent cx="5760720" cy="35857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8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16. Random Forest feature importance for demand prediction.</w:t>
      </w:r>
    </w:p>
    <w:p>
      <w:pPr>
        <w:spacing w:after="160"/>
      </w:pPr>
      <w:r>
        <w:rPr>
          <w:sz w:val="22"/>
          <w:szCs w:val="22"/>
        </w:rPr>
        <w:t xml:space="preserve">The number of distinct orders placed in a given Category/Region/month is by far the strongest predictor of unit demand — more influential than revenue or profit. This confirms that order frequency, not order size, is the primary demand driver, and should shape how inventory reorder triggers are designed.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Business Insights &amp; Recommendations</w:t>
      </w:r>
    </w:p>
    <w:p>
      <w:pPr>
        <w:pStyle w:val="Heading2"/>
        <w:spacing w:after="150" w:before="300"/>
      </w:pPr>
      <w:r>
        <w:t xml:space="preserve">7.1 Best-Performing Products</w:t>
      </w:r>
    </w:p>
    <w:p>
      <w:pPr>
        <w:spacing w:after="160"/>
      </w:pPr>
      <w:r>
        <w:rPr>
          <w:sz w:val="22"/>
          <w:szCs w:val="22"/>
        </w:rPr>
        <w:t xml:space="preserve">The top five products by revenue are dominated by high-ticket Technology items: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pct" w:w="50%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 ($)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Canon imageCLASS 2200 Advanced Copier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$61,599.82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Fellowes PB500 Electric Punch Plastic Comb Binding Machine with Manual Bind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$27,453.38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Cisco TelePresence System EX90 Videoconferencing Unit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$22,638.48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HON 5400 Series Task Chairs for Big and Tall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$21,870.58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GBC DocuBind TL300 Electric Binding System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$19,823.48</w:t>
            </w:r>
          </w:p>
        </w:tc>
      </w:tr>
    </w:tbl>
    <w:p>
      <w:pPr>
        <w:pStyle w:val="Heading2"/>
        <w:spacing w:after="150" w:before="300"/>
      </w:pPr>
      <w:r>
        <w:t xml:space="preserve">7.2 Worst-Performing Products</w:t>
      </w:r>
    </w:p>
    <w:p>
      <w:pPr>
        <w:spacing w:after="160"/>
      </w:pPr>
      <w:r>
        <w:rPr>
          <w:sz w:val="22"/>
          <w:szCs w:val="22"/>
        </w:rPr>
        <w:t xml:space="preserve">The following products generated minimal revenue over the four-year period and are candidates for bundling, repricing, or discontinuation review: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pct" w:w="50%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 ($)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Eureka Disposable Bags for Sanitaire Vibra Groomer I Upright Vac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$1.62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Avery 5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$5.76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Xerox 20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$6.48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Grip Seal Envelopes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$7.07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Avery Hi-Liter Pen Style Six-Color Fluorescent Set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$7.7</w:t>
            </w:r>
          </w:p>
        </w:tc>
      </w:tr>
    </w:tbl>
    <w:p>
      <w:pPr>
        <w:pStyle w:val="Heading2"/>
        <w:spacing w:after="150" w:before="300"/>
      </w:pPr>
      <w:r>
        <w:t xml:space="preserve">7.3 Best- and Worst-Performing Regions</w:t>
      </w:r>
    </w:p>
    <w:p>
      <w:pPr>
        <w:spacing w:after="160"/>
      </w:pPr>
      <w:r>
        <w:rPr>
          <w:sz w:val="22"/>
          <w:szCs w:val="22"/>
        </w:rPr>
        <w:t xml:space="preserve">The West region leads in both revenue ($725K) and unit volume (12,266 units) and should receive continued priority for warehouse stocking and marketing investment. The South region trails on both metrics and warrants a focused sales and marketing audit.</w:t>
      </w:r>
    </w:p>
    <w:p>
      <w:pPr>
        <w:pStyle w:val="Heading2"/>
        <w:spacing w:after="150" w:before="300"/>
      </w:pPr>
      <w:r>
        <w:t xml:space="preserve">7.4 Seasonal Demand Observations</w:t>
      </w:r>
    </w:p>
    <w:p>
      <w:pPr>
        <w:spacing w:after="160"/>
      </w:pPr>
      <w:r>
        <w:rPr>
          <w:sz w:val="22"/>
          <w:szCs w:val="22"/>
        </w:rPr>
        <w:t xml:space="preserve">Demand peaks sharply and consistently in Q4 (November–December) every year of the dataset. This is the single most reliable planning signal available and should directly drive Q3 procurement timing.</w:t>
      </w:r>
    </w:p>
    <w:p>
      <w:pPr>
        <w:pStyle w:val="Heading2"/>
        <w:spacing w:after="150" w:before="300"/>
      </w:pPr>
      <w:r>
        <w:t xml:space="preserve">7.5 Inventory Optimization Suggestions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Build safety stock for Technology and Office Supplies ahead of Q4, based on the observed seasonal uplift.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 the Random Forest model's Category × Region monthly demand forecast to set reorder points at least one month in advance of anticipated demand.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De-prioritize warehouse space for chronically loss-making sub-categories (e.g. Tables) unless a pricing or discount policy change is implemented first.</w:t>
      </w:r>
    </w:p>
    <w:p>
      <w:pPr>
        <w:pStyle w:val="Heading2"/>
        <w:spacing w:after="150" w:before="300"/>
      </w:pPr>
      <w:r>
        <w:t xml:space="preserve">7.6 Revenue Improvement Suggestions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Cap discounts on categories where profit turns negative beyond roughly 30% discount — this threshold is actively destroying margin.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Bundle low-revenue consumables with high-revenue Technology purchases to lift average order value.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Invest disproportionately in the West region's proven demand while running a targeted campaign to lift the South region's volume.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Conclusion</w:t>
      </w:r>
    </w:p>
    <w:p>
      <w:pPr>
        <w:spacing w:after="160"/>
      </w:pPr>
      <w:r>
        <w:rPr>
          <w:sz w:val="22"/>
          <w:szCs w:val="22"/>
        </w:rPr>
        <w:t xml:space="preserve">This project delivered a complete data science workflow — from raw transactional e-commerce data to a validated, business-ready demand prediction model. After thorough cleaning and thirteen exploratory visualizations, two regression models were built and compared for forecasting monthly unit demand at the category/region level. The Random Forest Regressor outperformed Linear Regression across all three evaluation metrics (MAE, RMSE, R²), confirming that demand is shaped by non-linear interactions between seasonality, category, region, and order behavior rather than by any single linear driver.</w:t>
      </w:r>
    </w:p>
    <w:p>
      <w:pPr>
        <w:spacing w:after="160"/>
      </w:pPr>
      <w:r>
        <w:rPr>
          <w:sz w:val="22"/>
          <w:szCs w:val="22"/>
        </w:rPr>
        <w:t xml:space="preserve">The resulting model and insights — particularly the dominance of order frequency as a demand driver and the sharp Q4 seasonal uplift — provide a directly actionable foundation for inventory optimization, including reorder timing, regional stock allocation, and discount policy review.</w:t>
      </w:r>
    </w:p>
    <w:p>
      <w:pPr>
        <w:pStyle w:val="Heading2"/>
        <w:spacing w:after="150" w:before="300"/>
      </w:pPr>
      <w:r>
        <w:t xml:space="preserve">8.1 Future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Incorporate external signals (holidays, marketing calendars, promotions, competitor pricing) to sharpen forecast accuracy.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Move to weekly-level granularity for tighter inventory cycles.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Benchmark against gradient boosting methods (XGBoost, LightGBM) and time-series models (SARIMA, Prophet).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Deploy the trained model as a lightweight forecasting API integrated with the inventory management system.</w:t>
      </w:r>
    </w:p>
    <w:p>
      <w:pPr>
        <w:pStyle w:val="Heading2"/>
        <w:spacing w:after="150" w:before="300"/>
      </w:pPr>
      <w:r>
        <w:t xml:space="preserve">8.2 Tools &amp; Technologies Used</w:t>
      </w:r>
    </w:p>
    <w:p>
      <w:pPr>
        <w:spacing w:after="160"/>
      </w:pPr>
      <w:r>
        <w:rPr>
          <w:sz w:val="22"/>
          <w:szCs w:val="22"/>
        </w:rPr>
        <w:t xml:space="preserve">Python 3, Pandas, NumPy, Matplotlib, Seaborn, Scikit-learn, Jupyter Notebook.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2C3E7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24a99d20201a7e764ddaa2c42b9e4533aa0336.png"/><Relationship Id="rId8" Type="http://schemas.openxmlformats.org/officeDocument/2006/relationships/image" Target="media/4cd4a5583073cc19f6865082da050610195febe5.png"/><Relationship Id="rId9" Type="http://schemas.openxmlformats.org/officeDocument/2006/relationships/image" Target="media/d28ac503b9fe0c2929f9a90da217afbbf97e04b3.png"/><Relationship Id="rId10" Type="http://schemas.openxmlformats.org/officeDocument/2006/relationships/image" Target="media/8f50fbad9941d8c397a4c1c44565dd8dd8c8ece9.png"/><Relationship Id="rId11" Type="http://schemas.openxmlformats.org/officeDocument/2006/relationships/image" Target="media/7c489169c76e761df97ee16c56dc186242fd5833.png"/><Relationship Id="rId12" Type="http://schemas.openxmlformats.org/officeDocument/2006/relationships/image" Target="media/84f0786090a4624177fe9da6fa10df1a4a636226.png"/><Relationship Id="rId13" Type="http://schemas.openxmlformats.org/officeDocument/2006/relationships/image" Target="media/bf3668f8a584c742a6ad8b08d19d2a56e7752675.png"/><Relationship Id="rId14" Type="http://schemas.openxmlformats.org/officeDocument/2006/relationships/image" Target="media/90ee46ab61dbf11657c5301745edd16c5153396b.png"/><Relationship Id="rId15" Type="http://schemas.openxmlformats.org/officeDocument/2006/relationships/image" Target="media/54fdbf2625db273aa8e650460e428caea435cfe9.png"/><Relationship Id="rId16" Type="http://schemas.openxmlformats.org/officeDocument/2006/relationships/image" Target="media/cfe0ba3b5a6dcf36679c3031444c2c8c87f8b4fe.png"/><Relationship Id="rId17" Type="http://schemas.openxmlformats.org/officeDocument/2006/relationships/image" Target="media/b52b7d3628c3a4338da0906789c5117396b4c4bb.png"/><Relationship Id="rId18" Type="http://schemas.openxmlformats.org/officeDocument/2006/relationships/image" Target="media/ecca70fb7dd2083bd6b4fb7be8ceb567da9be6fe.png"/><Relationship Id="rId19" Type="http://schemas.openxmlformats.org/officeDocument/2006/relationships/image" Target="media/603df99db420c01dd2f8cb317e1033c96714e8ac.png"/><Relationship Id="rId20" Type="http://schemas.openxmlformats.org/officeDocument/2006/relationships/image" Target="media/53491e91e2a443fbad0a8f166e36ec9f34cc4498.png"/><Relationship Id="rId21" Type="http://schemas.openxmlformats.org/officeDocument/2006/relationships/image" Target="media/4944c14e4ce4514eb42a12706eb1c37baf9c0a09.png"/><Relationship Id="rId22" Type="http://schemas.openxmlformats.org/officeDocument/2006/relationships/image" Target="media/fa75699f8b9941717be3ae003932ab4fe46e62dc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Sales Analysis &amp; Demand Prediction</dc:title>
  <dc:creator>Nivash</dc:creator>
  <cp:lastModifiedBy>Un-named</cp:lastModifiedBy>
  <cp:revision>1</cp:revision>
  <dcterms:created xsi:type="dcterms:W3CDTF">2026-07-07T09:56:20.435Z</dcterms:created>
  <dcterms:modified xsi:type="dcterms:W3CDTF">2026-07-07T09:56:20.435Z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