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btd53seigx9" w:id="0"/>
      <w:bookmarkEnd w:id="0"/>
      <w:r w:rsidDel="00000000" w:rsidR="00000000" w:rsidRPr="00000000">
        <w:rPr>
          <w:rtl w:val="0"/>
        </w:rPr>
        <w:t xml:space="preserve">Higher loan-to-income ratios increase default risk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Compare average loan-to-income ratio between defaulted and non-defaulted borrowers.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loan_status, COUNT(*) AS total_borrowers, ROUND(AVG(loan_percent_income),2) AS avg_loan_percent_income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credit_risk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GROUP BY loan_status;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Finding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Defaulted borrowers had an average loan-to-income ratio of 25%, compared with 15% for non-defaulted borrowers indicating that higher borrowing relative -- to income is associated with greater default risk.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Calculate the default rate across loan-to-income ratio bands to determine whether higher borrowing relative to income is associated with increased default risk.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CASE 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WHEN loan_percent_inc &lt; 0.10 THEN '&lt;10%'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WHEN loan_percent_inc &lt; 0.20 THEN '10% to &lt;20%'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WHEN loan_percent_inc &lt; 0.30 THEN '20% to &lt;30%'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WHEN loan_percent_inc &lt; 0.40 THEN '30% to &lt;40%' </w:t>
      </w:r>
    </w:p>
    <w:p w:rsidR="00000000" w:rsidDel="00000000" w:rsidP="00000000" w:rsidRDefault="00000000" w:rsidRPr="00000000" w14:paraId="00000015">
      <w:pPr>
        <w:ind w:left="0" w:firstLine="720"/>
        <w:rPr/>
      </w:pPr>
      <w:r w:rsidDel="00000000" w:rsidR="00000000" w:rsidRPr="00000000">
        <w:rPr>
          <w:rtl w:val="0"/>
        </w:rPr>
        <w:t xml:space="preserve">ELSE '40%+'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END AS income_band,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COUNT(*) AS total_loans,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SUM(loan_status) AS defaults,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ROUND(100.0 * SUM(loan_status) / COUNT(*), 2) AS default_rate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credit_risk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GROUP BY income_band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ORDER BY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CASE income_band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WHEN '0-10%' THEN 1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WHEN '10-20%' THEN 2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WHEN '20-30%' THEN 3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WHEN '30-40%' THEN 4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ELSE 5 END;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Findings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default rate increases consistently as the loan-to-income ratio rises.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-- 0-10% : 11.59%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-- 10-20% : 14.74%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-- 20-30% : 20.98%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-- 30-40% : 61.93%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-- 40%+ : 73.57%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Borrowers whose loan represents 40% or more of their annual income have the highest default rate (73.57%), compared with only 11.59% for borrowers with loan-to-income ratios below 10%. This provides strong evidence that higher loan-to-income ratios are associated with significantly greater default risk, supporting Hypothesis 1.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Which loan-to-income band has the highest default rate?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40%+ band has the highest default rate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Insight: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Default rates increase consistently as the loan-to-income ratio rises. Borrowers whose loan repayments represent less than 10% of their income have a default rate of 11.59%, whereas borrowers with loan-to-income ratios exceeding 40% have a default rate of 73.57%. This strong positive relationship suggests that loan-to-income ratio is a key indicator of credit risk and should be considered carefully during lending decisions.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