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qt9cj9q4u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Development &amp; Configuration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focuses on developing the core backend structure and business logic of the </w:t>
      </w:r>
      <w:r w:rsidDel="00000000" w:rsidR="00000000" w:rsidRPr="00000000">
        <w:rPr>
          <w:b w:val="1"/>
          <w:bCs w:val="1"/>
          <w:rtl w:val="0"/>
        </w:rPr>
        <w:t xml:space="preserve">Auto Ticket Classification system in ServiceNow</w:t>
      </w:r>
      <w:r w:rsidDel="00000000" w:rsidR="00000000" w:rsidRPr="00000000">
        <w:rPr>
          <w:rtl w:val="0"/>
        </w:rPr>
        <w:t xml:space="preserve">. It includes creating and configuring tables and fields to store support tickets, user details, issue types, categories, subcategories, priority, and ticket status.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Server-side scripts, Business Rules, and automation are developed to analyze incoming support requests and automatically identify the appropriate </w:t>
      </w:r>
      <w:r w:rsidDel="00000000" w:rsidR="00000000" w:rsidRPr="00000000">
        <w:rPr>
          <w:b w:val="1"/>
          <w:bCs w:val="1"/>
          <w:rtl w:val="0"/>
        </w:rPr>
        <w:t xml:space="preserve">issue type, category, and subcategory</w:t>
      </w:r>
      <w:r w:rsidDel="00000000" w:rsidR="00000000" w:rsidRPr="00000000">
        <w:rPr>
          <w:rtl w:val="0"/>
        </w:rPr>
        <w:t xml:space="preserve">. Based on the classification, the system can also assign the appropriate priority and route the ticket to the relevant IT support team.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 Request:</w:t>
      </w:r>
      <w:r w:rsidDel="00000000" w:rsidR="00000000" w:rsidRPr="00000000">
        <w:rPr>
          <w:rtl w:val="0"/>
        </w:rPr>
        <w:t xml:space="preserve"> “My laptop cannot connect to the school Wi-Fi.”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processes the request and automatically determines: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Type:</w:t>
      </w:r>
      <w:r w:rsidDel="00000000" w:rsidR="00000000" w:rsidRPr="00000000">
        <w:rPr>
          <w:rtl w:val="0"/>
        </w:rPr>
        <w:t xml:space="preserve"> Network Connectivity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Network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Wi-Fi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Group:</w:t>
      </w:r>
      <w:r w:rsidDel="00000000" w:rsidR="00000000" w:rsidRPr="00000000">
        <w:rPr>
          <w:rtl w:val="0"/>
        </w:rPr>
        <w:t xml:space="preserve"> Network Support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then creates/updates the ticket and can automatically notify the student or teacher with the ticket number.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20idrsz6s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simple terms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→ Classification → Ticket Creation → Assignment → Notification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is therefore responsible for making the </w:t>
      </w:r>
      <w:r w:rsidDel="00000000" w:rsidR="00000000" w:rsidRPr="00000000">
        <w:rPr>
          <w:b w:val="1"/>
          <w:bCs w:val="1"/>
          <w:rtl w:val="0"/>
        </w:rPr>
        <w:t xml:space="preserve">automatic classification logic actually work behind the ServiceNow application</w:t>
      </w:r>
      <w:r w:rsidDel="00000000" w:rsidR="00000000" w:rsidRPr="00000000">
        <w:rPr>
          <w:rtl w:val="0"/>
        </w:rPr>
        <w:t xml:space="preserve">, rather than just designing the idea or user interface.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Three activities included in this process are listed below:</w:t>
      </w:r>
    </w:p>
    <w:p w:rsidR="00000000" w:rsidDel="00000000" w:rsidP="00000000" w:rsidRDefault="00000000" w:rsidRPr="00000000" w14:paraId="00000012">
      <w:pPr>
        <w:shd w:fill="f1f5f9" w:val="clear"/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Activity 1: Creation of Custom Table to Store Ticket Records</w:t>
      </w:r>
    </w:p>
    <w:p w:rsidR="00000000" w:rsidDel="00000000" w:rsidP="00000000" w:rsidRDefault="00000000" w:rsidRPr="00000000" w14:paraId="00000013">
      <w:pPr>
        <w:shd w:fill="ffffff" w:val="clear"/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Activity 2: Field Creation and Data Type Configuration</w:t>
      </w:r>
      <w:r w:rsidDel="00000000" w:rsidR="00000000" w:rsidRPr="00000000">
        <w:rPr>
          <w:color w:val="0a0a0a"/>
          <w:sz w:val="21"/>
          <w:szCs w:val="21"/>
        </w:rPr>
        <w:drawing>
          <wp:inline distB="114300" distT="114300" distL="114300" distR="114300">
            <wp:extent cx="5377439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866" l="1435" r="45440" t="-1866"/>
                    <a:stretch>
                      <a:fillRect/>
                    </a:stretch>
                  </pic:blipFill>
                  <pic:spPr>
                    <a:xfrm>
                      <a:off x="0" y="0"/>
                      <a:ext cx="5377439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afc" w:val="clear"/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Activity 3: Implementing Dependency Between Category and Subcategory Choice Fields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