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Алгоритм обучения определяет вычислительную стратегию в рекуррентных нейронных сетях</w:t>
      </w:r>
    </w:p>
    <w:p>
      <w:pPr>
        <w:spacing w:after="600"/>
        <w:jc w:val="center"/>
      </w:pPr>
      <w:r>
        <w:rPr>
          <w:rFonts w:ascii="Arial" w:cs="Arial" w:eastAsia="Arial" w:hAnsi="Arial"/>
          <w:i/>
          <w:iCs/>
          <w:sz w:val="24"/>
          <w:szCs w:val="24"/>
        </w:rPr>
        <w:t xml:space="preserve">Многомасштабный анализ с применением методов снижения размерности и теории информации</w:t>
      </w:r>
    </w:p>
    <w:p>
      <w:pPr>
        <w:pStyle w:val="Heading1"/>
      </w:pPr>
      <w:r>
        <w:t xml:space="preserve">1. Введение</w:t>
      </w:r>
    </w:p>
    <w:p>
      <w:pPr>
        <w:spacing w:after="200" w:line="276"/>
      </w:pPr>
      <w:r>
        <w:rPr>
          <w:rFonts w:ascii="Arial" w:cs="Arial" w:eastAsia="Arial" w:hAnsi="Arial"/>
          <w:sz w:val="22"/>
          <w:szCs w:val="22"/>
        </w:rPr>
        <w:t xml:space="preserve">Когда нейронные сети обучаются выполнению идентичных задач с использованием различных алгоритмов обучения, приходят ли они к эквивалентным внутренним решениям? Данный вопрос имеет существенное значение как для вычислительной нейронауки, так и для машинного обучения. Биологическое обучение преимущественно осуществляется посредством механизмов, управляемых вознаграждением и напоминающих обучение с подкреплением (RL), тогда как вычислительные модели часто используют обучение с учителем (SL) ввиду его вычислительной простоты (Botvinick et al., 2020). Если данные алгоритмы порождают систематически различающиеся внутренние архитектуры, выводы, полученные на основе моделей, обученных методом SL, могут не обобщаться на биологические нейронные цепи. В области искусственного интеллекта понимание того, как алгоритмы обучения формируют внутреннюю структуру, может способствовать проектированию систем с желаемыми вычислительными свойствами.</w:t>
      </w:r>
    </w:p>
    <w:p>
      <w:pPr>
        <w:spacing w:after="200" w:line="276"/>
      </w:pPr>
      <w:r>
        <w:rPr>
          <w:rFonts w:ascii="Arial" w:cs="Arial" w:eastAsia="Arial" w:hAnsi="Arial"/>
          <w:sz w:val="22"/>
          <w:szCs w:val="22"/>
        </w:rPr>
        <w:t xml:space="preserve">Настоящая работа посвящена исследованию данного вопроса с использованием рекуррентных нейронных сетей (РНС), обученных на задаче контекстно-зависимого принятия решений — канонической парадигме для изучения когнитивной гибкости (Mante et al., 2013). В этой задаче агент должен избирательно интегрировать один из двух зашумлённых потоков стимулов, игнорируя другой, в зависимости от контекстного сигнала. Сети, обученные методами RL (проксимальная оптимизация политики) и SL (кросс-энтропийная функция потерь с оптимизатором Adam), достигли сопоставимой поведенческой точности, превышающей 95% правильных ответов. Однако поведенческая эквивалентность не влечёт за собой механистическую эквивалентность. Для исследования внутренней организации этих сетей потребовались аналитические методы, способные выявлять структуру в многомерной нейронной динамике.</w:t>
      </w:r>
    </w:p>
    <w:p>
      <w:pPr>
        <w:spacing w:after="200" w:line="276"/>
      </w:pPr>
      <w:r>
        <w:rPr>
          <w:rFonts w:ascii="Arial" w:cs="Arial" w:eastAsia="Arial" w:hAnsi="Arial"/>
          <w:sz w:val="22"/>
          <w:szCs w:val="22"/>
        </w:rPr>
        <w:t xml:space="preserve">Последние достижения показали, что обученные РНС демонстрируют низкоразмерную динамику, поддающуюся интерпретации в рамках теории динамических систем (Sussillo &amp; Barak, 2013; Vyas et al., 2020). Активность нейронных популяций эволюционирует вдоль низкоразмерных многообразий, при этом вычисления реализуются посредством аттракторной динамики — устойчивых неподвижных точек для поддержания памяти, медленных многообразий для интеграции свидетельств и бифуркаций для категориальных решений (Wang, 2008; Mante et al., 2013). Эти результаты мотивируют применение подхода динамических систем для сравнения сетей, обученных в различных режимах.</w:t>
      </w:r>
    </w:p>
    <w:p>
      <w:pPr>
        <w:pStyle w:val="Heading1"/>
      </w:pPr>
      <w:r>
        <w:t xml:space="preserve">2. Аналитический подход</w:t>
      </w:r>
    </w:p>
    <w:p>
      <w:pPr>
        <w:pStyle w:val="Heading2"/>
      </w:pPr>
      <w:r>
        <w:t xml:space="preserve">2.1 Проблемы анализа многомерной нейронной динамики</w:t>
      </w:r>
    </w:p>
    <w:p>
      <w:pPr>
        <w:spacing w:after="200" w:line="276"/>
      </w:pPr>
      <w:r>
        <w:rPr>
          <w:rFonts w:ascii="Arial" w:cs="Arial" w:eastAsia="Arial" w:hAnsi="Arial"/>
          <w:sz w:val="22"/>
          <w:szCs w:val="22"/>
        </w:rPr>
        <w:t xml:space="preserve">Исследуемые сети содержали 250 рекуррентных нейронов, что порождает траектории нейронной активности в 250-мерном пространстве состояний. Анализ такой многомерной динамики сопряжён с тремя взаимосвязанными проблемами.</w:t>
      </w:r>
    </w:p>
    <w:p>
      <w:pPr>
        <w:spacing w:after="200" w:line="276"/>
      </w:pPr>
      <w:r>
        <w:rPr>
          <w:rFonts w:ascii="Arial" w:cs="Arial" w:eastAsia="Arial" w:hAnsi="Arial"/>
          <w:b/>
          <w:bCs/>
          <w:sz w:val="22"/>
          <w:szCs w:val="22"/>
        </w:rPr>
        <w:t xml:space="preserve">Во-первых, </w:t>
      </w:r>
      <w:r>
        <w:rPr>
          <w:rFonts w:ascii="Arial" w:cs="Arial" w:eastAsia="Arial" w:hAnsi="Arial"/>
          <w:sz w:val="22"/>
          <w:szCs w:val="22"/>
        </w:rPr>
        <w:t xml:space="preserve">визуализация многомерных траекторий требует снижения размерности. Стандартные линейные методы, такие как метод главных компонент (PCA), не гарантируют осей, согласованных с релевантными для задачи переменными, что потенциально может скрывать вычислительную структуру (Cunningham &amp; Yu, 2014). Нелинейные методы, включая t-SNE и UMAP, могут искажать глобальную геометрию. Метод LFADS (Pandarinath et al., 2018) продемонстрировал, что последовательные автоэнкодеры способны извлекать интерпретируемую низкоразмерную динамику из нейронных записей, сохраняя при этом существенную структуру. Мы адаптировали этот подход с учётом специфики задачи.</w:t>
      </w:r>
    </w:p>
    <w:p>
      <w:pPr>
        <w:spacing w:after="200" w:line="276"/>
      </w:pPr>
      <w:r>
        <w:rPr>
          <w:rFonts w:ascii="Arial" w:cs="Arial" w:eastAsia="Arial" w:hAnsi="Arial"/>
          <w:b/>
          <w:bCs/>
          <w:sz w:val="22"/>
          <w:szCs w:val="22"/>
        </w:rPr>
        <w:t xml:space="preserve">Во-вторых, </w:t>
      </w:r>
      <w:r>
        <w:rPr>
          <w:rFonts w:ascii="Arial" w:cs="Arial" w:eastAsia="Arial" w:hAnsi="Arial"/>
          <w:sz w:val="22"/>
          <w:szCs w:val="22"/>
        </w:rPr>
        <w:t xml:space="preserve">отслеживание формирования вычислительной архитектуры в процессе обучения требует согласованных представлений для различных временных срезов сети. Если обученное вложение произвольно варьируется между стадиями обучения, разграничение истинных структурных изменений и артефактов проекции становится невозможным. Это обусловливает необходимость введения ограничений, обеспечивающих семантическую согласованность латентных измерений на протяжении всего процесса обучения.</w:t>
      </w:r>
    </w:p>
    <w:p>
      <w:pPr>
        <w:spacing w:after="200" w:line="276"/>
      </w:pPr>
      <w:r>
        <w:rPr>
          <w:rFonts w:ascii="Arial" w:cs="Arial" w:eastAsia="Arial" w:hAnsi="Arial"/>
          <w:b/>
          <w:bCs/>
          <w:sz w:val="22"/>
          <w:szCs w:val="22"/>
        </w:rPr>
        <w:t xml:space="preserve">В-третьих, </w:t>
      </w:r>
      <w:r>
        <w:rPr>
          <w:rFonts w:ascii="Arial" w:cs="Arial" w:eastAsia="Arial" w:hAnsi="Arial"/>
          <w:sz w:val="22"/>
          <w:szCs w:val="22"/>
        </w:rPr>
        <w:t xml:space="preserve">структурная классификация нейронных популяций на основе динамических свойств требует независимой функциональной валидации. Нейроны могут участвовать в определённых бассейнах притяжения по причинам, не связанным с кодированием информации. Теоретико-информационные меры обеспечивают такую валидацию путём количественной оценки статистической зависимости между нейронной активностью и переменными задачи (Ince et al., 2017).</w:t>
      </w:r>
    </w:p>
    <w:p>
      <w:pPr>
        <w:pStyle w:val="Heading2"/>
      </w:pPr>
      <w:r>
        <w:t xml:space="preserve">2.2 Методологический подход</w:t>
      </w:r>
    </w:p>
    <w:p>
      <w:pPr>
        <w:spacing w:after="200" w:line="276"/>
      </w:pPr>
      <w:r>
        <w:rPr>
          <w:rFonts w:ascii="Arial" w:cs="Arial" w:eastAsia="Arial" w:hAnsi="Arial"/>
          <w:sz w:val="22"/>
          <w:szCs w:val="22"/>
        </w:rPr>
        <w:t xml:space="preserve">Для решения указанных проблем мы применили два взаимодополняющих аналитических метода. Для визуализации были разработаны автоэнкодеры с ограничениями на семантическую согласованность латентного пространства. Для функциональной валидации применялся анализ взаимной информации на основе гауссовой копулы (GCMI) со строгим статистическим выводом. Оба метода реализованы в программном пакете DRIADA (Pospelov, 2025). В следующих разделах детально описан каждый подход и полученные с его помощью результаты.</w:t>
      </w:r>
    </w:p>
    <w:p>
      <w:r>
        <w:br w:type="page"/>
      </w:r>
    </w:p>
    <w:p>
      <w:pPr>
        <w:pStyle w:val="Heading1"/>
      </w:pPr>
      <w:r>
        <w:t xml:space="preserve">3. Визуализация архитектуры пространства состояний посредством автоэнкодеров с ограничениями</w:t>
      </w:r>
    </w:p>
    <w:p>
      <w:pPr>
        <w:pStyle w:val="Heading2"/>
      </w:pPr>
      <w:r>
        <w:t xml:space="preserve">3.1 Метод</w:t>
      </w:r>
    </w:p>
    <w:p>
      <w:pPr>
        <w:spacing w:after="200" w:line="276"/>
      </w:pPr>
      <w:r>
        <w:rPr>
          <w:rFonts w:ascii="Arial" w:cs="Arial" w:eastAsia="Arial" w:hAnsi="Arial"/>
          <w:sz w:val="22"/>
          <w:szCs w:val="22"/>
        </w:rPr>
        <w:t xml:space="preserve">Для проецирования 250-мерных нейронных траекторий в интерпретируемое трёхмерное пространство были обучены автоэнкодеры с узким горлом. Следуя общему подходу, разработанному для анализа нейронных популяций (Pandarinath et al., 2018), энкодер последовательно сжимал скрытые состояния (250 → 128 → 3), тогда как декодер восстанавливал исходное представление (3 → 128 → 250). В скрытых слоях использовались функции активации ReLU.</w:t>
      </w:r>
    </w:p>
    <w:p>
      <w:pPr>
        <w:spacing w:after="200" w:line="276"/>
      </w:pPr>
      <w:r>
        <w:rPr>
          <w:rFonts w:ascii="Arial" w:cs="Arial" w:eastAsia="Arial" w:hAnsi="Arial"/>
          <w:sz w:val="22"/>
          <w:szCs w:val="22"/>
        </w:rPr>
        <w:t xml:space="preserve">Ключевым методологическим вкладом является составная функция потерь, объединяющая точность реконструкции с семантическим выравниванием:</w:t>
      </w:r>
    </w:p>
    <w:p>
      <w:pPr>
        <w:spacing w:before="200" w:after="200"/>
        <w:jc w:val="center"/>
      </w:pPr>
      <w:r>
        <w:rPr>
          <w:rFonts w:ascii="Arial" w:cs="Arial" w:eastAsia="Arial" w:hAnsi="Arial"/>
          <w:i/>
          <w:iCs/>
          <w:sz w:val="22"/>
          <w:szCs w:val="22"/>
        </w:rPr>
        <w:t xml:space="preserve">L = ||h - ĥ||² + λL_align</w:t>
      </w:r>
    </w:p>
    <w:p>
      <w:pPr>
        <w:spacing w:after="200" w:line="276"/>
      </w:pPr>
      <w:r>
        <w:rPr>
          <w:rFonts w:ascii="Arial" w:cs="Arial" w:eastAsia="Arial" w:hAnsi="Arial"/>
          <w:sz w:val="22"/>
          <w:szCs w:val="22"/>
        </w:rPr>
        <w:t xml:space="preserve">Член выравнивания накладывал ограничение на первые два латентных измерения, требуя их корреляции со значениями первичной и вторичной когерентности стимула:</w:t>
      </w:r>
    </w:p>
    <w:p>
      <w:pPr>
        <w:spacing w:before="200" w:after="200"/>
        <w:jc w:val="center"/>
      </w:pPr>
      <w:r>
        <w:rPr>
          <w:rFonts w:ascii="Arial" w:cs="Arial" w:eastAsia="Arial" w:hAnsi="Arial"/>
          <w:i/>
          <w:iCs/>
          <w:sz w:val="22"/>
          <w:szCs w:val="22"/>
        </w:rPr>
        <w:t xml:space="preserve">L_align = –(r(C₁, coh_primary) + r(C₂, coh_secondary))</w:t>
      </w:r>
    </w:p>
    <w:p>
      <w:pPr>
        <w:spacing w:after="200" w:line="276"/>
      </w:pPr>
      <w:r>
        <w:rPr>
          <w:rFonts w:ascii="Arial" w:cs="Arial" w:eastAsia="Arial" w:hAnsi="Arial"/>
          <w:i/>
          <w:iCs/>
          <w:sz w:val="22"/>
          <w:szCs w:val="22"/>
        </w:rPr>
        <w:t xml:space="preserve">где </w:t>
      </w:r>
      <w:r>
        <w:rPr>
          <w:rFonts w:ascii="Arial" w:cs="Arial" w:eastAsia="Arial" w:hAnsi="Arial"/>
          <w:i/>
          <w:iCs/>
          <w:sz w:val="22"/>
          <w:szCs w:val="22"/>
        </w:rPr>
        <w:t xml:space="preserve">r</w:t>
      </w:r>
      <w:r>
        <w:rPr>
          <w:rFonts w:ascii="Arial" w:cs="Arial" w:eastAsia="Arial" w:hAnsi="Arial"/>
          <w:sz w:val="22"/>
          <w:szCs w:val="22"/>
        </w:rPr>
        <w:t xml:space="preserve"> обозначает коэффициент корреляции Пирсона. Вес выравнивания был установлен равным λ = 0.1. Оптимизация осуществлялась методом Adam (скорость обучения 0.001) в течение 1000 эпох на данных скрытых состояний из 500 проб. Для каждого временного среза сети обучался отдельный автоэнкодер, что обеспечивало оптимальную реконструкцию на каждой стадии обучения при сохранении интерпретируемых, согласованно ориентированных осей.</w:t>
      </w:r>
    </w:p>
    <w:p>
      <w:pPr>
        <w:pStyle w:val="Heading2"/>
      </w:pPr>
      <w:r>
        <w:t xml:space="preserve">3.2 Формирование гибридной аттракторной архитектуры</w:t>
      </w:r>
    </w:p>
    <w:p>
      <w:pPr>
        <w:spacing w:after="200" w:line="276"/>
      </w:pPr>
      <w:r>
        <w:rPr>
          <w:rFonts w:ascii="Arial" w:cs="Arial" w:eastAsia="Arial" w:hAnsi="Arial"/>
          <w:sz w:val="22"/>
          <w:szCs w:val="22"/>
        </w:rPr>
        <w:t xml:space="preserve">Визуализации, полученные с помощью автоэнкодера с ограничениями, показали, что сети, обученные методом RL, последовательно формируют своё пространство состояний в сложную гибридную архитектуру, объединяющую различные динамические режимы. Этот результат согласуется с теоретическими предположениями о том, что нейронные цепи используют различные динамические механизмы для разных вычислительных функций (Wang, 2008; Vyas et al., 2020).</w:t>
      </w:r>
    </w:p>
    <w:p>
      <w:pPr>
        <w:spacing w:after="200" w:line="276"/>
      </w:pPr>
      <w:r>
        <w:rPr>
          <w:rFonts w:ascii="Arial" w:cs="Arial" w:eastAsia="Arial" w:hAnsi="Arial"/>
          <w:b/>
          <w:bCs/>
          <w:sz w:val="22"/>
          <w:szCs w:val="22"/>
        </w:rPr>
        <w:t xml:space="preserve">До обучения </w:t>
      </w:r>
      <w:r>
        <w:rPr>
          <w:rFonts w:ascii="Arial" w:cs="Arial" w:eastAsia="Arial" w:hAnsi="Arial"/>
          <w:sz w:val="22"/>
          <w:szCs w:val="22"/>
        </w:rPr>
        <w:t xml:space="preserve">пространство состояний не обнаруживало различимой структуры. Различные условия стимуляции направляли сеть в разные области, однако они не образовывали устойчивых аттракторов. Траектории, соответствующие различным исходам выбора, оставались переплетёнными, а поведенческая эффективность находилась на уровне случайного угадывания.</w:t>
      </w:r>
    </w:p>
    <w:p>
      <w:pPr>
        <w:spacing w:after="200" w:line="276"/>
      </w:pPr>
      <w:r>
        <w:rPr>
          <w:rFonts w:ascii="Arial" w:cs="Arial" w:eastAsia="Arial" w:hAnsi="Arial"/>
          <w:b/>
          <w:bCs/>
          <w:sz w:val="22"/>
          <w:szCs w:val="22"/>
        </w:rPr>
        <w:t xml:space="preserve">На промежуточных стадиях обучения </w:t>
      </w:r>
      <w:r>
        <w:rPr>
          <w:rFonts w:ascii="Arial" w:cs="Arial" w:eastAsia="Arial" w:hAnsi="Arial"/>
          <w:sz w:val="22"/>
          <w:szCs w:val="22"/>
        </w:rPr>
        <w:t xml:space="preserve">начало формироваться многообразие кодирования стимула, вытягиваясь вдоль оси первичной когерентности (первого латентного измерения по построению). Появились отчётливые траектории для положительных и отрицательных свидетельств, предшествуя полному разделению аттракторов решения. Эта промежуточная геометрия непосредственно связывала улучшение эффективности со структурным уточнением пространства состояний, что согласуется с наблюдениями о том, что обучение последовательно формирует геометрию нейронного многообразия (Churchland et al., 2012).</w:t>
      </w:r>
    </w:p>
    <w:p>
      <w:pPr>
        <w:spacing w:after="200" w:line="276"/>
      </w:pPr>
      <w:r>
        <w:rPr>
          <w:rFonts w:ascii="Arial" w:cs="Arial" w:eastAsia="Arial" w:hAnsi="Arial"/>
          <w:b/>
          <w:bCs/>
          <w:sz w:val="22"/>
          <w:szCs w:val="22"/>
        </w:rPr>
        <w:t xml:space="preserve">По завершении обучения </w:t>
      </w:r>
      <w:r>
        <w:rPr>
          <w:rFonts w:ascii="Arial" w:cs="Arial" w:eastAsia="Arial" w:hAnsi="Arial"/>
          <w:sz w:val="22"/>
          <w:szCs w:val="22"/>
        </w:rPr>
        <w:t xml:space="preserve">сеть демонстрировала полное функциональное разделение. Два дискретных устойчивых аттрактора типа неподвижной точки представляли два возможных решения, служа робастными состояниями памяти для категориальных выборов. Непрерывное низкоразмерное многообразие кодировало градуированные свидетельства стимула. В течение каждой пробы траектория сети сходилась к этому кодирующему многообразию во время предъявления стимула, сохраняла своё положение в течение периода задержки и затем захватывалась бассейном притяжения, соответствующим надлежащему решению. Эта архитектура напоминает организацию приближённых линейных аттракторов, идентифицированную в префронтальной коре приматов при контекстно-зависимом принятии решений (Mante et al., 2013).</w:t>
      </w:r>
    </w:p>
    <w:p>
      <w:pPr>
        <w:pStyle w:val="Heading2"/>
      </w:pPr>
      <w:r>
        <w:t xml:space="preserve">3.3 Расходящиеся решения при различных алгоритмах обучения</w:t>
      </w:r>
    </w:p>
    <w:p>
      <w:pPr>
        <w:spacing w:after="200" w:line="276"/>
      </w:pPr>
      <w:r>
        <w:rPr>
          <w:rFonts w:ascii="Arial" w:cs="Arial" w:eastAsia="Arial" w:hAnsi="Arial"/>
          <w:sz w:val="22"/>
          <w:szCs w:val="22"/>
        </w:rPr>
        <w:t xml:space="preserve">При систематическом сравнении был выявлен примечательный результат: сети, обученные методом RL, устойчиво развивали гибридные аттракторные архитектуры, сочетающие аттракторы решения типа неподвижной точки с квазипериодической динамикой на кодирующем многообразии, тогда как сети, обученные методом SL, преимущественно сходились к более простым решениям, содержащим только неподвижные точки. Это расхождение согласуется с теоретическими и эмпирическими данными о том, что RL и SL индуцируют принципиально различную неявную регуляризацию (Kumar et al., 2021; Kumar et al., 2022).</w:t>
      </w:r>
    </w:p>
    <w:p>
      <w:pPr>
        <w:spacing w:after="200" w:line="276"/>
      </w:pPr>
      <w:r>
        <w:rPr>
          <w:rFonts w:ascii="Arial" w:cs="Arial" w:eastAsia="Arial" w:hAnsi="Arial"/>
          <w:sz w:val="22"/>
          <w:szCs w:val="22"/>
        </w:rPr>
        <w:t xml:space="preserve">При обучении с учителем градиентный спуск индуцирует неявную регуляризацию, благоприятствующую решениям низкого ранга (Gunasekar et al., 2018). При обучении с подкреплением бутстрэппинг в сочетании с градиентным спуском порождает иные патологии, включая коллапс ранга признаков и смещение первичности (Nikishin et al., 2022). Настоящие результаты свидетельствуют о том, что эти различия в динамике оптимизации приводят к качественно различным аттракторным ландшафтам даже при эквивалентной поведенческой эффективности.</w:t>
      </w:r>
    </w:p>
    <w:p>
      <w:pPr>
        <w:pStyle w:val="Heading2"/>
      </w:pPr>
      <w:r>
        <w:t xml:space="preserve">3.4 Методологическое значение ограничения выравнивания</w:t>
      </w:r>
    </w:p>
    <w:p>
      <w:pPr>
        <w:spacing w:after="200" w:line="276"/>
      </w:pPr>
      <w:r>
        <w:rPr>
          <w:rFonts w:ascii="Arial" w:cs="Arial" w:eastAsia="Arial" w:hAnsi="Arial"/>
          <w:b/>
          <w:bCs/>
          <w:sz w:val="22"/>
          <w:szCs w:val="22"/>
        </w:rPr>
        <w:t xml:space="preserve">Член выравнивания в функции потерь выполнял две критически важные функции. Во-первых, он обеспечивал </w:t>
      </w:r>
      <w:r>
        <w:rPr>
          <w:rFonts w:ascii="Arial" w:cs="Arial" w:eastAsia="Arial" w:hAnsi="Arial"/>
          <w:b/>
          <w:bCs/>
          <w:sz w:val="22"/>
          <w:szCs w:val="22"/>
        </w:rPr>
        <w:t xml:space="preserve">интерпретируемость</w:t>
      </w:r>
      <w:r>
        <w:rPr>
          <w:rFonts w:ascii="Arial" w:cs="Arial" w:eastAsia="Arial" w:hAnsi="Arial"/>
          <w:b/>
          <w:bCs/>
          <w:sz w:val="22"/>
          <w:szCs w:val="22"/>
        </w:rPr>
        <w:t xml:space="preserve">: положение вдоль первой латентной оси непосредственно отражало силу свидетельств первичного стимула, позволяя интуитивно интерпретировать геометрию пространства состояний. Во-вторых, он гарантировал </w:t>
      </w:r>
      <w:r>
        <w:rPr>
          <w:rFonts w:ascii="Arial" w:cs="Arial" w:eastAsia="Arial" w:hAnsi="Arial"/>
          <w:b/>
          <w:bCs/>
          <w:sz w:val="22"/>
          <w:szCs w:val="22"/>
        </w:rPr>
        <w:t xml:space="preserve">согласованность</w:t>
      </w:r>
      <w:r>
        <w:rPr>
          <w:rFonts w:ascii="Arial" w:cs="Arial" w:eastAsia="Arial" w:hAnsi="Arial"/>
          <w:sz w:val="22"/>
          <w:szCs w:val="22"/>
        </w:rPr>
        <w:t xml:space="preserve">: автоэнкодеры, обученные на различных временных срезах сети, обнаруживали латентные пространства с эквивалентной семантической ориентацией, что позволяло отслеживать истинную структурную эволюцию, а не артефакты произвольных вращений. Этот подход расширяет методы, разработанные для межсессионного согласования нейронных данных (Pandarinath et al., 2018), на задачу отслеживания вычислительной архитектуры в процессе обучения.</w:t>
      </w:r>
    </w:p>
    <w:p>
      <w:r>
        <w:br w:type="page"/>
      </w:r>
    </w:p>
    <w:p>
      <w:pPr>
        <w:pStyle w:val="Heading1"/>
      </w:pPr>
      <w:r>
        <w:t xml:space="preserve">4. Функциональная валидация посредством теоретико-информационного анализа</w:t>
      </w:r>
    </w:p>
    <w:p>
      <w:pPr>
        <w:pStyle w:val="Heading2"/>
      </w:pPr>
      <w:r>
        <w:t xml:space="preserve">4.1 Обоснование</w:t>
      </w:r>
    </w:p>
    <w:p>
      <w:pPr>
        <w:spacing w:after="200" w:line="276"/>
      </w:pPr>
      <w:r>
        <w:rPr>
          <w:rFonts w:ascii="Arial" w:cs="Arial" w:eastAsia="Arial" w:hAnsi="Arial"/>
          <w:sz w:val="22"/>
          <w:szCs w:val="22"/>
        </w:rPr>
        <w:t xml:space="preserve">Анализ динамических систем выявил четыре различные нейронные популяции на основе их участия в аттракторной динамике в пространстве когерентности стимула:</w:t>
      </w:r>
    </w:p>
    <w:p>
      <w:pPr>
        <w:pStyle w:val="ListParagraph"/>
        <w:numPr>
          <w:ilvl w:val="0"/>
          <w:numId w:val="2"/>
        </w:numPr>
        <w:spacing w:after="200" w:line="276"/>
      </w:pPr>
      <w:r>
        <w:rPr>
          <w:rFonts w:ascii="Arial" w:cs="Arial" w:eastAsia="Arial" w:hAnsi="Arial"/>
          <w:b/>
          <w:bCs/>
          <w:sz w:val="22"/>
          <w:szCs w:val="22"/>
        </w:rPr>
        <w:t xml:space="preserve">G</w:t>
      </w:r>
      <w:r>
        <w:rPr>
          <w:rFonts w:ascii="Arial" w:cs="Arial" w:eastAsia="Arial" w:hAnsi="Arial"/>
          <w:b/>
          <w:bCs/>
          <w:sz w:val="18"/>
          <w:szCs w:val="18"/>
        </w:rPr>
        <w:t xml:space="preserve">s</w:t>
      </w:r>
      <w:r>
        <w:rPr>
          <w:rFonts w:ascii="Arial" w:cs="Arial" w:eastAsia="Arial" w:hAnsi="Arial"/>
          <w:sz w:val="22"/>
          <w:szCs w:val="22"/>
        </w:rPr>
        <w:t xml:space="preserve"> — молчащие нейроны, не участвующие в стационарной динамике</w:t>
      </w:r>
    </w:p>
    <w:p>
      <w:pPr>
        <w:pStyle w:val="ListParagraph"/>
        <w:numPr>
          <w:ilvl w:val="0"/>
          <w:numId w:val="2"/>
        </w:numPr>
        <w:spacing w:after="200" w:line="276"/>
      </w:pPr>
      <w:r>
        <w:rPr>
          <w:rFonts w:ascii="Arial" w:cs="Arial" w:eastAsia="Arial" w:hAnsi="Arial"/>
          <w:b/>
          <w:bCs/>
          <w:sz w:val="22"/>
          <w:szCs w:val="22"/>
        </w:rPr>
        <w:t xml:space="preserve">G</w:t>
      </w:r>
      <w:r>
        <w:rPr>
          <w:rFonts w:ascii="Arial" w:cs="Arial" w:eastAsia="Arial" w:hAnsi="Arial"/>
          <w:b/>
          <w:bCs/>
          <w:sz w:val="18"/>
          <w:szCs w:val="18"/>
        </w:rPr>
        <w:t xml:space="preserve">+</w:t>
      </w:r>
      <w:r>
        <w:rPr>
          <w:rFonts w:ascii="Arial" w:cs="Arial" w:eastAsia="Arial" w:hAnsi="Arial"/>
          <w:sz w:val="22"/>
          <w:szCs w:val="22"/>
        </w:rPr>
        <w:t xml:space="preserve"> — нейроны, избирательно активные при положительной первичной когерентности</w:t>
      </w:r>
    </w:p>
    <w:p>
      <w:pPr>
        <w:pStyle w:val="ListParagraph"/>
        <w:numPr>
          <w:ilvl w:val="0"/>
          <w:numId w:val="2"/>
        </w:numPr>
        <w:spacing w:after="200" w:line="276"/>
      </w:pPr>
      <w:r>
        <w:rPr>
          <w:rFonts w:ascii="Arial" w:cs="Arial" w:eastAsia="Arial" w:hAnsi="Arial"/>
          <w:b/>
          <w:bCs/>
          <w:sz w:val="22"/>
          <w:szCs w:val="22"/>
        </w:rPr>
        <w:t xml:space="preserve">G</w:t>
      </w:r>
      <w:r>
        <w:rPr>
          <w:rFonts w:ascii="Arial" w:cs="Arial" w:eastAsia="Arial" w:hAnsi="Arial"/>
          <w:b/>
          <w:bCs/>
          <w:sz w:val="18"/>
          <w:szCs w:val="18"/>
        </w:rPr>
        <w:t xml:space="preserve">–</w:t>
      </w:r>
      <w:r>
        <w:rPr>
          <w:rFonts w:ascii="Arial" w:cs="Arial" w:eastAsia="Arial" w:hAnsi="Arial"/>
          <w:sz w:val="22"/>
          <w:szCs w:val="22"/>
        </w:rPr>
        <w:t xml:space="preserve"> — нейроны, избирательно активные при отрицательной первичной когерентности</w:t>
      </w:r>
    </w:p>
    <w:p>
      <w:pPr>
        <w:pStyle w:val="ListParagraph"/>
        <w:numPr>
          <w:ilvl w:val="0"/>
          <w:numId w:val="2"/>
        </w:numPr>
        <w:spacing w:after="200" w:line="276"/>
      </w:pPr>
      <w:r>
        <w:rPr>
          <w:rFonts w:ascii="Arial" w:cs="Arial" w:eastAsia="Arial" w:hAnsi="Arial"/>
          <w:b/>
          <w:bCs/>
          <w:sz w:val="22"/>
          <w:szCs w:val="22"/>
        </w:rPr>
        <w:t xml:space="preserve">G</w:t>
      </w:r>
      <w:r>
        <w:rPr>
          <w:rFonts w:ascii="Arial" w:cs="Arial" w:eastAsia="Arial" w:hAnsi="Arial"/>
          <w:b/>
          <w:bCs/>
          <w:sz w:val="18"/>
          <w:szCs w:val="18"/>
        </w:rPr>
        <w:t xml:space="preserve">a</w:t>
      </w:r>
      <w:r>
        <w:rPr>
          <w:rFonts w:ascii="Arial" w:cs="Arial" w:eastAsia="Arial" w:hAnsi="Arial"/>
          <w:sz w:val="22"/>
          <w:szCs w:val="22"/>
        </w:rPr>
        <w:t xml:space="preserve"> — нейроны, активные в обоих контекстах независимо от знака когерентности</w:t>
      </w:r>
    </w:p>
    <w:p>
      <w:pPr>
        <w:spacing w:after="200" w:line="276"/>
      </w:pPr>
      <w:r>
        <w:rPr>
          <w:rFonts w:ascii="Arial" w:cs="Arial" w:eastAsia="Arial" w:hAnsi="Arial"/>
          <w:sz w:val="22"/>
          <w:szCs w:val="22"/>
        </w:rPr>
        <w:t xml:space="preserve">Данная классификация основывалась на структурных критериях — какие нейроны активировались в каких аттракторах. Однако структурное участие не гарантирует функционального кодирования. Требовалась независимая валидация того, что эти популяции несут различную релевантную для задачи информацию, в соответствии с принципом, согласно которому анализ нейронных популяций должен интегрировать множественные взаимодополняющие меры (Rigotti et al., 2013; Cunningham &amp; Yu, 2014).</w:t>
      </w:r>
    </w:p>
    <w:p>
      <w:pPr>
        <w:pStyle w:val="Heading2"/>
      </w:pPr>
      <w:r>
        <w:t xml:space="preserve">4.2 Метод</w:t>
      </w:r>
    </w:p>
    <w:p>
      <w:pPr>
        <w:spacing w:after="200" w:line="276"/>
      </w:pPr>
      <w:r>
        <w:rPr>
          <w:rFonts w:ascii="Arial" w:cs="Arial" w:eastAsia="Arial" w:hAnsi="Arial"/>
          <w:sz w:val="22"/>
          <w:szCs w:val="22"/>
        </w:rPr>
        <w:t xml:space="preserve">Кодирование информации количественно оценивалось посредством взаимной информации (MI) между активностью отдельных нейронов и переменными задачи. MI оценивалась методом взаимной информации на основе гауссовой копулы (GCMI) (Ince et al., 2017), который преобразует переменные в общее пространство гауссовой копулы, обеспечивая робастную оценку без параметрических предположений. GCMI даёт ранговую статистику, устойчивую к выбросам, не требует разбиения на интервалы и обеспечивает нижнюю границу истинной взаимной информации. Метод был всесторонне валидирован в приложениях нейровизуализации и позволяет единообразно обрабатывать дискретные, непрерывные и многомерные переменные.</w:t>
      </w:r>
    </w:p>
    <w:p>
      <w:pPr>
        <w:spacing w:after="200" w:line="276"/>
      </w:pPr>
      <w:r>
        <w:rPr>
          <w:rFonts w:ascii="Arial" w:cs="Arial" w:eastAsia="Arial" w:hAnsi="Arial"/>
          <w:sz w:val="22"/>
          <w:szCs w:val="22"/>
        </w:rPr>
        <w:t xml:space="preserve">Анализ проводился следующим образом:</w:t>
      </w:r>
    </w:p>
    <w:p>
      <w:pPr>
        <w:pStyle w:val="ListParagraph"/>
        <w:numPr>
          <w:ilvl w:val="0"/>
          <w:numId w:val="2"/>
        </w:numPr>
        <w:spacing w:after="200" w:line="276"/>
      </w:pPr>
      <w:r>
        <w:rPr>
          <w:rFonts w:ascii="Arial" w:cs="Arial" w:eastAsia="Arial" w:hAnsi="Arial"/>
          <w:b/>
          <w:bCs/>
          <w:sz w:val="22"/>
          <w:szCs w:val="22"/>
        </w:rPr>
        <w:t xml:space="preserve">Мера отклика: </w:t>
      </w:r>
      <w:r>
        <w:rPr>
          <w:rFonts w:ascii="Arial" w:cs="Arial" w:eastAsia="Arial" w:hAnsi="Arial"/>
          <w:sz w:val="22"/>
          <w:szCs w:val="22"/>
        </w:rPr>
        <w:t xml:space="preserve">частота импульсации, усреднённая в окнах по 5 временных шагов на протяжении каждой пробы</w:t>
      </w:r>
    </w:p>
    <w:p>
      <w:pPr>
        <w:pStyle w:val="ListParagraph"/>
        <w:numPr>
          <w:ilvl w:val="0"/>
          <w:numId w:val="2"/>
        </w:numPr>
        <w:spacing w:after="200" w:line="276"/>
      </w:pPr>
      <w:r>
        <w:rPr>
          <w:rFonts w:ascii="Arial" w:cs="Arial" w:eastAsia="Arial" w:hAnsi="Arial"/>
          <w:b/>
          <w:bCs/>
          <w:sz w:val="22"/>
          <w:szCs w:val="22"/>
        </w:rPr>
        <w:t xml:space="preserve">Переменная стимула: </w:t>
      </w:r>
      <w:r>
        <w:rPr>
          <w:rFonts w:ascii="Arial" w:cs="Arial" w:eastAsia="Arial" w:hAnsi="Arial"/>
          <w:sz w:val="22"/>
          <w:szCs w:val="22"/>
        </w:rPr>
        <w:t xml:space="preserve">бинарный индикатор знака первичной когерентности (положительная vs. отрицательная)</w:t>
      </w:r>
    </w:p>
    <w:p>
      <w:pPr>
        <w:pStyle w:val="ListParagraph"/>
        <w:numPr>
          <w:ilvl w:val="0"/>
          <w:numId w:val="2"/>
        </w:numPr>
        <w:spacing w:after="200" w:line="276"/>
      </w:pPr>
      <w:r>
        <w:rPr>
          <w:rFonts w:ascii="Arial" w:cs="Arial" w:eastAsia="Arial" w:hAnsi="Arial"/>
          <w:b/>
          <w:bCs/>
          <w:sz w:val="22"/>
          <w:szCs w:val="22"/>
        </w:rPr>
        <w:t xml:space="preserve">Статистический вывод: </w:t>
      </w:r>
      <w:r>
        <w:rPr>
          <w:rFonts w:ascii="Arial" w:cs="Arial" w:eastAsia="Arial" w:hAnsi="Arial"/>
          <w:sz w:val="22"/>
          <w:szCs w:val="22"/>
        </w:rPr>
        <w:t xml:space="preserve">для каждого нейрона генерировалось нулевое распределение из 10 000 суррогатов с временным перемешиванием; наблюдаемая MI сравнивалась с этим распределением</w:t>
      </w:r>
    </w:p>
    <w:p>
      <w:pPr>
        <w:pStyle w:val="ListParagraph"/>
        <w:numPr>
          <w:ilvl w:val="0"/>
          <w:numId w:val="2"/>
        </w:numPr>
        <w:spacing w:after="200" w:line="276"/>
      </w:pPr>
      <w:r>
        <w:rPr>
          <w:rFonts w:ascii="Arial" w:cs="Arial" w:eastAsia="Arial" w:hAnsi="Arial"/>
          <w:b/>
          <w:bCs/>
          <w:sz w:val="22"/>
          <w:szCs w:val="22"/>
        </w:rPr>
        <w:t xml:space="preserve">Коррекция множественных сравнений: </w:t>
      </w:r>
      <w:r>
        <w:rPr>
          <w:rFonts w:ascii="Arial" w:cs="Arial" w:eastAsia="Arial" w:hAnsi="Arial"/>
          <w:sz w:val="22"/>
          <w:szCs w:val="22"/>
        </w:rPr>
        <w:t xml:space="preserve">последовательная процедура Холма с контролем семейной частоты ошибок на уровне α = 0.01</w:t>
      </w:r>
    </w:p>
    <w:p>
      <w:pPr>
        <w:pStyle w:val="Heading2"/>
      </w:pPr>
      <w:r>
        <w:t xml:space="preserve">4.3 Результаты</w:t>
      </w:r>
    </w:p>
    <w:p>
      <w:pPr>
        <w:spacing w:after="200" w:line="276"/>
      </w:pPr>
      <w:r>
        <w:rPr>
          <w:rFonts w:ascii="Arial" w:cs="Arial" w:eastAsia="Arial" w:hAnsi="Arial"/>
          <w:sz w:val="22"/>
          <w:szCs w:val="22"/>
        </w:rPr>
        <w:t xml:space="preserve">Анализ MI обеспечил убедительную валидацию динамически определённой популяционной структуры:</w:t>
      </w:r>
    </w:p>
    <w:p>
      <w:pPr>
        <w:spacing w:after="200" w:line="276"/>
      </w:pPr>
      <w:r>
        <w:rPr>
          <w:rFonts w:ascii="Arial" w:cs="Arial" w:eastAsia="Arial" w:hAnsi="Arial"/>
          <w:b/>
          <w:bCs/>
          <w:sz w:val="22"/>
          <w:szCs w:val="22"/>
        </w:rPr>
        <w:t xml:space="preserve">Валидация селективности G</w:t>
      </w:r>
      <w:r>
        <w:rPr>
          <w:rFonts w:ascii="Arial" w:cs="Arial" w:eastAsia="Arial" w:hAnsi="Arial"/>
          <w:b/>
          <w:bCs/>
          <w:sz w:val="18"/>
          <w:szCs w:val="18"/>
        </w:rPr>
        <w:t xml:space="preserve">+</w:t>
      </w:r>
      <w:r>
        <w:rPr>
          <w:rFonts w:ascii="Arial" w:cs="Arial" w:eastAsia="Arial" w:hAnsi="Arial"/>
          <w:b/>
          <w:bCs/>
          <w:sz w:val="22"/>
          <w:szCs w:val="22"/>
        </w:rPr>
        <w:t xml:space="preserve">. </w:t>
      </w:r>
      <w:r>
        <w:rPr>
          <w:rFonts w:ascii="Arial" w:cs="Arial" w:eastAsia="Arial" w:hAnsi="Arial"/>
          <w:sz w:val="22"/>
          <w:szCs w:val="22"/>
        </w:rPr>
        <w:t xml:space="preserve">Нейроны, классифицированные как G</w:t>
      </w:r>
      <w:r>
        <w:rPr>
          <w:rFonts w:ascii="Arial" w:cs="Arial" w:eastAsia="Arial" w:hAnsi="Arial"/>
          <w:sz w:val="18"/>
          <w:szCs w:val="18"/>
        </w:rPr>
        <w:t xml:space="preserve">+</w:t>
      </w:r>
      <w:r>
        <w:rPr>
          <w:rFonts w:ascii="Arial" w:cs="Arial" w:eastAsia="Arial" w:hAnsi="Arial"/>
          <w:sz w:val="22"/>
          <w:szCs w:val="22"/>
        </w:rPr>
        <w:t xml:space="preserve"> на основе динамических критериев, демонстрировали значимо повышенную MI специфически в пробах с положительной первичной когерентностью. Активность этой популяции систематически кодировала силу положительных свидетельств, подтверждая функциональную интерпретацию структурной классификации.</w:t>
      </w:r>
    </w:p>
    <w:p>
      <w:pPr>
        <w:spacing w:after="200" w:line="276"/>
      </w:pPr>
      <w:r>
        <w:rPr>
          <w:rFonts w:ascii="Arial" w:cs="Arial" w:eastAsia="Arial" w:hAnsi="Arial"/>
          <w:b/>
          <w:bCs/>
          <w:sz w:val="22"/>
          <w:szCs w:val="22"/>
        </w:rPr>
        <w:t xml:space="preserve">Валидация селективности G</w:t>
      </w:r>
      <w:r>
        <w:rPr>
          <w:rFonts w:ascii="Arial" w:cs="Arial" w:eastAsia="Arial" w:hAnsi="Arial"/>
          <w:b/>
          <w:bCs/>
          <w:sz w:val="18"/>
          <w:szCs w:val="18"/>
        </w:rPr>
        <w:t xml:space="preserve">–</w:t>
      </w:r>
      <w:r>
        <w:rPr>
          <w:rFonts w:ascii="Arial" w:cs="Arial" w:eastAsia="Arial" w:hAnsi="Arial"/>
          <w:b/>
          <w:bCs/>
          <w:sz w:val="22"/>
          <w:szCs w:val="22"/>
        </w:rPr>
        <w:t xml:space="preserve">. </w:t>
      </w:r>
      <w:r>
        <w:rPr>
          <w:rFonts w:ascii="Arial" w:cs="Arial" w:eastAsia="Arial" w:hAnsi="Arial"/>
          <w:sz w:val="22"/>
          <w:szCs w:val="22"/>
        </w:rPr>
        <w:t xml:space="preserve">Противоположная популяция демонстрировала комплементарный паттерн — значимую MI для отрицательной когерентности, — подтверждая её роль в репрезентации альтернативной категории стимула. Симметричная организация популяций G</w:t>
      </w:r>
      <w:r>
        <w:rPr>
          <w:rFonts w:ascii="Arial" w:cs="Arial" w:eastAsia="Arial" w:hAnsi="Arial"/>
          <w:sz w:val="18"/>
          <w:szCs w:val="18"/>
        </w:rPr>
        <w:t xml:space="preserve">+</w:t>
      </w:r>
      <w:r>
        <w:rPr>
          <w:rFonts w:ascii="Arial" w:cs="Arial" w:eastAsia="Arial" w:hAnsi="Arial"/>
          <w:sz w:val="22"/>
          <w:szCs w:val="22"/>
        </w:rPr>
        <w:t xml:space="preserve"> и G</w:t>
      </w:r>
      <w:r>
        <w:rPr>
          <w:rFonts w:ascii="Arial" w:cs="Arial" w:eastAsia="Arial" w:hAnsi="Arial"/>
          <w:sz w:val="18"/>
          <w:szCs w:val="18"/>
        </w:rPr>
        <w:t xml:space="preserve">–</w:t>
      </w:r>
      <w:r>
        <w:rPr>
          <w:rFonts w:ascii="Arial" w:cs="Arial" w:eastAsia="Arial" w:hAnsi="Arial"/>
          <w:sz w:val="22"/>
          <w:szCs w:val="22"/>
        </w:rPr>
        <w:t xml:space="preserve"> напоминает двухтактную организацию, наблюдаемую в префронтальной коре при принятии решений (Wang, 2008).</w:t>
      </w:r>
    </w:p>
    <w:p>
      <w:pPr>
        <w:spacing w:after="200" w:line="276"/>
      </w:pPr>
      <w:r>
        <w:rPr>
          <w:rFonts w:ascii="Arial" w:cs="Arial" w:eastAsia="Arial" w:hAnsi="Arial"/>
          <w:b/>
          <w:bCs/>
          <w:sz w:val="22"/>
          <w:szCs w:val="22"/>
        </w:rPr>
        <w:t xml:space="preserve">Обнаружение субструктуры G</w:t>
      </w:r>
      <w:r>
        <w:rPr>
          <w:rFonts w:ascii="Arial" w:cs="Arial" w:eastAsia="Arial" w:hAnsi="Arial"/>
          <w:b/>
          <w:bCs/>
          <w:sz w:val="18"/>
          <w:szCs w:val="18"/>
        </w:rPr>
        <w:t xml:space="preserve">a</w:t>
      </w:r>
      <w:r>
        <w:rPr>
          <w:rFonts w:ascii="Arial" w:cs="Arial" w:eastAsia="Arial" w:hAnsi="Arial"/>
          <w:b/>
          <w:bCs/>
          <w:sz w:val="22"/>
          <w:szCs w:val="22"/>
        </w:rPr>
        <w:t xml:space="preserve">. </w:t>
      </w:r>
      <w:r>
        <w:rPr>
          <w:rFonts w:ascii="Arial" w:cs="Arial" w:eastAsia="Arial" w:hAnsi="Arial"/>
          <w:sz w:val="22"/>
          <w:szCs w:val="22"/>
        </w:rPr>
        <w:t xml:space="preserve">Анализ MI выявил ранее скрытую структуру внутри контекст-интегрирующей популяции. G</w:t>
      </w:r>
      <w:r>
        <w:rPr>
          <w:rFonts w:ascii="Arial" w:cs="Arial" w:eastAsia="Arial" w:hAnsi="Arial"/>
          <w:sz w:val="18"/>
          <w:szCs w:val="18"/>
        </w:rPr>
        <w:t xml:space="preserve">a</w:t>
      </w:r>
      <w:r>
        <w:rPr>
          <w:rFonts w:ascii="Arial" w:cs="Arial" w:eastAsia="Arial" w:hAnsi="Arial"/>
          <w:sz w:val="22"/>
          <w:szCs w:val="22"/>
        </w:rPr>
        <w:t xml:space="preserve"> содержала непересекающиеся подгруппы нейронов с противоположными предпочтениями стимула, что предполагает механизм контекстно-зависимой маршрутизации информации, невидимый при одной лишь динамической классификации. Этот результат согласуется с важностью смешанной селективности для гибких вычислений (Rigotti et al., 2013; Fusi et al., 2016).</w:t>
      </w:r>
    </w:p>
    <w:p>
      <w:pPr>
        <w:spacing w:after="200" w:line="276"/>
      </w:pPr>
      <w:r>
        <w:rPr>
          <w:rFonts w:ascii="Arial" w:cs="Arial" w:eastAsia="Arial" w:hAnsi="Arial"/>
          <w:b/>
          <w:bCs/>
          <w:sz w:val="22"/>
          <w:szCs w:val="22"/>
        </w:rPr>
        <w:t xml:space="preserve">Временна́я динамика кодирования. </w:t>
      </w:r>
      <w:r>
        <w:rPr>
          <w:rFonts w:ascii="Arial" w:cs="Arial" w:eastAsia="Arial" w:hAnsi="Arial"/>
          <w:sz w:val="22"/>
          <w:szCs w:val="22"/>
        </w:rPr>
        <w:t xml:space="preserve">Вычисление MI в нескольких временны́х точках показало, что селективные ответы возникали и усиливались специфически в период предъявления стимула, обеспечивая временно́е разрешение функциональной организации. Этот временно́й профиль согласуется с динамикой накопления свидетельств, наблюдаемой в префронтальной коре (Mante et al., 2013).</w:t>
      </w:r>
    </w:p>
    <w:p>
      <w:pPr>
        <w:pStyle w:val="Heading2"/>
      </w:pPr>
      <w:r>
        <w:t xml:space="preserve">4.4 Баланс популяций различает алгоритмы обучения</w:t>
      </w:r>
    </w:p>
    <w:p>
      <w:pPr>
        <w:spacing w:after="200" w:line="276"/>
      </w:pPr>
      <w:r>
        <w:rPr>
          <w:rFonts w:ascii="Arial" w:cs="Arial" w:eastAsia="Arial" w:hAnsi="Arial"/>
          <w:sz w:val="22"/>
          <w:szCs w:val="22"/>
        </w:rPr>
        <w:t xml:space="preserve">Помимо валидации популяционной структуры, анализ MI выявил систематическое различие между решениями RL и SL. В сетях, обученных методом RL, популяции G</w:t>
      </w:r>
      <w:r>
        <w:rPr>
          <w:rFonts w:ascii="Arial" w:cs="Arial" w:eastAsia="Arial" w:hAnsi="Arial"/>
          <w:sz w:val="18"/>
          <w:szCs w:val="18"/>
        </w:rPr>
        <w:t xml:space="preserve">+</w:t>
      </w:r>
      <w:r>
        <w:rPr>
          <w:rFonts w:ascii="Arial" w:cs="Arial" w:eastAsia="Arial" w:hAnsi="Arial"/>
          <w:sz w:val="22"/>
          <w:szCs w:val="22"/>
        </w:rPr>
        <w:t xml:space="preserve"> и G</w:t>
      </w:r>
      <w:r>
        <w:rPr>
          <w:rFonts w:ascii="Arial" w:cs="Arial" w:eastAsia="Arial" w:hAnsi="Arial"/>
          <w:sz w:val="18"/>
          <w:szCs w:val="18"/>
        </w:rPr>
        <w:t xml:space="preserve">–</w:t>
      </w:r>
      <w:r>
        <w:rPr>
          <w:rFonts w:ascii="Arial" w:cs="Arial" w:eastAsia="Arial" w:hAnsi="Arial"/>
          <w:sz w:val="22"/>
          <w:szCs w:val="22"/>
        </w:rPr>
        <w:t xml:space="preserve"> были приблизительно равны по размеру — сеть распределяла сбалансированные ресурсы на репрезентацию положительных и отрицательных свидетельств. В сетях, обученных методом SL, эти популяции были гетерогенными и часто несбалансированными.</w:t>
      </w:r>
    </w:p>
    <w:p>
      <w:pPr>
        <w:spacing w:after="200" w:line="276"/>
      </w:pPr>
      <w:r>
        <w:rPr>
          <w:rFonts w:ascii="Arial" w:cs="Arial" w:eastAsia="Arial" w:hAnsi="Arial"/>
          <w:sz w:val="22"/>
          <w:szCs w:val="22"/>
        </w:rPr>
        <w:t xml:space="preserve">Этот баланс в сетях RL может отражать неявную регуляризацию, специфичную для обучения, управляемого вознаграждением. Методы градиента политики исследуют пространство решений посредством стохастического выбора действий, потенциально обнаруживая решения, равномерно распределяющие вычислительную нагрузку между конкурирующими репрезентациями. Градиентный спуск с учителем, непосредственно оптимизирующий точность классификации, лишён этого исследовательского давления в сторону сбалансированного распределения. Эта интерпретация согласуется с данными о том, что RL и SL индуцируют принципиально различные геометрии репрезентаций (Kumar et al., 2021; Bellemare et al., 2019).</w:t>
      </w:r>
    </w:p>
    <w:p>
      <w:r>
        <w:br w:type="page"/>
      </w:r>
    </w:p>
    <w:p>
      <w:pPr>
        <w:pStyle w:val="Heading1"/>
      </w:pPr>
      <w:r>
        <w:t xml:space="preserve">5. Синтез и обсуждение</w:t>
      </w:r>
    </w:p>
    <w:p>
      <w:pPr>
        <w:pStyle w:val="Heading2"/>
      </w:pPr>
      <w:r>
        <w:t xml:space="preserve">5.1 Взаимодополняющие аналитические перспективы</w:t>
      </w:r>
    </w:p>
    <w:p>
      <w:pPr>
        <w:spacing w:after="200" w:line="276"/>
      </w:pPr>
      <w:r>
        <w:rPr>
          <w:rFonts w:ascii="Arial" w:cs="Arial" w:eastAsia="Arial" w:hAnsi="Arial"/>
          <w:sz w:val="22"/>
          <w:szCs w:val="22"/>
        </w:rPr>
        <w:t xml:space="preserve">Два аналитических метода обеспечили взаимодополняющие перспективы на зависящие от алгоритма обучения вычисления: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sz="1"/>
              <w:left w:val="single" w:sz="1"/>
              <w:bottom w:val="single" w:sz="1"/>
              <w:right w:val="single" w:sz="1"/>
            </w:tcBorders>
            <w:shd w:fill="D5E8F0" w:val="clear"/>
            <w:tcMar>
              <w:top w:type="dxa" w:w="80"/>
              <w:left w:type="dxa" w:w="120"/>
              <w:bottom w:type="dxa" w:w="80"/>
              <w:right w:type="dxa" w:w="120"/>
            </w:tcMar>
          </w:tcPr>
          <w:p>
            <w:r>
              <w:rPr>
                <w:rFonts w:ascii="Arial" w:cs="Arial" w:eastAsia="Arial" w:hAnsi="Arial"/>
                <w:b/>
                <w:bCs/>
                <w:sz w:val="22"/>
                <w:szCs w:val="22"/>
              </w:rPr>
              <w:t xml:space="preserve">Автоэнкодер с ограничениями</w:t>
            </w:r>
          </w:p>
        </w:tc>
        <w:tc>
          <w:tcPr>
            <w:tcW w:type="dxa" w:w="4680"/>
            <w:tcBorders>
              <w:top w:val="single" w:sz="1"/>
              <w:left w:val="single" w:sz="1"/>
              <w:bottom w:val="single" w:sz="1"/>
              <w:right w:val="single" w:sz="1"/>
            </w:tcBorders>
            <w:shd w:fill="D5E8F0" w:val="clear"/>
            <w:tcMar>
              <w:top w:type="dxa" w:w="80"/>
              <w:left w:type="dxa" w:w="120"/>
              <w:bottom w:type="dxa" w:w="80"/>
              <w:right w:type="dxa" w:w="120"/>
            </w:tcMar>
          </w:tcPr>
          <w:p>
            <w:r>
              <w:rPr>
                <w:rFonts w:ascii="Arial" w:cs="Arial" w:eastAsia="Arial" w:hAnsi="Arial"/>
                <w:b/>
                <w:bCs/>
                <w:sz w:val="22"/>
                <w:szCs w:val="22"/>
              </w:rPr>
              <w:t xml:space="preserve">Анализ GCMI</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Выявляет глобальную геометрию пространства состояний</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Выявляет функциональную специфичность отдельных нейронов</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Отслеживает формирование архитектуры в процессе обучения</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Валидирует функциональный смысл структурных групп</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Результат: RL порождает гибридные аттракторы; SL — только неподвижные точки</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Результат: RL порождает сбалансированные популяции; SL — гетерогенные структуры</w:t>
            </w:r>
          </w:p>
        </w:tc>
      </w:tr>
    </w:tbl>
    <w:p>
      <w:pPr>
        <w:spacing w:before="100" w:after="200"/>
        <w:jc w:val="center"/>
      </w:pPr>
      <w:r>
        <w:rPr>
          <w:rFonts w:ascii="Arial" w:cs="Arial" w:eastAsia="Arial" w:hAnsi="Arial"/>
          <w:i/>
          <w:iCs/>
          <w:color w:val="666666"/>
          <w:sz w:val="20"/>
          <w:szCs w:val="20"/>
        </w:rPr>
        <w:t xml:space="preserve">Таблица 1: Взаимодополняющий вклад двух аналитических методов</w:t>
      </w:r>
    </w:p>
    <w:p>
      <w:pPr>
        <w:spacing w:after="200" w:line="276"/>
      </w:pPr>
      <w:r>
        <w:rPr>
          <w:rFonts w:ascii="Arial" w:cs="Arial" w:eastAsia="Arial" w:hAnsi="Arial"/>
          <w:sz w:val="22"/>
          <w:szCs w:val="22"/>
        </w:rPr>
        <w:t xml:space="preserve">В совокупности эти методы дают определённый ответ на исходный вопрос: сети, обученные методами RL и SL на идентичных задачах, не приходят к эквивалентным внутренним решениям. Они достигают эквивалентного поведения посредством качественно различных вычислительных стратегий.</w:t>
      </w:r>
    </w:p>
    <w:p>
      <w:pPr>
        <w:pStyle w:val="Heading2"/>
      </w:pPr>
      <w:r>
        <w:t xml:space="preserve">5.2 Связь с предшествующими работами</w:t>
      </w:r>
    </w:p>
    <w:p>
      <w:pPr>
        <w:spacing w:after="200" w:line="276"/>
      </w:pPr>
      <w:r>
        <w:rPr>
          <w:rFonts w:ascii="Arial" w:cs="Arial" w:eastAsia="Arial" w:hAnsi="Arial"/>
          <w:sz w:val="22"/>
          <w:szCs w:val="22"/>
        </w:rPr>
        <w:t xml:space="preserve">Полученные результаты расширяют концептуальную рамку динамических систем для понимания нейронных вычислений (Sussillo &amp; Barak, 2013; Vyas et al., 2020), демонстрируя, что сам алгоритм обучения является критическим фактором, определяющим вычислительные стратегии, обнаруживаемые обученными сетями. Предшествующие работы установили, что обученные РНС развивают низкоразмерную динамику, реализующую вычисления посредством аттракторных механизмов (Mante et al., 2013; Churchland et al., 2012). Настоящие результаты показывают, что конкретная форма этой динамики — гибридные аттракторы versus только неподвижные точки, сбалансированные versus гетерогенные популяции — систематически зависит от алгоритма обучения.</w:t>
      </w:r>
    </w:p>
    <w:p>
      <w:pPr>
        <w:spacing w:after="200" w:line="276"/>
      </w:pPr>
      <w:r>
        <w:rPr>
          <w:rFonts w:ascii="Arial" w:cs="Arial" w:eastAsia="Arial" w:hAnsi="Arial"/>
          <w:sz w:val="22"/>
          <w:szCs w:val="22"/>
        </w:rPr>
        <w:t xml:space="preserve">Наблюдаемое расхождение между решениями RL и SL согласуется с недавними результатами в области глубокого обучения, показывающими, что эти парадигмы индуцируют принципиально различную неявную регуляризацию (Kumar et al., 2021; Kumar et al., 2022). При обучении с учителем градиентный спуск благоприятствует решениям низкого ранга (Gunasekar et al., 2018). При обучении с подкреплением бутстрэппинг порождает иную динамику, включая коллапс ранга признаков (Kumar et al., 2021) и смещение первичности (Nikishin et al., 2022). Настоящая работа демонстрирует, что эти алгоритмические различия проявляются в виде качественно различных вычислительных архитектур в обученных сетях.</w:t>
      </w:r>
    </w:p>
    <w:p>
      <w:pPr>
        <w:pStyle w:val="Heading2"/>
      </w:pPr>
      <w:r>
        <w:t xml:space="preserve">5.3 Следствия</w:t>
      </w:r>
    </w:p>
    <w:p>
      <w:pPr>
        <w:spacing w:after="200" w:line="276"/>
      </w:pPr>
      <w:r>
        <w:rPr>
          <w:rFonts w:ascii="Arial" w:cs="Arial" w:eastAsia="Arial" w:hAnsi="Arial"/>
          <w:b/>
          <w:bCs/>
          <w:sz w:val="22"/>
          <w:szCs w:val="22"/>
        </w:rPr>
        <w:t xml:space="preserve">Для вычислительной нейронауки. </w:t>
      </w:r>
      <w:r>
        <w:rPr>
          <w:rFonts w:ascii="Arial" w:cs="Arial" w:eastAsia="Arial" w:hAnsi="Arial"/>
          <w:sz w:val="22"/>
          <w:szCs w:val="22"/>
        </w:rPr>
        <w:t xml:space="preserve">Полученные результаты свидетельствуют о том, что модели, обученные методом SL, могут неточно отражать вычислительные стратегии биологических цепей, обучающихся посредством механизмов, управляемых вознаграждением. Гибридные архитектуры и сбалансированные популяции, наблюдаемые в сетях RL, могут лучше соответствовать организации префронтальной коры при принятии решений (Wang, 2008; Mante et al., 2013). В будущих модельных исследованиях следует учитывать, влияет ли выбор алгоритма обучения на выводы о биологических вычислениях.</w:t>
      </w:r>
    </w:p>
    <w:p>
      <w:pPr>
        <w:spacing w:after="200" w:line="276"/>
      </w:pPr>
      <w:r>
        <w:rPr>
          <w:rFonts w:ascii="Arial" w:cs="Arial" w:eastAsia="Arial" w:hAnsi="Arial"/>
          <w:b/>
          <w:bCs/>
          <w:sz w:val="22"/>
          <w:szCs w:val="22"/>
        </w:rPr>
        <w:t xml:space="preserve">Для машинного обучения. </w:t>
      </w:r>
      <w:r>
        <w:rPr>
          <w:rFonts w:ascii="Arial" w:cs="Arial" w:eastAsia="Arial" w:hAnsi="Arial"/>
          <w:sz w:val="22"/>
          <w:szCs w:val="22"/>
        </w:rPr>
        <w:t xml:space="preserve">Если желательны определённые внутренние свойства — такие как сбалансированные репрезентации или гибридная динамика — алгоритм обучения представляет собой проектную переменную. Исследовательская природа RL может обнаруживать более богатые пространства решений, чем прямой градиентный спуск, потенциально обеспечивая преимущества в робастности и обобщении. Эта интерпретация согласуется с предположениями о том, что геометрия репрезентаций влияет на последующее обучение (Bellemare et al., 2019).</w:t>
      </w:r>
    </w:p>
    <w:p>
      <w:pPr>
        <w:spacing w:after="200" w:line="276"/>
      </w:pPr>
      <w:r>
        <w:rPr>
          <w:rFonts w:ascii="Arial" w:cs="Arial" w:eastAsia="Arial" w:hAnsi="Arial"/>
          <w:b/>
          <w:bCs/>
          <w:sz w:val="22"/>
          <w:szCs w:val="22"/>
        </w:rPr>
        <w:t xml:space="preserve">Для методологии. </w:t>
      </w:r>
      <w:r>
        <w:rPr>
          <w:rFonts w:ascii="Arial" w:cs="Arial" w:eastAsia="Arial" w:hAnsi="Arial"/>
          <w:sz w:val="22"/>
          <w:szCs w:val="22"/>
        </w:rPr>
        <w:t xml:space="preserve">Понимание обученных сетей требует многомасштабного анализа, интегрирующего взаимодополняющие перспективы. Глобальная визуализация выявляет архитектуру пространства состояний; теоретико-информационный анализ валидирует функциональную организацию; анализ динамических систем характеризует вычислительные механизмы. Ни один из методов по отдельности не даёт полной картины. Настоящая работа демонстрирует, что автоэнкодеры с ограничениями и анализ GCMI представляют собой эффективные инструменты для такого интегративного исследования.</w:t>
      </w:r>
    </w:p>
    <w:p>
      <w:pPr>
        <w:pStyle w:val="Heading1"/>
      </w:pPr>
      <w:r>
        <w:t xml:space="preserve">6. Заключение</w:t>
      </w:r>
    </w:p>
    <w:p>
      <w:pPr>
        <w:spacing w:after="200" w:line="276"/>
      </w:pPr>
      <w:r>
        <w:rPr>
          <w:rFonts w:ascii="Arial" w:cs="Arial" w:eastAsia="Arial" w:hAnsi="Arial"/>
          <w:sz w:val="22"/>
          <w:szCs w:val="22"/>
        </w:rPr>
        <w:t xml:space="preserve">Выбор алгоритма обучения определяет не только то, решает ли сеть задачу, но и то, как она её решает на уровне внутренней динамики и популяционной организации. Сети, обученные методом обучения с подкреплением, развивают гибридные аттракторные архитектуры, сочетающие устойчивые неподвижные точки для поддержания решений с непрерывными многообразиями, характеризующимися квазипериодической динамикой для интеграции свидетельств. Это динамическое богатство реализуется сбалансированными нейронными популяциями, равномерно распределяющими вычислительную нагрузку между конкурирующими репрезентациями.</w:t>
      </w:r>
    </w:p>
    <w:p>
      <w:pPr>
        <w:spacing w:after="200" w:line="276"/>
      </w:pPr>
      <w:r>
        <w:rPr>
          <w:rFonts w:ascii="Arial" w:cs="Arial" w:eastAsia="Arial" w:hAnsi="Arial"/>
          <w:sz w:val="22"/>
          <w:szCs w:val="22"/>
        </w:rPr>
        <w:t xml:space="preserve">Сети, обученные методом обучения с учителем, сходятся к более простым решениям, в которых доминируют неподвижные точки, с гетерогенными, часто несбалансированными популяционными структурами. Эти решения столь же точны, но механистически различны.</w:t>
      </w:r>
    </w:p>
    <w:p>
      <w:pPr>
        <w:spacing w:after="200" w:line="276"/>
      </w:pPr>
      <w:r>
        <w:rPr>
          <w:rFonts w:ascii="Arial" w:cs="Arial" w:eastAsia="Arial" w:hAnsi="Arial"/>
          <w:sz w:val="22"/>
          <w:szCs w:val="22"/>
        </w:rPr>
        <w:t xml:space="preserve">Поведенческая эквивалентность не влечёт за собой механистическую эквивалентность. Для понимания того, чему научились сети, необходимо исследование внутренней динамики. Методы автоэнкодера с ограничениями и GCMI, применённые в настоящей работе, представляют собой эффективные инструменты для такого исследования, выявляя систематические различия между парадигмами обучения, которые не могут быть обнаружены только поведенческими метриками.</w:t>
      </w:r>
    </w:p>
    <w:p>
      <w:r>
        <w:br w:type="page"/>
      </w:r>
    </w:p>
    <w:p>
      <w:pPr>
        <w:pStyle w:val="Heading1"/>
      </w:pPr>
      <w:r>
        <w:t xml:space="preserve">Приложение А: Краткое описание методов</w:t>
      </w:r>
    </w:p>
    <w:p>
      <w:pPr>
        <w:pStyle w:val="Heading2"/>
      </w:pPr>
      <w:r>
        <w:t xml:space="preserve">А.1 Конфигурация автоэнкодера с ограничениями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sz="1"/>
              <w:left w:val="single" w:sz="1"/>
              <w:bottom w:val="single" w:sz="1"/>
              <w:right w:val="single" w:sz="1"/>
            </w:tcBorders>
            <w:shd w:fill="E8E8E8" w:val="clear"/>
            <w:tcMar>
              <w:top w:type="dxa" w:w="80"/>
              <w:left w:type="dxa" w:w="120"/>
              <w:bottom w:type="dxa" w:w="80"/>
              <w:right w:type="dxa" w:w="120"/>
            </w:tcMar>
          </w:tcPr>
          <w:p>
            <w:r>
              <w:rPr>
                <w:rFonts w:ascii="Arial" w:cs="Arial" w:eastAsia="Arial" w:hAnsi="Arial"/>
                <w:b/>
                <w:bCs/>
                <w:sz w:val="22"/>
                <w:szCs w:val="22"/>
              </w:rPr>
              <w:t xml:space="preserve">Параметр</w:t>
            </w:r>
          </w:p>
        </w:tc>
        <w:tc>
          <w:tcPr>
            <w:tcW w:type="dxa" w:w="4680"/>
            <w:tcBorders>
              <w:top w:val="single" w:sz="1"/>
              <w:left w:val="single" w:sz="1"/>
              <w:bottom w:val="single" w:sz="1"/>
              <w:right w:val="single" w:sz="1"/>
            </w:tcBorders>
            <w:shd w:fill="E8E8E8" w:val="clear"/>
            <w:tcMar>
              <w:top w:type="dxa" w:w="80"/>
              <w:left w:type="dxa" w:w="120"/>
              <w:bottom w:type="dxa" w:w="80"/>
              <w:right w:type="dxa" w:w="120"/>
            </w:tcMar>
          </w:tcPr>
          <w:p>
            <w:r>
              <w:rPr>
                <w:rFonts w:ascii="Arial" w:cs="Arial" w:eastAsia="Arial" w:hAnsi="Arial"/>
                <w:b/>
                <w:bCs/>
                <w:sz w:val="22"/>
                <w:szCs w:val="22"/>
              </w:rPr>
              <w:t xml:space="preserve">Значение</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Архитектура</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250 → 128 → 3 → 128 → 250</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Функции активации скрытых слоёв</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ReLU</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Оптимизатор</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Adam (скорость обучения = 0.001)</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Число эпох обучения</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1000</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Обучающие данные</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Скрытые состояния из 500 проб</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Вес выравнивания (λ)</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0.1</w:t>
            </w:r>
          </w:p>
        </w:tc>
      </w:tr>
    </w:tbl>
    <w:p>
      <w:pPr>
        <w:spacing w:after="300"/>
      </w:pPr>
    </w:p>
    <w:p>
      <w:pPr>
        <w:pStyle w:val="Heading2"/>
      </w:pPr>
      <w:r>
        <w:t xml:space="preserve">А.2 Конфигурация анализа GCMI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sz="1"/>
              <w:left w:val="single" w:sz="1"/>
              <w:bottom w:val="single" w:sz="1"/>
              <w:right w:val="single" w:sz="1"/>
            </w:tcBorders>
            <w:shd w:fill="E8E8E8" w:val="clear"/>
            <w:tcMar>
              <w:top w:type="dxa" w:w="80"/>
              <w:left w:type="dxa" w:w="120"/>
              <w:bottom w:type="dxa" w:w="80"/>
              <w:right w:type="dxa" w:w="120"/>
            </w:tcMar>
          </w:tcPr>
          <w:p>
            <w:r>
              <w:rPr>
                <w:rFonts w:ascii="Arial" w:cs="Arial" w:eastAsia="Arial" w:hAnsi="Arial"/>
                <w:b/>
                <w:bCs/>
                <w:sz w:val="22"/>
                <w:szCs w:val="22"/>
              </w:rPr>
              <w:t xml:space="preserve">Параметр</w:t>
            </w:r>
          </w:p>
        </w:tc>
        <w:tc>
          <w:tcPr>
            <w:tcW w:type="dxa" w:w="4680"/>
            <w:tcBorders>
              <w:top w:val="single" w:sz="1"/>
              <w:left w:val="single" w:sz="1"/>
              <w:bottom w:val="single" w:sz="1"/>
              <w:right w:val="single" w:sz="1"/>
            </w:tcBorders>
            <w:shd w:fill="E8E8E8" w:val="clear"/>
            <w:tcMar>
              <w:top w:type="dxa" w:w="80"/>
              <w:left w:type="dxa" w:w="120"/>
              <w:bottom w:type="dxa" w:w="80"/>
              <w:right w:type="dxa" w:w="120"/>
            </w:tcMar>
          </w:tcPr>
          <w:p>
            <w:r>
              <w:rPr>
                <w:rFonts w:ascii="Arial" w:cs="Arial" w:eastAsia="Arial" w:hAnsi="Arial"/>
                <w:b/>
                <w:bCs/>
                <w:sz w:val="22"/>
                <w:szCs w:val="22"/>
              </w:rPr>
              <w:t xml:space="preserve">Значение</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Оценщик MI</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Гауссова копула MI (Ince et al., 2017)</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Переменная отклика</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Частота импульсации (окна по 5 временных шагов)</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Переменная стимула</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Бинарный знак когерентности</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Нулевое распределение</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10 000 суррогатов с временным перемешиванием на нейрон</w:t>
            </w:r>
          </w:p>
        </w:tc>
      </w:tr>
      <w:tr>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Коррекция множественных сравнений</w:t>
            </w:r>
          </w:p>
        </w:tc>
        <w:tc>
          <w:tcPr>
            <w:tcW w:type="dxa" w:w="4680"/>
            <w:tcBorders>
              <w:top w:val="single" w:sz="1"/>
              <w:left w:val="single" w:sz="1"/>
              <w:bottom w:val="single" w:sz="1"/>
              <w:right w:val="single" w:sz="1"/>
            </w:tcBorders>
            <w:tcMar>
              <w:top w:type="dxa" w:w="80"/>
              <w:left w:type="dxa" w:w="120"/>
              <w:bottom w:type="dxa" w:w="80"/>
              <w:right w:type="dxa" w:w="120"/>
            </w:tcMar>
          </w:tcPr>
          <w:p>
            <w:r>
              <w:rPr>
                <w:rFonts w:ascii="Arial" w:cs="Arial" w:eastAsia="Arial" w:hAnsi="Arial"/>
                <w:sz w:val="22"/>
                <w:szCs w:val="22"/>
              </w:rPr>
              <w:t xml:space="preserve">Последовательная процедура Холма (α = 0.01)</w:t>
            </w:r>
          </w:p>
        </w:tc>
      </w:tr>
    </w:tbl>
    <w:p>
      <w:pPr>
        <w:spacing w:after="300"/>
      </w:pPr>
    </w:p>
    <w:p>
      <w:pPr>
        <w:pStyle w:val="Heading2"/>
      </w:pPr>
      <w:r>
        <w:t xml:space="preserve">А.3 Программное обеспечение</w:t>
      </w:r>
    </w:p>
    <w:p>
      <w:pPr>
        <w:spacing w:after="200" w:line="276"/>
      </w:pPr>
      <w:r>
        <w:rPr>
          <w:rFonts w:ascii="Arial" w:cs="Arial" w:eastAsia="Arial" w:hAnsi="Arial"/>
          <w:sz w:val="22"/>
          <w:szCs w:val="22"/>
        </w:rPr>
        <w:t xml:space="preserve">Оба анализа реализованы с использованием программного пакета DRIADA (Pospelov, 2025), доступного по адресу https://github.com/iabs-neuro/driada. Реализация GCMI следует методологии Ince et al. (2017).</w:t>
      </w:r>
    </w:p>
    <w:p>
      <w:r>
        <w:br w:type="page"/>
      </w:r>
    </w:p>
    <w:p>
      <w:pPr>
        <w:pStyle w:val="Heading1"/>
      </w:pPr>
      <w:r>
        <w:t xml:space="preserve">Литература</w:t>
      </w:r>
    </w:p>
    <w:p>
      <w:pPr>
        <w:spacing w:after="200" w:line="276"/>
      </w:pPr>
      <w:r>
        <w:rPr>
          <w:rFonts w:ascii="Arial" w:cs="Arial" w:eastAsia="Arial" w:hAnsi="Arial"/>
          <w:sz w:val="22"/>
          <w:szCs w:val="22"/>
        </w:rPr>
        <w:t xml:space="preserve">Bellemare, M.G., Dabney, W., Dadashi, R., Taïga, A.A., Castro, P.S., Le Roux, N., Schuurmans, D., Lattimore, T., &amp; Lyle, C. (2019). A geometric perspective on optimal representations for reinforcement learning. Advances in Neural Information Processing Systems, 32.</w:t>
      </w:r>
    </w:p>
    <w:p>
      <w:pPr>
        <w:spacing w:after="200" w:line="276"/>
      </w:pPr>
      <w:r>
        <w:rPr>
          <w:rFonts w:ascii="Arial" w:cs="Arial" w:eastAsia="Arial" w:hAnsi="Arial"/>
          <w:sz w:val="22"/>
          <w:szCs w:val="22"/>
        </w:rPr>
        <w:t xml:space="preserve">Botvinick, M., Wang, J.X., Dabney, W., Miller, K.J., &amp; Kurth-Nelson, Z. (2020). Deep reinforcement learning and its neuroscientific implications. Neuron, 107(4), 603–616. https://doi.org/10.1016/j.neuron.2020.06.014</w:t>
      </w:r>
    </w:p>
    <w:p>
      <w:pPr>
        <w:spacing w:after="200" w:line="276"/>
      </w:pPr>
      <w:r>
        <w:rPr>
          <w:rFonts w:ascii="Arial" w:cs="Arial" w:eastAsia="Arial" w:hAnsi="Arial"/>
          <w:sz w:val="22"/>
          <w:szCs w:val="22"/>
        </w:rPr>
        <w:t xml:space="preserve">Churchland, M.M., Cunningham, J.P., Kaufman, M.T., Foster, J.D., Nuyujukian, P., Ryu, S.I., &amp; Shenoy, K.V. (2012). Neural population dynamics during reaching. Nature, 487(7405), 51–56. https://doi.org/10.1038/nature11129</w:t>
      </w:r>
    </w:p>
    <w:p>
      <w:pPr>
        <w:spacing w:after="200" w:line="276"/>
      </w:pPr>
      <w:r>
        <w:rPr>
          <w:rFonts w:ascii="Arial" w:cs="Arial" w:eastAsia="Arial" w:hAnsi="Arial"/>
          <w:sz w:val="22"/>
          <w:szCs w:val="22"/>
        </w:rPr>
        <w:t xml:space="preserve">Cunningham, J.P. &amp; Yu, B.M. (2014). Dimensionality reduction for large-scale neural recordings. Nature Neuroscience, 17(11), 1500–1509. https://doi.org/10.1038/nn.3776</w:t>
      </w:r>
    </w:p>
    <w:p>
      <w:pPr>
        <w:spacing w:after="200" w:line="276"/>
      </w:pPr>
      <w:r>
        <w:rPr>
          <w:rFonts w:ascii="Arial" w:cs="Arial" w:eastAsia="Arial" w:hAnsi="Arial"/>
          <w:sz w:val="22"/>
          <w:szCs w:val="22"/>
        </w:rPr>
        <w:t xml:space="preserve">Fusi, S., Miller, E.K., &amp; Rigotti, M. (2016). Why neurons mix: High dimensionality for higher cognition. Current Opinion in Neurobiology, 37, 66–74. https://doi.org/10.1016/j.conb.2016.01.010</w:t>
      </w:r>
    </w:p>
    <w:p>
      <w:pPr>
        <w:spacing w:after="200" w:line="276"/>
      </w:pPr>
      <w:r>
        <w:rPr>
          <w:rFonts w:ascii="Arial" w:cs="Arial" w:eastAsia="Arial" w:hAnsi="Arial"/>
          <w:sz w:val="22"/>
          <w:szCs w:val="22"/>
        </w:rPr>
        <w:t xml:space="preserve">Gunasekar, S., Lee, J.D., Soudry, D., &amp; Srebro, N. (2018). Characterizing implicit bias in terms of optimization geometry. Proceedings of the 35th International Conference on Machine Learning (ICML), 1832–1841.</w:t>
      </w:r>
    </w:p>
    <w:p>
      <w:pPr>
        <w:spacing w:after="200" w:line="276"/>
      </w:pPr>
      <w:r>
        <w:rPr>
          <w:rFonts w:ascii="Arial" w:cs="Arial" w:eastAsia="Arial" w:hAnsi="Arial"/>
          <w:sz w:val="22"/>
          <w:szCs w:val="22"/>
        </w:rPr>
        <w:t xml:space="preserve">Ince, R.A.A., Giordano, B.L., Kayser, C., Rousselet, G.A., Gross, J., &amp; Schyns, P.G. (2017). A statistical framework for neuroimaging data analysis based on mutual information estimated via a Gaussian copula. Human Brain Mapping, 38(3), 1541–1573. https://doi.org/10.1002/hbm.23471</w:t>
      </w:r>
    </w:p>
    <w:p>
      <w:pPr>
        <w:spacing w:after="200" w:line="276"/>
      </w:pPr>
      <w:r>
        <w:rPr>
          <w:rFonts w:ascii="Arial" w:cs="Arial" w:eastAsia="Arial" w:hAnsi="Arial"/>
          <w:sz w:val="22"/>
          <w:szCs w:val="22"/>
        </w:rPr>
        <w:t xml:space="preserve">Kumar, A., Agarwal, R., Ghosh, D., &amp; Levine, S. (2021). Implicit under-parameterization inhibits data-efficient deep reinforcement learning. International Conference on Learning Representations (ICLR). arXiv:2010.14498</w:t>
      </w:r>
    </w:p>
    <w:p>
      <w:pPr>
        <w:spacing w:after="200" w:line="276"/>
      </w:pPr>
      <w:r>
        <w:rPr>
          <w:rFonts w:ascii="Arial" w:cs="Arial" w:eastAsia="Arial" w:hAnsi="Arial"/>
          <w:sz w:val="22"/>
          <w:szCs w:val="22"/>
        </w:rPr>
        <w:t xml:space="preserve">Kumar, A., Agarwal, R., Ma, T., Courville, A., Tucker, G., &amp; Levine, S. (2022). DR3: Value-based deep reinforcement learning requires explicit regularization. International Conference on Learning Representations (ICLR). arXiv:2112.04716</w:t>
      </w:r>
    </w:p>
    <w:p>
      <w:pPr>
        <w:spacing w:after="200" w:line="276"/>
      </w:pPr>
      <w:r>
        <w:rPr>
          <w:rFonts w:ascii="Arial" w:cs="Arial" w:eastAsia="Arial" w:hAnsi="Arial"/>
          <w:sz w:val="22"/>
          <w:szCs w:val="22"/>
        </w:rPr>
        <w:t xml:space="preserve">Mante, V., Sussillo, D., Shenoy, K.V., &amp; Newsome, W.T. (2013). Context-dependent computation by recurrent dynamics in prefrontal cortex. Nature, 503(7474), 78–84. https://doi.org/10.1038/nature12742</w:t>
      </w:r>
    </w:p>
    <w:p>
      <w:pPr>
        <w:spacing w:after="200" w:line="276"/>
      </w:pPr>
      <w:r>
        <w:rPr>
          <w:rFonts w:ascii="Arial" w:cs="Arial" w:eastAsia="Arial" w:hAnsi="Arial"/>
          <w:sz w:val="22"/>
          <w:szCs w:val="22"/>
        </w:rPr>
        <w:t xml:space="preserve">Nikishin, E., Schwarzer, M., D'Oro, P., Bacon, P.-L., &amp; Courville, A. (2022). The primacy bias in deep reinforcement learning. Proceedings of the 39th International Conference on Machine Learning (ICML). arXiv:2205.07802</w:t>
      </w:r>
    </w:p>
    <w:p>
      <w:pPr>
        <w:spacing w:after="200" w:line="276"/>
      </w:pPr>
      <w:r>
        <w:rPr>
          <w:rFonts w:ascii="Arial" w:cs="Arial" w:eastAsia="Arial" w:hAnsi="Arial"/>
          <w:sz w:val="22"/>
          <w:szCs w:val="22"/>
        </w:rPr>
        <w:t xml:space="preserve">Pandarinath, C., O'Shea, D.J., Collins, J., Jozefowicz, R., Stavisky, S.D., Kao, J.C., Trautmann, E.M., Kaufman, M.T., Ryu, S.I., Hochberg, L.R., Henderson, J.M., Shenoy, K.V., Abbott, L.F., &amp; Sussillo, D. (2018). Inferring single-trial neural population dynamics using sequential auto-encoders. Nature Methods, 15(10), 805–815. https://doi.org/10.1038/s41592-018-0109-9</w:t>
      </w:r>
    </w:p>
    <w:p>
      <w:pPr>
        <w:spacing w:after="200" w:line="276"/>
      </w:pPr>
      <w:r>
        <w:rPr>
          <w:rFonts w:ascii="Arial" w:cs="Arial" w:eastAsia="Arial" w:hAnsi="Arial"/>
          <w:sz w:val="22"/>
          <w:szCs w:val="22"/>
        </w:rPr>
        <w:t xml:space="preserve">Pospelov, N. (2025). DRIADA Software, Version 0.4.0. https://github.com/iabs-neuro/driada</w:t>
      </w:r>
    </w:p>
    <w:p>
      <w:pPr>
        <w:spacing w:after="200" w:line="276"/>
      </w:pPr>
      <w:r>
        <w:rPr>
          <w:rFonts w:ascii="Arial" w:cs="Arial" w:eastAsia="Arial" w:hAnsi="Arial"/>
          <w:sz w:val="22"/>
          <w:szCs w:val="22"/>
        </w:rPr>
        <w:t xml:space="preserve">Rigotti, M., Barak, O., Warden, M.R., Wang, X.-J., Daw, N.D., Miller, E.K., &amp; Fusi, S. (2013). The importance of mixed selectivity in complex cognitive tasks. Nature, 497, 585–590. https://doi.org/10.1038/nature12160</w:t>
      </w:r>
    </w:p>
    <w:p>
      <w:pPr>
        <w:spacing w:after="200" w:line="276"/>
      </w:pPr>
      <w:r>
        <w:rPr>
          <w:rFonts w:ascii="Arial" w:cs="Arial" w:eastAsia="Arial" w:hAnsi="Arial"/>
          <w:sz w:val="22"/>
          <w:szCs w:val="22"/>
        </w:rPr>
        <w:t xml:space="preserve">Sussillo, D. &amp; Barak, O. (2013). Opening the black box: Low-dimensional dynamics in high-dimensional recurrent neural networks. Neural Computation, 25(3), 626–649. https://doi.org/10.1162/NECO_a_00409</w:t>
      </w:r>
    </w:p>
    <w:p>
      <w:pPr>
        <w:spacing w:after="200" w:line="276"/>
      </w:pPr>
      <w:r>
        <w:rPr>
          <w:rFonts w:ascii="Arial" w:cs="Arial" w:eastAsia="Arial" w:hAnsi="Arial"/>
          <w:sz w:val="22"/>
          <w:szCs w:val="22"/>
        </w:rPr>
        <w:t xml:space="preserve">Vyas, S., Golub, M.D., Sussillo, D., &amp; Shenoy, K.V. (2020). Computation through neural population dynamics. Annual Review of Neuroscience, 43, 249–275. https://doi.org/10.1146/annurev-neuro-092619-094115</w:t>
      </w:r>
    </w:p>
    <w:p>
      <w:pPr>
        <w:spacing w:after="200" w:line="276"/>
      </w:pPr>
      <w:r>
        <w:rPr>
          <w:rFonts w:ascii="Arial" w:cs="Arial" w:eastAsia="Arial" w:hAnsi="Arial"/>
          <w:sz w:val="22"/>
          <w:szCs w:val="22"/>
        </w:rPr>
        <w:t xml:space="preserve">Wang, X.-J. (2008). Decision making in recurrent neuronal circuits. Neuron, 60(2), 215–234. https://doi.org/10.1016/j.neuron.2008.09.034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2026-02-01T09:16:00.394Z</dcterms:created>
  <dcterms:modified xsi:type="dcterms:W3CDTF">2026-02-01T09:16:00.395Z</dcterms:modified>
</cp:coreProperties>
</file>

<file path=docProps/custom.xml><?xml version="1.0" encoding="utf-8"?>
<Properties xmlns="http://schemas.openxmlformats.org/officeDocument/2006/custom-properties" xmlns:vt="http://schemas.openxmlformats.org/officeDocument/2006/docPropsVTypes"/>
</file>