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2DBB5" w14:textId="77777777" w:rsidR="005D2CCE" w:rsidRDefault="00000000">
      <w:pPr>
        <w:jc w:val="center"/>
      </w:pPr>
      <w:r>
        <w:rPr>
          <w:b/>
          <w:sz w:val="28"/>
        </w:rPr>
        <w:t>DATA SCIENCE AND VISUALIZATION</w:t>
      </w:r>
    </w:p>
    <w:p w14:paraId="1303A42B" w14:textId="77777777" w:rsidR="005D2CCE" w:rsidRDefault="00000000">
      <w:pPr>
        <w:jc w:val="center"/>
      </w:pPr>
      <w:r>
        <w:rPr>
          <w:b/>
          <w:sz w:val="48"/>
        </w:rPr>
        <w:t>WEEK 4 REPORT</w:t>
      </w:r>
    </w:p>
    <w:p w14:paraId="0DBDD161" w14:textId="77777777" w:rsidR="005D2CCE" w:rsidRDefault="00000000">
      <w:pPr>
        <w:jc w:val="center"/>
      </w:pPr>
      <w:r>
        <w:rPr>
          <w:b/>
          <w:sz w:val="36"/>
        </w:rPr>
        <w:t>EDA DEEP DIVE</w:t>
      </w:r>
    </w:p>
    <w:p w14:paraId="46161BDA" w14:textId="77777777" w:rsidR="005D2CCE" w:rsidRDefault="00000000">
      <w:pPr>
        <w:jc w:val="center"/>
      </w:pPr>
      <w:r>
        <w:rPr>
          <w:sz w:val="23"/>
        </w:rPr>
        <w:t>Univariate and Bivariate Analysis • Visualizing Distributions</w:t>
      </w:r>
    </w:p>
    <w:p w14:paraId="59375B14" w14:textId="77777777" w:rsidR="005D2CCE" w:rsidRDefault="005D2CCE">
      <w:pPr>
        <w:jc w:val="center"/>
      </w:pPr>
    </w:p>
    <w:p w14:paraId="3BADE2C9" w14:textId="77777777" w:rsidR="005D2CCE" w:rsidRDefault="00000000">
      <w:pPr>
        <w:jc w:val="center"/>
      </w:pPr>
      <w:r>
        <w:rPr>
          <w:b/>
          <w:sz w:val="26"/>
        </w:rPr>
        <w:t>TEAM 12</w:t>
      </w:r>
    </w:p>
    <w:p w14:paraId="18E20EAA" w14:textId="77777777" w:rsidR="005D2CCE" w:rsidRDefault="00000000">
      <w:pPr>
        <w:jc w:val="center"/>
      </w:pPr>
      <w:r>
        <w:t>Nivetha S — 25BAD074</w:t>
      </w:r>
    </w:p>
    <w:p w14:paraId="33595AD6" w14:textId="77777777" w:rsidR="005D2CCE" w:rsidRDefault="00000000">
      <w:pPr>
        <w:jc w:val="center"/>
      </w:pPr>
      <w:r>
        <w:t>Pooja T — 25BAD077</w:t>
      </w:r>
    </w:p>
    <w:p w14:paraId="05FE9DBC" w14:textId="77777777" w:rsidR="005D2CCE" w:rsidRDefault="00000000">
      <w:pPr>
        <w:jc w:val="center"/>
      </w:pPr>
      <w:r>
        <w:t>Puvi Priya M — 25BAD084</w:t>
      </w:r>
    </w:p>
    <w:p w14:paraId="13F5EE8C" w14:textId="77777777" w:rsidR="005D2CCE" w:rsidRDefault="00000000">
      <w:pPr>
        <w:jc w:val="center"/>
      </w:pPr>
      <w:r>
        <w:t>Vaishnavi D — 25BAD126</w:t>
      </w:r>
    </w:p>
    <w:p w14:paraId="5CCD1BA4" w14:textId="77777777" w:rsidR="005D2CCE" w:rsidRDefault="00000000">
      <w:pPr>
        <w:jc w:val="center"/>
      </w:pPr>
      <w:r>
        <w:rPr>
          <w:b/>
          <w:sz w:val="21"/>
        </w:rPr>
        <w:t>Project: Autoimmune Disorder Data Analysis and Visualization</w:t>
      </w:r>
    </w:p>
    <w:p w14:paraId="43AA57EA" w14:textId="77777777" w:rsidR="005D2CCE" w:rsidRDefault="00000000">
      <w:pPr>
        <w:jc w:val="center"/>
      </w:pPr>
      <w:r>
        <w:t>Week 4 Status: Completed</w:t>
      </w:r>
    </w:p>
    <w:p w14:paraId="78FB9714" w14:textId="77777777" w:rsidR="005D2CCE" w:rsidRDefault="00000000">
      <w:pPr>
        <w:jc w:val="center"/>
      </w:pPr>
      <w:r>
        <w:rPr>
          <w:i/>
          <w:sz w:val="18"/>
        </w:rPr>
        <w:t>GitHub Repository: https://github.com/nivetha486/24ADI204_DSV_Team12</w:t>
      </w:r>
    </w:p>
    <w:p w14:paraId="66DFC9C2" w14:textId="77777777" w:rsidR="005D2CCE" w:rsidRDefault="00000000">
      <w:r>
        <w:br w:type="page"/>
      </w:r>
    </w:p>
    <w:p w14:paraId="324BFC1B" w14:textId="77777777" w:rsidR="005D2CCE" w:rsidRDefault="00000000">
      <w:pPr>
        <w:pStyle w:val="Heading1"/>
      </w:pPr>
      <w:r>
        <w:lastRenderedPageBreak/>
        <w:t>1. INTRODUCTION</w:t>
      </w:r>
    </w:p>
    <w:p w14:paraId="28136F7A" w14:textId="77777777" w:rsidR="005D2CCE" w:rsidRDefault="00000000">
      <w:r>
        <w:t>Week 4 continues the exploratory data analysis work after the Week 3 Cleaning Sprint. The main focus is an EDA Deep Dive using univariate and bivariate analysis. The analysis examines individual variables to understand their distributions and then studies relationships between pairs of variables using appropriate statistical and visual techniques.</w:t>
      </w:r>
    </w:p>
    <w:p w14:paraId="0CA862BB" w14:textId="77777777" w:rsidR="005D2CCE" w:rsidRDefault="00000000">
      <w:r>
        <w:t>The Week 4 notebooks use the cleaned autoimmune-disorder dataset and focus on clinical, hematological, symptom, demographic and diagnosis-related variables. Visualizations are used to make patterns, spread, concentration, and differences easier to interpret.</w:t>
      </w:r>
    </w:p>
    <w:p w14:paraId="32E05762" w14:textId="77777777" w:rsidR="005D2CCE" w:rsidRDefault="00000000">
      <w:pPr>
        <w:pStyle w:val="Heading1"/>
      </w:pPr>
      <w:r>
        <w:t>2. OBJECTIVES</w:t>
      </w:r>
    </w:p>
    <w:p w14:paraId="63850DF6" w14:textId="77777777" w:rsidR="005D2CCE" w:rsidRDefault="00000000">
      <w:pPr>
        <w:pStyle w:val="ReportBullet"/>
      </w:pPr>
      <w:r>
        <w:rPr>
          <w:b/>
        </w:rPr>
        <w:t xml:space="preserve">• </w:t>
      </w:r>
      <w:r>
        <w:t>Perform univariate analysis on numerical and categorical variables.</w:t>
      </w:r>
    </w:p>
    <w:p w14:paraId="02757B86" w14:textId="77777777" w:rsidR="005D2CCE" w:rsidRDefault="00000000">
      <w:pPr>
        <w:pStyle w:val="ReportBullet"/>
      </w:pPr>
      <w:r>
        <w:rPr>
          <w:b/>
        </w:rPr>
        <w:t xml:space="preserve">• </w:t>
      </w:r>
      <w:r>
        <w:t>Visualize numerical distributions using histograms, box plots, violin plots, ECDF plots and Q-Q plots.</w:t>
      </w:r>
    </w:p>
    <w:p w14:paraId="70107F65" w14:textId="77777777" w:rsidR="005D2CCE" w:rsidRDefault="00000000">
      <w:pPr>
        <w:pStyle w:val="ReportBullet"/>
      </w:pPr>
      <w:r>
        <w:rPr>
          <w:b/>
        </w:rPr>
        <w:t xml:space="preserve">• </w:t>
      </w:r>
      <w:r>
        <w:t>Visualize categorical distributions using bar charts and pie charts.</w:t>
      </w:r>
    </w:p>
    <w:p w14:paraId="43F43CFB" w14:textId="77777777" w:rsidR="005D2CCE" w:rsidRDefault="00000000">
      <w:pPr>
        <w:pStyle w:val="ReportBullet"/>
      </w:pPr>
      <w:r>
        <w:rPr>
          <w:b/>
        </w:rPr>
        <w:t xml:space="preserve">• </w:t>
      </w:r>
      <w:r>
        <w:t>Measure distribution shape using skewness for selected numerical variables.</w:t>
      </w:r>
    </w:p>
    <w:p w14:paraId="0BD43A56" w14:textId="77777777" w:rsidR="005D2CCE" w:rsidRDefault="00000000">
      <w:pPr>
        <w:pStyle w:val="ReportBullet"/>
      </w:pPr>
      <w:r>
        <w:rPr>
          <w:b/>
        </w:rPr>
        <w:t xml:space="preserve">• </w:t>
      </w:r>
      <w:r>
        <w:t>Perform bivariate analysis between numerical, categorical and mixed variable types.</w:t>
      </w:r>
    </w:p>
    <w:p w14:paraId="67CE9DDA" w14:textId="77777777" w:rsidR="005D2CCE" w:rsidRDefault="00000000">
      <w:pPr>
        <w:pStyle w:val="ReportBullet"/>
      </w:pPr>
      <w:r>
        <w:rPr>
          <w:b/>
        </w:rPr>
        <w:t xml:space="preserve">• </w:t>
      </w:r>
      <w:r>
        <w:t>Compare age, neutrophils and hemoglobin distributions across demographic or diagnosis groups.</w:t>
      </w:r>
    </w:p>
    <w:p w14:paraId="7C8A9F44" w14:textId="77777777" w:rsidR="005D2CCE" w:rsidRDefault="00000000">
      <w:pPr>
        <w:pStyle w:val="ReportBullet"/>
      </w:pPr>
      <w:r>
        <w:rPr>
          <w:b/>
        </w:rPr>
        <w:t xml:space="preserve">• </w:t>
      </w:r>
      <w:r>
        <w:t>Examine relationships among inflammatory and hematological measurements.</w:t>
      </w:r>
    </w:p>
    <w:p w14:paraId="6D0CE332" w14:textId="77777777" w:rsidR="005D2CCE" w:rsidRDefault="00000000">
      <w:pPr>
        <w:pStyle w:val="ReportBullet"/>
      </w:pPr>
      <w:r>
        <w:rPr>
          <w:b/>
        </w:rPr>
        <w:t xml:space="preserve">• </w:t>
      </w:r>
      <w:r>
        <w:t>Use correlation and other visual summaries to support exploratory interpretation.</w:t>
      </w:r>
    </w:p>
    <w:p w14:paraId="6CF36BA7" w14:textId="77777777" w:rsidR="00CA4459" w:rsidRDefault="00CA4459">
      <w:pPr>
        <w:pStyle w:val="Heading1"/>
      </w:pPr>
    </w:p>
    <w:p w14:paraId="2274D9CB" w14:textId="7E06FBB6" w:rsidR="005D2CCE" w:rsidRDefault="00000000">
      <w:pPr>
        <w:pStyle w:val="Heading1"/>
      </w:pPr>
      <w:r>
        <w:t>3. DATASET DESCRIPTION</w:t>
      </w:r>
    </w:p>
    <w:p w14:paraId="77D4187C" w14:textId="77777777" w:rsidR="005D2CCE" w:rsidRDefault="00000000">
      <w:r>
        <w:t>The Week 4 bivariate-analysis notebook loads the cleaned autoimmune-disorder dataset and reports 12,500 entries and 76 columns. The dataset contains numerical and categorical variables, including Age, Gender, Diagnosis, CBC measurements, inflammatory markers, symptoms and autoantibody indicators.</w:t>
      </w:r>
    </w:p>
    <w:tbl>
      <w:tblPr>
        <w:tblStyle w:val="TableGrid"/>
        <w:tblW w:w="0" w:type="auto"/>
        <w:jc w:val="center"/>
        <w:tblLayout w:type="fixed"/>
        <w:tblLook w:val="04A0" w:firstRow="1" w:lastRow="0" w:firstColumn="1" w:lastColumn="0" w:noHBand="0" w:noVBand="1"/>
      </w:tblPr>
      <w:tblGrid>
        <w:gridCol w:w="5040"/>
        <w:gridCol w:w="6192"/>
      </w:tblGrid>
      <w:tr w:rsidR="005D2CCE" w14:paraId="7765EA97" w14:textId="77777777">
        <w:trPr>
          <w:jc w:val="center"/>
        </w:trPr>
        <w:tc>
          <w:tcPr>
            <w:tcW w:w="3168" w:type="dxa"/>
            <w:shd w:val="clear" w:color="auto" w:fill="EAF2F8"/>
            <w:vAlign w:val="center"/>
          </w:tcPr>
          <w:p w14:paraId="1EBC41CA" w14:textId="77777777" w:rsidR="005D2CCE" w:rsidRDefault="00000000">
            <w:pPr>
              <w:keepLines/>
              <w:spacing w:after="0"/>
            </w:pPr>
            <w:r>
              <w:rPr>
                <w:b/>
                <w:sz w:val="18"/>
              </w:rPr>
              <w:t>Dataset Information</w:t>
            </w:r>
          </w:p>
        </w:tc>
        <w:tc>
          <w:tcPr>
            <w:tcW w:w="6192" w:type="dxa"/>
            <w:shd w:val="clear" w:color="auto" w:fill="EAF2F8"/>
            <w:vAlign w:val="center"/>
          </w:tcPr>
          <w:p w14:paraId="373495DC" w14:textId="77777777" w:rsidR="005D2CCE" w:rsidRDefault="00000000">
            <w:pPr>
              <w:keepLines/>
              <w:spacing w:after="0"/>
            </w:pPr>
            <w:r>
              <w:rPr>
                <w:b/>
                <w:sz w:val="18"/>
              </w:rPr>
              <w:t>Week 4 Details</w:t>
            </w:r>
          </w:p>
        </w:tc>
      </w:tr>
      <w:tr w:rsidR="005D2CCE" w14:paraId="24110B2E" w14:textId="77777777">
        <w:trPr>
          <w:jc w:val="center"/>
        </w:trPr>
        <w:tc>
          <w:tcPr>
            <w:tcW w:w="5040" w:type="dxa"/>
            <w:vAlign w:val="center"/>
          </w:tcPr>
          <w:p w14:paraId="1BE5A29C" w14:textId="77777777" w:rsidR="005D2CCE" w:rsidRDefault="00000000">
            <w:pPr>
              <w:keepLines/>
              <w:spacing w:after="0"/>
            </w:pPr>
            <w:r>
              <w:rPr>
                <w:sz w:val="18"/>
              </w:rPr>
              <w:t>Dataset</w:t>
            </w:r>
          </w:p>
        </w:tc>
        <w:tc>
          <w:tcPr>
            <w:tcW w:w="5040" w:type="dxa"/>
            <w:vAlign w:val="center"/>
          </w:tcPr>
          <w:p w14:paraId="539C08F9" w14:textId="77777777" w:rsidR="005D2CCE" w:rsidRDefault="00000000">
            <w:pPr>
              <w:keepLines/>
              <w:spacing w:after="0"/>
            </w:pPr>
            <w:r>
              <w:rPr>
                <w:sz w:val="18"/>
              </w:rPr>
              <w:t>Cleaned Comprehensive Autoimmune Disorder Dataset</w:t>
            </w:r>
          </w:p>
        </w:tc>
      </w:tr>
      <w:tr w:rsidR="005D2CCE" w14:paraId="4C2033D2" w14:textId="77777777">
        <w:trPr>
          <w:jc w:val="center"/>
        </w:trPr>
        <w:tc>
          <w:tcPr>
            <w:tcW w:w="5040" w:type="dxa"/>
            <w:vAlign w:val="center"/>
          </w:tcPr>
          <w:p w14:paraId="3CE6AB91" w14:textId="77777777" w:rsidR="005D2CCE" w:rsidRDefault="00000000">
            <w:pPr>
              <w:keepLines/>
              <w:spacing w:after="0"/>
            </w:pPr>
            <w:r>
              <w:rPr>
                <w:sz w:val="18"/>
              </w:rPr>
              <w:t>Rows</w:t>
            </w:r>
          </w:p>
        </w:tc>
        <w:tc>
          <w:tcPr>
            <w:tcW w:w="5040" w:type="dxa"/>
            <w:vAlign w:val="center"/>
          </w:tcPr>
          <w:p w14:paraId="7850BAEE" w14:textId="77777777" w:rsidR="005D2CCE" w:rsidRDefault="00000000">
            <w:pPr>
              <w:keepLines/>
              <w:spacing w:after="0"/>
            </w:pPr>
            <w:r>
              <w:rPr>
                <w:sz w:val="18"/>
              </w:rPr>
              <w:t>12,500</w:t>
            </w:r>
          </w:p>
        </w:tc>
      </w:tr>
      <w:tr w:rsidR="005D2CCE" w14:paraId="636AACE2" w14:textId="77777777">
        <w:trPr>
          <w:jc w:val="center"/>
        </w:trPr>
        <w:tc>
          <w:tcPr>
            <w:tcW w:w="5040" w:type="dxa"/>
            <w:vAlign w:val="center"/>
          </w:tcPr>
          <w:p w14:paraId="0A70E6C5" w14:textId="77777777" w:rsidR="005D2CCE" w:rsidRDefault="00000000">
            <w:pPr>
              <w:keepLines/>
              <w:spacing w:after="0"/>
            </w:pPr>
            <w:r>
              <w:rPr>
                <w:sz w:val="18"/>
              </w:rPr>
              <w:t>Columns</w:t>
            </w:r>
          </w:p>
        </w:tc>
        <w:tc>
          <w:tcPr>
            <w:tcW w:w="5040" w:type="dxa"/>
            <w:vAlign w:val="center"/>
          </w:tcPr>
          <w:p w14:paraId="2851C120" w14:textId="77777777" w:rsidR="005D2CCE" w:rsidRDefault="00000000">
            <w:pPr>
              <w:keepLines/>
              <w:spacing w:after="0"/>
            </w:pPr>
            <w:r>
              <w:rPr>
                <w:sz w:val="18"/>
              </w:rPr>
              <w:t>76</w:t>
            </w:r>
          </w:p>
        </w:tc>
      </w:tr>
      <w:tr w:rsidR="005D2CCE" w14:paraId="556AC587" w14:textId="77777777">
        <w:trPr>
          <w:jc w:val="center"/>
        </w:trPr>
        <w:tc>
          <w:tcPr>
            <w:tcW w:w="5040" w:type="dxa"/>
            <w:vAlign w:val="center"/>
          </w:tcPr>
          <w:p w14:paraId="0E774627" w14:textId="77777777" w:rsidR="005D2CCE" w:rsidRDefault="00000000">
            <w:pPr>
              <w:keepLines/>
              <w:spacing w:after="0"/>
            </w:pPr>
            <w:r>
              <w:rPr>
                <w:sz w:val="18"/>
              </w:rPr>
              <w:t>Domain</w:t>
            </w:r>
          </w:p>
        </w:tc>
        <w:tc>
          <w:tcPr>
            <w:tcW w:w="5040" w:type="dxa"/>
            <w:vAlign w:val="center"/>
          </w:tcPr>
          <w:p w14:paraId="10CAF6CD" w14:textId="77777777" w:rsidR="005D2CCE" w:rsidRDefault="00000000">
            <w:pPr>
              <w:keepLines/>
              <w:spacing w:after="0"/>
            </w:pPr>
            <w:r>
              <w:rPr>
                <w:sz w:val="18"/>
              </w:rPr>
              <w:t>Healthcare / Clinical Data</w:t>
            </w:r>
          </w:p>
        </w:tc>
      </w:tr>
      <w:tr w:rsidR="005D2CCE" w14:paraId="03BB8989" w14:textId="77777777">
        <w:trPr>
          <w:jc w:val="center"/>
        </w:trPr>
        <w:tc>
          <w:tcPr>
            <w:tcW w:w="5040" w:type="dxa"/>
            <w:vAlign w:val="center"/>
          </w:tcPr>
          <w:p w14:paraId="7C28A893" w14:textId="77777777" w:rsidR="005D2CCE" w:rsidRDefault="00000000">
            <w:pPr>
              <w:keepLines/>
              <w:spacing w:after="0"/>
            </w:pPr>
            <w:r>
              <w:rPr>
                <w:sz w:val="18"/>
              </w:rPr>
              <w:t>Analysis stage</w:t>
            </w:r>
          </w:p>
        </w:tc>
        <w:tc>
          <w:tcPr>
            <w:tcW w:w="5040" w:type="dxa"/>
            <w:vAlign w:val="center"/>
          </w:tcPr>
          <w:p w14:paraId="3ED81C1E" w14:textId="77777777" w:rsidR="005D2CCE" w:rsidRDefault="00000000">
            <w:pPr>
              <w:keepLines/>
              <w:spacing w:after="0"/>
            </w:pPr>
            <w:r>
              <w:rPr>
                <w:sz w:val="18"/>
              </w:rPr>
              <w:t>Exploratory Data Analysis</w:t>
            </w:r>
          </w:p>
        </w:tc>
      </w:tr>
      <w:tr w:rsidR="005D2CCE" w14:paraId="7F658844" w14:textId="77777777">
        <w:trPr>
          <w:jc w:val="center"/>
        </w:trPr>
        <w:tc>
          <w:tcPr>
            <w:tcW w:w="5040" w:type="dxa"/>
            <w:vAlign w:val="center"/>
          </w:tcPr>
          <w:p w14:paraId="4C98100E" w14:textId="77777777" w:rsidR="005D2CCE" w:rsidRDefault="00000000">
            <w:pPr>
              <w:keepLines/>
              <w:spacing w:after="0"/>
            </w:pPr>
            <w:r>
              <w:rPr>
                <w:sz w:val="18"/>
              </w:rPr>
              <w:t>Main areas</w:t>
            </w:r>
          </w:p>
        </w:tc>
        <w:tc>
          <w:tcPr>
            <w:tcW w:w="5040" w:type="dxa"/>
            <w:vAlign w:val="center"/>
          </w:tcPr>
          <w:p w14:paraId="00ACC746" w14:textId="77777777" w:rsidR="005D2CCE" w:rsidRDefault="00000000">
            <w:pPr>
              <w:keepLines/>
              <w:spacing w:after="0"/>
            </w:pPr>
            <w:r>
              <w:rPr>
                <w:sz w:val="18"/>
              </w:rPr>
              <w:t>Distributions, comparisons, relationships and correlations</w:t>
            </w:r>
          </w:p>
        </w:tc>
      </w:tr>
    </w:tbl>
    <w:p w14:paraId="59B39F66" w14:textId="77777777" w:rsidR="00CA4459" w:rsidRDefault="00CA4459">
      <w:pPr>
        <w:pStyle w:val="Heading1"/>
      </w:pPr>
    </w:p>
    <w:p w14:paraId="4F39F8B4" w14:textId="77777777" w:rsidR="00CA4459" w:rsidRDefault="00CA4459">
      <w:pPr>
        <w:pStyle w:val="Heading1"/>
      </w:pPr>
    </w:p>
    <w:p w14:paraId="75298F9D" w14:textId="5AF6F5A1" w:rsidR="005D2CCE" w:rsidRDefault="00000000">
      <w:pPr>
        <w:pStyle w:val="Heading1"/>
      </w:pPr>
      <w:r>
        <w:t>4. TOOLS AND TECHNOLOGIES USED</w:t>
      </w:r>
    </w:p>
    <w:tbl>
      <w:tblPr>
        <w:tblStyle w:val="TableGrid"/>
        <w:tblW w:w="0" w:type="auto"/>
        <w:jc w:val="center"/>
        <w:tblLayout w:type="fixed"/>
        <w:tblLook w:val="04A0" w:firstRow="1" w:lastRow="0" w:firstColumn="1" w:lastColumn="0" w:noHBand="0" w:noVBand="1"/>
      </w:tblPr>
      <w:tblGrid>
        <w:gridCol w:w="5040"/>
        <w:gridCol w:w="6192"/>
      </w:tblGrid>
      <w:tr w:rsidR="005D2CCE" w14:paraId="32589BEA" w14:textId="77777777">
        <w:trPr>
          <w:jc w:val="center"/>
        </w:trPr>
        <w:tc>
          <w:tcPr>
            <w:tcW w:w="3168" w:type="dxa"/>
            <w:shd w:val="clear" w:color="auto" w:fill="EAF2F8"/>
            <w:vAlign w:val="center"/>
          </w:tcPr>
          <w:p w14:paraId="5677699A" w14:textId="77777777" w:rsidR="005D2CCE" w:rsidRDefault="00000000">
            <w:pPr>
              <w:keepLines/>
              <w:spacing w:after="0"/>
            </w:pPr>
            <w:r>
              <w:rPr>
                <w:b/>
                <w:sz w:val="18"/>
              </w:rPr>
              <w:t>Tool / Library</w:t>
            </w:r>
          </w:p>
        </w:tc>
        <w:tc>
          <w:tcPr>
            <w:tcW w:w="6192" w:type="dxa"/>
            <w:shd w:val="clear" w:color="auto" w:fill="EAF2F8"/>
            <w:vAlign w:val="center"/>
          </w:tcPr>
          <w:p w14:paraId="3E1B249E" w14:textId="77777777" w:rsidR="005D2CCE" w:rsidRDefault="00000000">
            <w:pPr>
              <w:keepLines/>
              <w:spacing w:after="0"/>
            </w:pPr>
            <w:r>
              <w:rPr>
                <w:b/>
                <w:sz w:val="18"/>
              </w:rPr>
              <w:t>Purpose</w:t>
            </w:r>
          </w:p>
        </w:tc>
      </w:tr>
      <w:tr w:rsidR="005D2CCE" w14:paraId="7825BD9D" w14:textId="77777777">
        <w:trPr>
          <w:jc w:val="center"/>
        </w:trPr>
        <w:tc>
          <w:tcPr>
            <w:tcW w:w="5040" w:type="dxa"/>
            <w:vAlign w:val="center"/>
          </w:tcPr>
          <w:p w14:paraId="0C6223AC" w14:textId="77777777" w:rsidR="005D2CCE" w:rsidRDefault="00000000">
            <w:pPr>
              <w:keepLines/>
              <w:spacing w:after="0"/>
            </w:pPr>
            <w:r>
              <w:rPr>
                <w:sz w:val="18"/>
              </w:rPr>
              <w:t>Python</w:t>
            </w:r>
          </w:p>
        </w:tc>
        <w:tc>
          <w:tcPr>
            <w:tcW w:w="5040" w:type="dxa"/>
            <w:vAlign w:val="center"/>
          </w:tcPr>
          <w:p w14:paraId="2BFF31C9" w14:textId="77777777" w:rsidR="005D2CCE" w:rsidRDefault="00000000">
            <w:pPr>
              <w:keepLines/>
              <w:spacing w:after="0"/>
            </w:pPr>
            <w:r>
              <w:rPr>
                <w:sz w:val="18"/>
              </w:rPr>
              <w:t>Programming and exploratory analysis</w:t>
            </w:r>
          </w:p>
        </w:tc>
      </w:tr>
      <w:tr w:rsidR="005D2CCE" w14:paraId="2B078298" w14:textId="77777777">
        <w:trPr>
          <w:jc w:val="center"/>
        </w:trPr>
        <w:tc>
          <w:tcPr>
            <w:tcW w:w="5040" w:type="dxa"/>
            <w:vAlign w:val="center"/>
          </w:tcPr>
          <w:p w14:paraId="5AE828D1" w14:textId="77777777" w:rsidR="005D2CCE" w:rsidRDefault="00000000">
            <w:pPr>
              <w:keepLines/>
              <w:spacing w:after="0"/>
            </w:pPr>
            <w:r>
              <w:rPr>
                <w:sz w:val="18"/>
              </w:rPr>
              <w:t xml:space="preserve">Jupyter Notebook / Google </w:t>
            </w:r>
            <w:proofErr w:type="spellStart"/>
            <w:r>
              <w:rPr>
                <w:sz w:val="18"/>
              </w:rPr>
              <w:t>Colab</w:t>
            </w:r>
            <w:proofErr w:type="spellEnd"/>
          </w:p>
        </w:tc>
        <w:tc>
          <w:tcPr>
            <w:tcW w:w="5040" w:type="dxa"/>
            <w:vAlign w:val="center"/>
          </w:tcPr>
          <w:p w14:paraId="1772D2A3" w14:textId="77777777" w:rsidR="005D2CCE" w:rsidRDefault="00000000">
            <w:pPr>
              <w:keepLines/>
              <w:spacing w:after="0"/>
            </w:pPr>
            <w:r>
              <w:rPr>
                <w:sz w:val="18"/>
              </w:rPr>
              <w:t>Running and documenting analysis</w:t>
            </w:r>
          </w:p>
        </w:tc>
      </w:tr>
      <w:tr w:rsidR="005D2CCE" w14:paraId="50A789BD" w14:textId="77777777">
        <w:trPr>
          <w:jc w:val="center"/>
        </w:trPr>
        <w:tc>
          <w:tcPr>
            <w:tcW w:w="5040" w:type="dxa"/>
            <w:vAlign w:val="center"/>
          </w:tcPr>
          <w:p w14:paraId="5A29D0B7" w14:textId="77777777" w:rsidR="005D2CCE" w:rsidRDefault="00000000">
            <w:pPr>
              <w:keepLines/>
              <w:spacing w:after="0"/>
            </w:pPr>
            <w:r>
              <w:rPr>
                <w:sz w:val="18"/>
              </w:rPr>
              <w:t>Pandas</w:t>
            </w:r>
          </w:p>
        </w:tc>
        <w:tc>
          <w:tcPr>
            <w:tcW w:w="5040" w:type="dxa"/>
            <w:vAlign w:val="center"/>
          </w:tcPr>
          <w:p w14:paraId="1138F1F9" w14:textId="77777777" w:rsidR="005D2CCE" w:rsidRDefault="00000000">
            <w:pPr>
              <w:keepLines/>
              <w:spacing w:after="0"/>
            </w:pPr>
            <w:r>
              <w:rPr>
                <w:sz w:val="18"/>
              </w:rPr>
              <w:t>Data loading, grouping and tabulation</w:t>
            </w:r>
          </w:p>
        </w:tc>
      </w:tr>
      <w:tr w:rsidR="005D2CCE" w14:paraId="3F0CB4CE" w14:textId="77777777">
        <w:trPr>
          <w:jc w:val="center"/>
        </w:trPr>
        <w:tc>
          <w:tcPr>
            <w:tcW w:w="5040" w:type="dxa"/>
            <w:vAlign w:val="center"/>
          </w:tcPr>
          <w:p w14:paraId="465BFEE9" w14:textId="77777777" w:rsidR="005D2CCE" w:rsidRDefault="00000000">
            <w:pPr>
              <w:keepLines/>
              <w:spacing w:after="0"/>
            </w:pPr>
            <w:r>
              <w:rPr>
                <w:sz w:val="18"/>
              </w:rPr>
              <w:t>NumPy</w:t>
            </w:r>
          </w:p>
        </w:tc>
        <w:tc>
          <w:tcPr>
            <w:tcW w:w="5040" w:type="dxa"/>
            <w:vAlign w:val="center"/>
          </w:tcPr>
          <w:p w14:paraId="524F1606" w14:textId="77777777" w:rsidR="005D2CCE" w:rsidRDefault="00000000">
            <w:pPr>
              <w:keepLines/>
              <w:spacing w:after="0"/>
            </w:pPr>
            <w:r>
              <w:rPr>
                <w:sz w:val="18"/>
              </w:rPr>
              <w:t>Numerical calculations</w:t>
            </w:r>
          </w:p>
        </w:tc>
      </w:tr>
      <w:tr w:rsidR="005D2CCE" w14:paraId="4A5550C2" w14:textId="77777777">
        <w:trPr>
          <w:jc w:val="center"/>
        </w:trPr>
        <w:tc>
          <w:tcPr>
            <w:tcW w:w="5040" w:type="dxa"/>
            <w:vAlign w:val="center"/>
          </w:tcPr>
          <w:p w14:paraId="65810765" w14:textId="77777777" w:rsidR="005D2CCE" w:rsidRDefault="00000000">
            <w:pPr>
              <w:keepLines/>
              <w:spacing w:after="0"/>
            </w:pPr>
            <w:r>
              <w:rPr>
                <w:sz w:val="18"/>
              </w:rPr>
              <w:t>Matplotlib</w:t>
            </w:r>
          </w:p>
        </w:tc>
        <w:tc>
          <w:tcPr>
            <w:tcW w:w="5040" w:type="dxa"/>
            <w:vAlign w:val="center"/>
          </w:tcPr>
          <w:p w14:paraId="22058F40" w14:textId="77777777" w:rsidR="005D2CCE" w:rsidRDefault="00000000">
            <w:pPr>
              <w:keepLines/>
              <w:spacing w:after="0"/>
            </w:pPr>
            <w:r>
              <w:rPr>
                <w:sz w:val="18"/>
              </w:rPr>
              <w:t>Plotting and visualization</w:t>
            </w:r>
          </w:p>
        </w:tc>
      </w:tr>
      <w:tr w:rsidR="005D2CCE" w14:paraId="401653BC" w14:textId="77777777">
        <w:trPr>
          <w:jc w:val="center"/>
        </w:trPr>
        <w:tc>
          <w:tcPr>
            <w:tcW w:w="5040" w:type="dxa"/>
            <w:vAlign w:val="center"/>
          </w:tcPr>
          <w:p w14:paraId="4607F965" w14:textId="77777777" w:rsidR="005D2CCE" w:rsidRDefault="00000000">
            <w:pPr>
              <w:keepLines/>
              <w:spacing w:after="0"/>
            </w:pPr>
            <w:r>
              <w:rPr>
                <w:sz w:val="18"/>
              </w:rPr>
              <w:t>Seaborn</w:t>
            </w:r>
          </w:p>
        </w:tc>
        <w:tc>
          <w:tcPr>
            <w:tcW w:w="5040" w:type="dxa"/>
            <w:vAlign w:val="center"/>
          </w:tcPr>
          <w:p w14:paraId="3AF76624" w14:textId="77777777" w:rsidR="005D2CCE" w:rsidRDefault="00000000">
            <w:pPr>
              <w:keepLines/>
              <w:spacing w:after="0"/>
            </w:pPr>
            <w:r>
              <w:rPr>
                <w:sz w:val="18"/>
              </w:rPr>
              <w:t>Statistical visualization</w:t>
            </w:r>
          </w:p>
        </w:tc>
      </w:tr>
      <w:tr w:rsidR="005D2CCE" w14:paraId="1885D6A5" w14:textId="77777777">
        <w:trPr>
          <w:jc w:val="center"/>
        </w:trPr>
        <w:tc>
          <w:tcPr>
            <w:tcW w:w="5040" w:type="dxa"/>
            <w:vAlign w:val="center"/>
          </w:tcPr>
          <w:p w14:paraId="33973946" w14:textId="77777777" w:rsidR="005D2CCE" w:rsidRDefault="00000000">
            <w:pPr>
              <w:keepLines/>
              <w:spacing w:after="0"/>
            </w:pPr>
            <w:r>
              <w:rPr>
                <w:sz w:val="18"/>
              </w:rPr>
              <w:t>SciPy</w:t>
            </w:r>
          </w:p>
        </w:tc>
        <w:tc>
          <w:tcPr>
            <w:tcW w:w="5040" w:type="dxa"/>
            <w:vAlign w:val="center"/>
          </w:tcPr>
          <w:p w14:paraId="4B7D146F" w14:textId="77777777" w:rsidR="005D2CCE" w:rsidRDefault="00000000">
            <w:pPr>
              <w:keepLines/>
              <w:spacing w:after="0"/>
            </w:pPr>
            <w:r>
              <w:rPr>
                <w:sz w:val="18"/>
              </w:rPr>
              <w:t>Q-Q plot and statistical utilities</w:t>
            </w:r>
          </w:p>
        </w:tc>
      </w:tr>
    </w:tbl>
    <w:p w14:paraId="61883621" w14:textId="77777777" w:rsidR="005D2CCE" w:rsidRDefault="00000000">
      <w:r>
        <w:br w:type="page"/>
      </w:r>
    </w:p>
    <w:p w14:paraId="4191870D" w14:textId="77777777" w:rsidR="005D2CCE" w:rsidRDefault="00000000">
      <w:pPr>
        <w:pStyle w:val="Heading1"/>
      </w:pPr>
      <w:r>
        <w:lastRenderedPageBreak/>
        <w:t>5. UNIVARIATE ANALYSIS</w:t>
      </w:r>
    </w:p>
    <w:p w14:paraId="06F6C941" w14:textId="77777777" w:rsidR="005D2CCE" w:rsidRDefault="00000000">
      <w:r>
        <w:t xml:space="preserve">Univariate analysis studies one variable at a time. In Week 4, numerical variables such as Age, Hemoglobin, </w:t>
      </w:r>
      <w:proofErr w:type="spellStart"/>
      <w:r>
        <w:t>RBC_Count</w:t>
      </w:r>
      <w:proofErr w:type="spellEnd"/>
      <w:r>
        <w:t>, Hematocrit, MCV, ESR and CRP were examined with multiple distribution plots. Categorical and binary variables such as Gender, Low-grade fever, Fatigue or chronic tiredness and Joint pain were also summarized.</w:t>
      </w:r>
    </w:p>
    <w:p w14:paraId="449379B0" w14:textId="77777777" w:rsidR="005D2CCE" w:rsidRDefault="00000000">
      <w:pPr>
        <w:pStyle w:val="Heading2"/>
      </w:pPr>
      <w:r>
        <w:t>5.1 Histogram and KDE – Age and Hemoglobin</w:t>
      </w:r>
    </w:p>
    <w:p w14:paraId="68B01BD1" w14:textId="77777777" w:rsidR="005D2CCE" w:rsidRDefault="00000000">
      <w:r>
        <w:t>Histograms show the frequency of observations across value ranges, while the KDE curve provides a smoothed view of the distribution. The Age histogram shows observations spread across the adult age range represented in the dataset. The Hemoglobin histogram shows a visibly stronger concentration around the middle of its observed range, with fewer observations toward the higher end.</w:t>
      </w:r>
    </w:p>
    <w:tbl>
      <w:tblPr>
        <w:tblW w:w="0" w:type="auto"/>
        <w:jc w:val="center"/>
        <w:tblLayout w:type="fixed"/>
        <w:tblLook w:val="04A0" w:firstRow="1" w:lastRow="0" w:firstColumn="1" w:lastColumn="0" w:noHBand="0" w:noVBand="1"/>
      </w:tblPr>
      <w:tblGrid>
        <w:gridCol w:w="9288"/>
      </w:tblGrid>
      <w:tr w:rsidR="005D2CCE" w14:paraId="68948BC8" w14:textId="77777777">
        <w:trPr>
          <w:jc w:val="center"/>
        </w:trPr>
        <w:tc>
          <w:tcPr>
            <w:tcW w:w="9288" w:type="dxa"/>
            <w:tcBorders>
              <w:top w:val="nil"/>
              <w:left w:val="nil"/>
              <w:bottom w:val="nil"/>
              <w:right w:val="nil"/>
            </w:tcBorders>
            <w:vAlign w:val="center"/>
          </w:tcPr>
          <w:p w14:paraId="47281AAF" w14:textId="77777777" w:rsidR="005D2CCE" w:rsidRDefault="00000000">
            <w:pPr>
              <w:spacing w:after="0"/>
              <w:jc w:val="center"/>
            </w:pPr>
            <w:r>
              <w:rPr>
                <w:noProof/>
              </w:rPr>
              <w:drawing>
                <wp:inline distT="0" distB="0" distL="0" distR="0" wp14:anchorId="6162D58F" wp14:editId="27A7AC03">
                  <wp:extent cx="5623560" cy="3078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1_0.png"/>
                          <pic:cNvPicPr/>
                        </pic:nvPicPr>
                        <pic:blipFill>
                          <a:blip r:embed="rId8"/>
                          <a:stretch>
                            <a:fillRect/>
                          </a:stretch>
                        </pic:blipFill>
                        <pic:spPr>
                          <a:xfrm>
                            <a:off x="0" y="0"/>
                            <a:ext cx="5623560" cy="3078963"/>
                          </a:xfrm>
                          <a:prstGeom prst="rect">
                            <a:avLst/>
                          </a:prstGeom>
                        </pic:spPr>
                      </pic:pic>
                    </a:graphicData>
                  </a:graphic>
                </wp:inline>
              </w:drawing>
            </w:r>
          </w:p>
        </w:tc>
      </w:tr>
    </w:tbl>
    <w:p w14:paraId="25C35A30" w14:textId="77777777" w:rsidR="005D2CCE" w:rsidRDefault="00000000">
      <w:pPr>
        <w:keepNext/>
        <w:spacing w:after="80"/>
        <w:jc w:val="center"/>
      </w:pPr>
      <w:r>
        <w:rPr>
          <w:i/>
          <w:sz w:val="16"/>
        </w:rPr>
        <w:t>Figure 1. Distribution of Age</w:t>
      </w:r>
    </w:p>
    <w:tbl>
      <w:tblPr>
        <w:tblW w:w="0" w:type="auto"/>
        <w:jc w:val="center"/>
        <w:tblLayout w:type="fixed"/>
        <w:tblLook w:val="04A0" w:firstRow="1" w:lastRow="0" w:firstColumn="1" w:lastColumn="0" w:noHBand="0" w:noVBand="1"/>
      </w:tblPr>
      <w:tblGrid>
        <w:gridCol w:w="9288"/>
      </w:tblGrid>
      <w:tr w:rsidR="005D2CCE" w14:paraId="700347E7" w14:textId="77777777">
        <w:trPr>
          <w:jc w:val="center"/>
        </w:trPr>
        <w:tc>
          <w:tcPr>
            <w:tcW w:w="9288" w:type="dxa"/>
            <w:tcBorders>
              <w:top w:val="nil"/>
              <w:left w:val="nil"/>
              <w:bottom w:val="nil"/>
              <w:right w:val="nil"/>
            </w:tcBorders>
            <w:vAlign w:val="center"/>
          </w:tcPr>
          <w:p w14:paraId="5267B7CE" w14:textId="77777777" w:rsidR="005D2CCE" w:rsidRDefault="00000000">
            <w:pPr>
              <w:spacing w:after="0"/>
              <w:jc w:val="center"/>
            </w:pPr>
            <w:r>
              <w:rPr>
                <w:noProof/>
              </w:rPr>
              <w:drawing>
                <wp:inline distT="0" distB="0" distL="0" distR="0" wp14:anchorId="667EB97E" wp14:editId="269EFEC7">
                  <wp:extent cx="5623560" cy="30789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1_1.png"/>
                          <pic:cNvPicPr/>
                        </pic:nvPicPr>
                        <pic:blipFill>
                          <a:blip r:embed="rId9"/>
                          <a:stretch>
                            <a:fillRect/>
                          </a:stretch>
                        </pic:blipFill>
                        <pic:spPr>
                          <a:xfrm>
                            <a:off x="0" y="0"/>
                            <a:ext cx="5623560" cy="3078963"/>
                          </a:xfrm>
                          <a:prstGeom prst="rect">
                            <a:avLst/>
                          </a:prstGeom>
                        </pic:spPr>
                      </pic:pic>
                    </a:graphicData>
                  </a:graphic>
                </wp:inline>
              </w:drawing>
            </w:r>
          </w:p>
        </w:tc>
      </w:tr>
    </w:tbl>
    <w:p w14:paraId="48EA629A" w14:textId="77777777" w:rsidR="005D2CCE" w:rsidRDefault="00000000">
      <w:pPr>
        <w:keepNext/>
        <w:spacing w:after="80"/>
        <w:jc w:val="center"/>
      </w:pPr>
      <w:r>
        <w:rPr>
          <w:i/>
          <w:sz w:val="16"/>
        </w:rPr>
        <w:lastRenderedPageBreak/>
        <w:t>Figure 2. Distribution of Hemoglobin</w:t>
      </w:r>
    </w:p>
    <w:p w14:paraId="62D5872F" w14:textId="77777777" w:rsidR="005D2CCE" w:rsidRDefault="00000000">
      <w:pPr>
        <w:pStyle w:val="Heading2"/>
      </w:pPr>
      <w:r>
        <w:t>5.2 Box Plot – RBC Count and Hemoglobin</w:t>
      </w:r>
    </w:p>
    <w:p w14:paraId="34AFFCBA" w14:textId="77777777" w:rsidR="005D2CCE" w:rsidRDefault="00000000">
      <w:r>
        <w:t xml:space="preserve">Box plots summarize the median, interquartile range and potential extreme observations. The Week 4 notebook applies box plots to </w:t>
      </w:r>
      <w:proofErr w:type="spellStart"/>
      <w:r>
        <w:t>RBC_Count</w:t>
      </w:r>
      <w:proofErr w:type="spellEnd"/>
      <w:r>
        <w:t xml:space="preserve"> and Hemoglobin so that their central tendency and spread can be compared without relying only on the histogram.</w:t>
      </w:r>
    </w:p>
    <w:tbl>
      <w:tblPr>
        <w:tblW w:w="0" w:type="auto"/>
        <w:jc w:val="center"/>
        <w:tblLayout w:type="fixed"/>
        <w:tblLook w:val="04A0" w:firstRow="1" w:lastRow="0" w:firstColumn="1" w:lastColumn="0" w:noHBand="0" w:noVBand="1"/>
      </w:tblPr>
      <w:tblGrid>
        <w:gridCol w:w="9288"/>
      </w:tblGrid>
      <w:tr w:rsidR="005D2CCE" w14:paraId="52B668E7" w14:textId="77777777">
        <w:trPr>
          <w:jc w:val="center"/>
        </w:trPr>
        <w:tc>
          <w:tcPr>
            <w:tcW w:w="9288" w:type="dxa"/>
            <w:tcBorders>
              <w:top w:val="nil"/>
              <w:left w:val="nil"/>
              <w:bottom w:val="nil"/>
              <w:right w:val="nil"/>
            </w:tcBorders>
            <w:vAlign w:val="center"/>
          </w:tcPr>
          <w:p w14:paraId="5E7F3F90" w14:textId="77777777" w:rsidR="005D2CCE" w:rsidRDefault="00000000">
            <w:pPr>
              <w:spacing w:after="0"/>
              <w:jc w:val="center"/>
            </w:pPr>
            <w:r>
              <w:rPr>
                <w:noProof/>
              </w:rPr>
              <w:drawing>
                <wp:inline distT="0" distB="0" distL="0" distR="0" wp14:anchorId="3CA0D044" wp14:editId="00628E7C">
                  <wp:extent cx="5120640" cy="3161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2_0.png"/>
                          <pic:cNvPicPr/>
                        </pic:nvPicPr>
                        <pic:blipFill>
                          <a:blip r:embed="rId10"/>
                          <a:stretch>
                            <a:fillRect/>
                          </a:stretch>
                        </pic:blipFill>
                        <pic:spPr>
                          <a:xfrm>
                            <a:off x="0" y="0"/>
                            <a:ext cx="5120640" cy="3161211"/>
                          </a:xfrm>
                          <a:prstGeom prst="rect">
                            <a:avLst/>
                          </a:prstGeom>
                        </pic:spPr>
                      </pic:pic>
                    </a:graphicData>
                  </a:graphic>
                </wp:inline>
              </w:drawing>
            </w:r>
          </w:p>
        </w:tc>
      </w:tr>
    </w:tbl>
    <w:p w14:paraId="3AE34DD8" w14:textId="77777777" w:rsidR="005D2CCE" w:rsidRDefault="00000000">
      <w:pPr>
        <w:keepNext/>
        <w:spacing w:after="80"/>
        <w:jc w:val="center"/>
      </w:pPr>
      <w:r>
        <w:rPr>
          <w:i/>
          <w:sz w:val="16"/>
        </w:rPr>
        <w:t xml:space="preserve">Figure 3A. Box plot for </w:t>
      </w:r>
      <w:proofErr w:type="spellStart"/>
      <w:r>
        <w:rPr>
          <w:i/>
          <w:sz w:val="16"/>
        </w:rPr>
        <w:t>RBC_Count</w:t>
      </w:r>
      <w:proofErr w:type="spellEnd"/>
    </w:p>
    <w:tbl>
      <w:tblPr>
        <w:tblW w:w="0" w:type="auto"/>
        <w:jc w:val="center"/>
        <w:tblLayout w:type="fixed"/>
        <w:tblLook w:val="04A0" w:firstRow="1" w:lastRow="0" w:firstColumn="1" w:lastColumn="0" w:noHBand="0" w:noVBand="1"/>
      </w:tblPr>
      <w:tblGrid>
        <w:gridCol w:w="9288"/>
      </w:tblGrid>
      <w:tr w:rsidR="005D2CCE" w14:paraId="2FC799A4" w14:textId="77777777">
        <w:trPr>
          <w:jc w:val="center"/>
        </w:trPr>
        <w:tc>
          <w:tcPr>
            <w:tcW w:w="9288" w:type="dxa"/>
            <w:tcBorders>
              <w:top w:val="nil"/>
              <w:left w:val="nil"/>
              <w:bottom w:val="nil"/>
              <w:right w:val="nil"/>
            </w:tcBorders>
            <w:vAlign w:val="center"/>
          </w:tcPr>
          <w:p w14:paraId="3D2E2ED6" w14:textId="77777777" w:rsidR="005D2CCE" w:rsidRDefault="00000000">
            <w:pPr>
              <w:spacing w:after="0"/>
              <w:jc w:val="center"/>
            </w:pPr>
            <w:r>
              <w:rPr>
                <w:noProof/>
              </w:rPr>
              <w:drawing>
                <wp:inline distT="0" distB="0" distL="0" distR="0" wp14:anchorId="6000CCFD" wp14:editId="19C4EA9E">
                  <wp:extent cx="5120640" cy="3161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2_1.png"/>
                          <pic:cNvPicPr/>
                        </pic:nvPicPr>
                        <pic:blipFill>
                          <a:blip r:embed="rId11"/>
                          <a:stretch>
                            <a:fillRect/>
                          </a:stretch>
                        </pic:blipFill>
                        <pic:spPr>
                          <a:xfrm>
                            <a:off x="0" y="0"/>
                            <a:ext cx="5120640" cy="3161211"/>
                          </a:xfrm>
                          <a:prstGeom prst="rect">
                            <a:avLst/>
                          </a:prstGeom>
                        </pic:spPr>
                      </pic:pic>
                    </a:graphicData>
                  </a:graphic>
                </wp:inline>
              </w:drawing>
            </w:r>
          </w:p>
        </w:tc>
      </w:tr>
    </w:tbl>
    <w:p w14:paraId="175DF083" w14:textId="77777777" w:rsidR="005D2CCE" w:rsidRDefault="00000000">
      <w:pPr>
        <w:keepNext/>
        <w:spacing w:after="80"/>
        <w:jc w:val="center"/>
      </w:pPr>
      <w:r>
        <w:rPr>
          <w:i/>
          <w:sz w:val="16"/>
        </w:rPr>
        <w:t>Figure 3B. Box plot for Hemoglobin</w:t>
      </w:r>
    </w:p>
    <w:p w14:paraId="09E09375" w14:textId="77777777" w:rsidR="005D2CCE" w:rsidRDefault="00000000">
      <w:r>
        <w:br w:type="page"/>
      </w:r>
    </w:p>
    <w:p w14:paraId="07859605" w14:textId="77777777" w:rsidR="005D2CCE" w:rsidRDefault="00000000">
      <w:pPr>
        <w:pStyle w:val="Heading2"/>
      </w:pPr>
      <w:r>
        <w:lastRenderedPageBreak/>
        <w:t>5.3 Violin Plot – Hematocrit and MCV</w:t>
      </w:r>
    </w:p>
    <w:p w14:paraId="2AD8FF3B" w14:textId="77777777" w:rsidR="005D2CCE" w:rsidRDefault="00000000">
      <w:r>
        <w:t>Violin plots combine distribution shape with summary information. The notebook uses the inner quartiles to show where observations are concentrated. This is useful for seeing the overall shape of Hematocrit and MCV rather than only their quartiles.</w:t>
      </w:r>
    </w:p>
    <w:tbl>
      <w:tblPr>
        <w:tblW w:w="0" w:type="auto"/>
        <w:jc w:val="center"/>
        <w:tblLayout w:type="fixed"/>
        <w:tblLook w:val="04A0" w:firstRow="1" w:lastRow="0" w:firstColumn="1" w:lastColumn="0" w:noHBand="0" w:noVBand="1"/>
      </w:tblPr>
      <w:tblGrid>
        <w:gridCol w:w="9288"/>
      </w:tblGrid>
      <w:tr w:rsidR="005D2CCE" w14:paraId="416C4F6D" w14:textId="77777777">
        <w:trPr>
          <w:jc w:val="center"/>
        </w:trPr>
        <w:tc>
          <w:tcPr>
            <w:tcW w:w="9288" w:type="dxa"/>
            <w:tcBorders>
              <w:top w:val="nil"/>
              <w:left w:val="nil"/>
              <w:bottom w:val="nil"/>
              <w:right w:val="nil"/>
            </w:tcBorders>
            <w:vAlign w:val="center"/>
          </w:tcPr>
          <w:p w14:paraId="61C443DD" w14:textId="77777777" w:rsidR="005D2CCE" w:rsidRDefault="00000000">
            <w:pPr>
              <w:spacing w:after="0"/>
              <w:jc w:val="center"/>
            </w:pPr>
            <w:r>
              <w:rPr>
                <w:noProof/>
              </w:rPr>
              <w:drawing>
                <wp:inline distT="0" distB="0" distL="0" distR="0" wp14:anchorId="3269760F" wp14:editId="12E2DBF1">
                  <wp:extent cx="5120640" cy="3161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3_0.png"/>
                          <pic:cNvPicPr/>
                        </pic:nvPicPr>
                        <pic:blipFill>
                          <a:blip r:embed="rId12"/>
                          <a:stretch>
                            <a:fillRect/>
                          </a:stretch>
                        </pic:blipFill>
                        <pic:spPr>
                          <a:xfrm>
                            <a:off x="0" y="0"/>
                            <a:ext cx="5120640" cy="3161211"/>
                          </a:xfrm>
                          <a:prstGeom prst="rect">
                            <a:avLst/>
                          </a:prstGeom>
                        </pic:spPr>
                      </pic:pic>
                    </a:graphicData>
                  </a:graphic>
                </wp:inline>
              </w:drawing>
            </w:r>
          </w:p>
        </w:tc>
      </w:tr>
    </w:tbl>
    <w:p w14:paraId="732FCFC7" w14:textId="77777777" w:rsidR="005D2CCE" w:rsidRDefault="00000000">
      <w:pPr>
        <w:keepNext/>
        <w:spacing w:after="80"/>
        <w:jc w:val="center"/>
      </w:pPr>
      <w:r>
        <w:rPr>
          <w:i/>
          <w:sz w:val="16"/>
        </w:rPr>
        <w:t>Figure 4A. Violin plot for Hematocrit</w:t>
      </w:r>
    </w:p>
    <w:tbl>
      <w:tblPr>
        <w:tblW w:w="0" w:type="auto"/>
        <w:jc w:val="center"/>
        <w:tblLayout w:type="fixed"/>
        <w:tblLook w:val="04A0" w:firstRow="1" w:lastRow="0" w:firstColumn="1" w:lastColumn="0" w:noHBand="0" w:noVBand="1"/>
      </w:tblPr>
      <w:tblGrid>
        <w:gridCol w:w="9288"/>
      </w:tblGrid>
      <w:tr w:rsidR="005D2CCE" w14:paraId="7FAD081C" w14:textId="77777777">
        <w:trPr>
          <w:jc w:val="center"/>
        </w:trPr>
        <w:tc>
          <w:tcPr>
            <w:tcW w:w="9288" w:type="dxa"/>
            <w:tcBorders>
              <w:top w:val="nil"/>
              <w:left w:val="nil"/>
              <w:bottom w:val="nil"/>
              <w:right w:val="nil"/>
            </w:tcBorders>
            <w:vAlign w:val="center"/>
          </w:tcPr>
          <w:p w14:paraId="0C42F491" w14:textId="77777777" w:rsidR="005D2CCE" w:rsidRDefault="00000000">
            <w:pPr>
              <w:spacing w:after="0"/>
              <w:jc w:val="center"/>
            </w:pPr>
            <w:r>
              <w:rPr>
                <w:noProof/>
              </w:rPr>
              <w:drawing>
                <wp:inline distT="0" distB="0" distL="0" distR="0" wp14:anchorId="241C72C3" wp14:editId="726B5DE1">
                  <wp:extent cx="5120640" cy="3161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3_1.png"/>
                          <pic:cNvPicPr/>
                        </pic:nvPicPr>
                        <pic:blipFill>
                          <a:blip r:embed="rId13"/>
                          <a:stretch>
                            <a:fillRect/>
                          </a:stretch>
                        </pic:blipFill>
                        <pic:spPr>
                          <a:xfrm>
                            <a:off x="0" y="0"/>
                            <a:ext cx="5120640" cy="3161211"/>
                          </a:xfrm>
                          <a:prstGeom prst="rect">
                            <a:avLst/>
                          </a:prstGeom>
                        </pic:spPr>
                      </pic:pic>
                    </a:graphicData>
                  </a:graphic>
                </wp:inline>
              </w:drawing>
            </w:r>
          </w:p>
        </w:tc>
      </w:tr>
    </w:tbl>
    <w:p w14:paraId="2C1D052C" w14:textId="77777777" w:rsidR="005D2CCE" w:rsidRDefault="00000000">
      <w:pPr>
        <w:keepNext/>
        <w:spacing w:after="80"/>
        <w:jc w:val="center"/>
      </w:pPr>
      <w:r>
        <w:rPr>
          <w:i/>
          <w:sz w:val="16"/>
        </w:rPr>
        <w:lastRenderedPageBreak/>
        <w:t>Figure 4B. Violin plot for MCV</w:t>
      </w:r>
    </w:p>
    <w:p w14:paraId="2F51982E" w14:textId="77777777" w:rsidR="00CA4459" w:rsidRDefault="00CA4459">
      <w:pPr>
        <w:pStyle w:val="Heading2"/>
      </w:pPr>
    </w:p>
    <w:p w14:paraId="285D9857" w14:textId="77777777" w:rsidR="00CA4459" w:rsidRDefault="00CA4459">
      <w:pPr>
        <w:pStyle w:val="Heading2"/>
      </w:pPr>
    </w:p>
    <w:p w14:paraId="600B0B39" w14:textId="77777777" w:rsidR="00CA4459" w:rsidRDefault="00CA4459">
      <w:pPr>
        <w:pStyle w:val="Heading2"/>
      </w:pPr>
    </w:p>
    <w:p w14:paraId="705C2B25" w14:textId="21C6BB45" w:rsidR="005D2CCE" w:rsidRDefault="00000000">
      <w:pPr>
        <w:pStyle w:val="Heading2"/>
      </w:pPr>
      <w:r>
        <w:t>5.4 ECDF – ESR and CRP</w:t>
      </w:r>
    </w:p>
    <w:p w14:paraId="1AF01332" w14:textId="77777777" w:rsidR="005D2CCE" w:rsidRDefault="00000000">
      <w:r>
        <w:t>Empirical cumulative distribution functions (ECDFs) show the proportion of observations at or below each value. They provide a direct view of how observations accumulate across ESR and CRP and are useful for comparing the spread of inflammatory measurements.</w:t>
      </w:r>
    </w:p>
    <w:tbl>
      <w:tblPr>
        <w:tblW w:w="0" w:type="auto"/>
        <w:jc w:val="center"/>
        <w:tblLayout w:type="fixed"/>
        <w:tblLook w:val="04A0" w:firstRow="1" w:lastRow="0" w:firstColumn="1" w:lastColumn="0" w:noHBand="0" w:noVBand="1"/>
      </w:tblPr>
      <w:tblGrid>
        <w:gridCol w:w="9288"/>
      </w:tblGrid>
      <w:tr w:rsidR="005D2CCE" w14:paraId="01EB2164" w14:textId="77777777">
        <w:trPr>
          <w:jc w:val="center"/>
        </w:trPr>
        <w:tc>
          <w:tcPr>
            <w:tcW w:w="9288" w:type="dxa"/>
            <w:tcBorders>
              <w:top w:val="nil"/>
              <w:left w:val="nil"/>
              <w:bottom w:val="nil"/>
              <w:right w:val="nil"/>
            </w:tcBorders>
            <w:vAlign w:val="center"/>
          </w:tcPr>
          <w:p w14:paraId="071D163F" w14:textId="77777777" w:rsidR="005D2CCE" w:rsidRDefault="00000000">
            <w:pPr>
              <w:spacing w:after="0"/>
              <w:jc w:val="center"/>
            </w:pPr>
            <w:r>
              <w:rPr>
                <w:noProof/>
              </w:rPr>
              <w:drawing>
                <wp:inline distT="0" distB="0" distL="0" distR="0" wp14:anchorId="1BFD860A" wp14:editId="680BE680">
                  <wp:extent cx="5120640" cy="2803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4_0.png"/>
                          <pic:cNvPicPr/>
                        </pic:nvPicPr>
                        <pic:blipFill>
                          <a:blip r:embed="rId14"/>
                          <a:stretch>
                            <a:fillRect/>
                          </a:stretch>
                        </pic:blipFill>
                        <pic:spPr>
                          <a:xfrm>
                            <a:off x="0" y="0"/>
                            <a:ext cx="5120640" cy="2803608"/>
                          </a:xfrm>
                          <a:prstGeom prst="rect">
                            <a:avLst/>
                          </a:prstGeom>
                        </pic:spPr>
                      </pic:pic>
                    </a:graphicData>
                  </a:graphic>
                </wp:inline>
              </w:drawing>
            </w:r>
          </w:p>
        </w:tc>
      </w:tr>
    </w:tbl>
    <w:p w14:paraId="346CBD24" w14:textId="77777777" w:rsidR="005D2CCE" w:rsidRDefault="00000000">
      <w:pPr>
        <w:keepNext/>
        <w:spacing w:after="80"/>
        <w:jc w:val="center"/>
      </w:pPr>
      <w:r>
        <w:rPr>
          <w:i/>
          <w:sz w:val="16"/>
        </w:rPr>
        <w:t>Figure 5A. ECDF for ESR</w:t>
      </w:r>
    </w:p>
    <w:tbl>
      <w:tblPr>
        <w:tblW w:w="0" w:type="auto"/>
        <w:jc w:val="center"/>
        <w:tblLayout w:type="fixed"/>
        <w:tblLook w:val="04A0" w:firstRow="1" w:lastRow="0" w:firstColumn="1" w:lastColumn="0" w:noHBand="0" w:noVBand="1"/>
      </w:tblPr>
      <w:tblGrid>
        <w:gridCol w:w="9288"/>
      </w:tblGrid>
      <w:tr w:rsidR="005D2CCE" w14:paraId="166493C9" w14:textId="77777777">
        <w:trPr>
          <w:jc w:val="center"/>
        </w:trPr>
        <w:tc>
          <w:tcPr>
            <w:tcW w:w="9288" w:type="dxa"/>
            <w:tcBorders>
              <w:top w:val="nil"/>
              <w:left w:val="nil"/>
              <w:bottom w:val="nil"/>
              <w:right w:val="nil"/>
            </w:tcBorders>
            <w:vAlign w:val="center"/>
          </w:tcPr>
          <w:p w14:paraId="4AA0D051" w14:textId="77777777" w:rsidR="005D2CCE" w:rsidRDefault="00000000">
            <w:pPr>
              <w:spacing w:after="0"/>
              <w:jc w:val="center"/>
            </w:pPr>
            <w:r>
              <w:rPr>
                <w:noProof/>
              </w:rPr>
              <w:drawing>
                <wp:inline distT="0" distB="0" distL="0" distR="0" wp14:anchorId="2B96B789" wp14:editId="500BBFFC">
                  <wp:extent cx="5120640" cy="2803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4_1.png"/>
                          <pic:cNvPicPr/>
                        </pic:nvPicPr>
                        <pic:blipFill>
                          <a:blip r:embed="rId15"/>
                          <a:stretch>
                            <a:fillRect/>
                          </a:stretch>
                        </pic:blipFill>
                        <pic:spPr>
                          <a:xfrm>
                            <a:off x="0" y="0"/>
                            <a:ext cx="5120640" cy="2803608"/>
                          </a:xfrm>
                          <a:prstGeom prst="rect">
                            <a:avLst/>
                          </a:prstGeom>
                        </pic:spPr>
                      </pic:pic>
                    </a:graphicData>
                  </a:graphic>
                </wp:inline>
              </w:drawing>
            </w:r>
          </w:p>
        </w:tc>
      </w:tr>
    </w:tbl>
    <w:p w14:paraId="2B865020" w14:textId="77777777" w:rsidR="005D2CCE" w:rsidRDefault="00000000">
      <w:pPr>
        <w:keepNext/>
        <w:spacing w:after="80"/>
        <w:jc w:val="center"/>
      </w:pPr>
      <w:r>
        <w:rPr>
          <w:i/>
          <w:sz w:val="16"/>
        </w:rPr>
        <w:lastRenderedPageBreak/>
        <w:t>Figure 5B. ECDF for CRP</w:t>
      </w:r>
    </w:p>
    <w:p w14:paraId="674CB834" w14:textId="77777777" w:rsidR="00CA4459" w:rsidRDefault="00CA4459">
      <w:pPr>
        <w:pStyle w:val="Heading2"/>
      </w:pPr>
    </w:p>
    <w:p w14:paraId="5ABCA7C0" w14:textId="22BA7CA6" w:rsidR="005D2CCE" w:rsidRDefault="00000000">
      <w:pPr>
        <w:pStyle w:val="Heading2"/>
      </w:pPr>
      <w:r>
        <w:t>5.5 Q-Q Plot and Skewness</w:t>
      </w:r>
    </w:p>
    <w:p w14:paraId="127C5F92" w14:textId="77777777" w:rsidR="005D2CCE" w:rsidRDefault="00000000">
      <w:r>
        <w:t>A Q-Q plot was used to compare the selected variable with a theoretical normal distribution. The notebook also calculated skewness for Age and CRP. The reported skewness values are 0.016 for Age and 0.162 for CRP. Both values are positive and close to zero, indicating only a small degree of right-skew in these selected variables.</w:t>
      </w:r>
    </w:p>
    <w:tbl>
      <w:tblPr>
        <w:tblW w:w="0" w:type="auto"/>
        <w:jc w:val="center"/>
        <w:tblLayout w:type="fixed"/>
        <w:tblLook w:val="04A0" w:firstRow="1" w:lastRow="0" w:firstColumn="1" w:lastColumn="0" w:noHBand="0" w:noVBand="1"/>
      </w:tblPr>
      <w:tblGrid>
        <w:gridCol w:w="9288"/>
      </w:tblGrid>
      <w:tr w:rsidR="005D2CCE" w14:paraId="532969D1" w14:textId="77777777">
        <w:trPr>
          <w:jc w:val="center"/>
        </w:trPr>
        <w:tc>
          <w:tcPr>
            <w:tcW w:w="9288" w:type="dxa"/>
            <w:tcBorders>
              <w:top w:val="nil"/>
              <w:left w:val="nil"/>
              <w:bottom w:val="nil"/>
              <w:right w:val="nil"/>
            </w:tcBorders>
            <w:vAlign w:val="center"/>
          </w:tcPr>
          <w:p w14:paraId="486B3051" w14:textId="77777777" w:rsidR="005D2CCE" w:rsidRDefault="00000000">
            <w:pPr>
              <w:spacing w:after="0"/>
              <w:jc w:val="center"/>
            </w:pPr>
            <w:r>
              <w:rPr>
                <w:noProof/>
              </w:rPr>
              <w:drawing>
                <wp:anchor distT="0" distB="0" distL="114300" distR="114300" simplePos="0" relativeHeight="251660288" behindDoc="1" locked="0" layoutInCell="1" allowOverlap="1" wp14:anchorId="6DD10FBE" wp14:editId="5D6DA71A">
                  <wp:simplePos x="0" y="0"/>
                  <wp:positionH relativeFrom="column">
                    <wp:posOffset>358140</wp:posOffset>
                  </wp:positionH>
                  <wp:positionV relativeFrom="paragraph">
                    <wp:posOffset>681990</wp:posOffset>
                  </wp:positionV>
                  <wp:extent cx="4389120" cy="4389120"/>
                  <wp:effectExtent l="0" t="0" r="0" b="0"/>
                  <wp:wrapTight wrapText="bothSides">
                    <wp:wrapPolygon edited="0">
                      <wp:start x="0" y="0"/>
                      <wp:lineTo x="0" y="21469"/>
                      <wp:lineTo x="21469" y="21469"/>
                      <wp:lineTo x="2146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5_0.png"/>
                          <pic:cNvPicPr/>
                        </pic:nvPicPr>
                        <pic:blipFill>
                          <a:blip r:embed="rId16"/>
                          <a:stretch>
                            <a:fillRect/>
                          </a:stretch>
                        </pic:blipFill>
                        <pic:spPr>
                          <a:xfrm>
                            <a:off x="0" y="0"/>
                            <a:ext cx="4389120" cy="4389120"/>
                          </a:xfrm>
                          <a:prstGeom prst="rect">
                            <a:avLst/>
                          </a:prstGeom>
                        </pic:spPr>
                      </pic:pic>
                    </a:graphicData>
                  </a:graphic>
                  <wp14:sizeRelH relativeFrom="margin">
                    <wp14:pctWidth>0</wp14:pctWidth>
                  </wp14:sizeRelH>
                  <wp14:sizeRelV relativeFrom="margin">
                    <wp14:pctHeight>0</wp14:pctHeight>
                  </wp14:sizeRelV>
                </wp:anchor>
              </w:drawing>
            </w:r>
          </w:p>
        </w:tc>
      </w:tr>
    </w:tbl>
    <w:p w14:paraId="1720E9A7" w14:textId="77777777" w:rsidR="002503D9" w:rsidRDefault="002503D9">
      <w:pPr>
        <w:keepNext/>
        <w:spacing w:after="80"/>
        <w:jc w:val="center"/>
        <w:rPr>
          <w:i/>
          <w:sz w:val="16"/>
        </w:rPr>
      </w:pPr>
    </w:p>
    <w:p w14:paraId="5E94F0B9" w14:textId="77777777" w:rsidR="002503D9" w:rsidRDefault="002503D9">
      <w:pPr>
        <w:keepNext/>
        <w:spacing w:after="80"/>
        <w:jc w:val="center"/>
        <w:rPr>
          <w:i/>
          <w:sz w:val="16"/>
        </w:rPr>
      </w:pPr>
    </w:p>
    <w:p w14:paraId="47EC4774" w14:textId="77777777" w:rsidR="002503D9" w:rsidRDefault="002503D9">
      <w:pPr>
        <w:keepNext/>
        <w:spacing w:after="80"/>
        <w:jc w:val="center"/>
        <w:rPr>
          <w:i/>
          <w:sz w:val="16"/>
        </w:rPr>
      </w:pPr>
    </w:p>
    <w:p w14:paraId="52325020" w14:textId="77777777" w:rsidR="002503D9" w:rsidRDefault="002503D9">
      <w:pPr>
        <w:keepNext/>
        <w:spacing w:after="80"/>
        <w:jc w:val="center"/>
        <w:rPr>
          <w:i/>
          <w:sz w:val="16"/>
        </w:rPr>
      </w:pPr>
    </w:p>
    <w:p w14:paraId="5B763A14" w14:textId="77777777" w:rsidR="002503D9" w:rsidRDefault="002503D9">
      <w:pPr>
        <w:keepNext/>
        <w:spacing w:after="80"/>
        <w:jc w:val="center"/>
        <w:rPr>
          <w:i/>
          <w:sz w:val="16"/>
        </w:rPr>
      </w:pPr>
    </w:p>
    <w:p w14:paraId="2B1560CE" w14:textId="77777777" w:rsidR="002503D9" w:rsidRDefault="002503D9">
      <w:pPr>
        <w:keepNext/>
        <w:spacing w:after="80"/>
        <w:jc w:val="center"/>
        <w:rPr>
          <w:i/>
          <w:sz w:val="16"/>
        </w:rPr>
      </w:pPr>
    </w:p>
    <w:p w14:paraId="3300F685" w14:textId="77777777" w:rsidR="002503D9" w:rsidRDefault="002503D9">
      <w:pPr>
        <w:keepNext/>
        <w:spacing w:after="80"/>
        <w:jc w:val="center"/>
        <w:rPr>
          <w:i/>
          <w:sz w:val="16"/>
        </w:rPr>
      </w:pPr>
    </w:p>
    <w:p w14:paraId="76CD6152" w14:textId="6E2F98AC" w:rsidR="005D2CCE" w:rsidRDefault="00000000">
      <w:pPr>
        <w:keepNext/>
        <w:spacing w:after="80"/>
        <w:jc w:val="center"/>
      </w:pPr>
      <w:r>
        <w:rPr>
          <w:i/>
          <w:sz w:val="16"/>
        </w:rPr>
        <w:t>Figure 6. Q-Q plot</w:t>
      </w:r>
    </w:p>
    <w:tbl>
      <w:tblPr>
        <w:tblStyle w:val="TableGrid"/>
        <w:tblW w:w="0" w:type="auto"/>
        <w:jc w:val="center"/>
        <w:tblLayout w:type="fixed"/>
        <w:tblLook w:val="04A0" w:firstRow="1" w:lastRow="0" w:firstColumn="1" w:lastColumn="0" w:noHBand="0" w:noVBand="1"/>
      </w:tblPr>
      <w:tblGrid>
        <w:gridCol w:w="5040"/>
        <w:gridCol w:w="5040"/>
      </w:tblGrid>
      <w:tr w:rsidR="005D2CCE" w14:paraId="29B90C1D" w14:textId="77777777">
        <w:trPr>
          <w:jc w:val="center"/>
        </w:trPr>
        <w:tc>
          <w:tcPr>
            <w:tcW w:w="4608" w:type="dxa"/>
            <w:shd w:val="clear" w:color="auto" w:fill="EAF2F8"/>
            <w:vAlign w:val="center"/>
          </w:tcPr>
          <w:p w14:paraId="401B844B" w14:textId="77777777" w:rsidR="005D2CCE" w:rsidRDefault="00000000">
            <w:pPr>
              <w:keepLines/>
              <w:spacing w:after="0"/>
            </w:pPr>
            <w:r>
              <w:rPr>
                <w:b/>
                <w:sz w:val="18"/>
              </w:rPr>
              <w:t>Variable</w:t>
            </w:r>
          </w:p>
        </w:tc>
        <w:tc>
          <w:tcPr>
            <w:tcW w:w="4752" w:type="dxa"/>
            <w:shd w:val="clear" w:color="auto" w:fill="EAF2F8"/>
            <w:vAlign w:val="center"/>
          </w:tcPr>
          <w:p w14:paraId="7AAF14AC" w14:textId="77777777" w:rsidR="005D2CCE" w:rsidRDefault="00000000">
            <w:pPr>
              <w:keepLines/>
              <w:spacing w:after="0"/>
            </w:pPr>
            <w:r>
              <w:rPr>
                <w:b/>
                <w:sz w:val="18"/>
              </w:rPr>
              <w:t>Skewness</w:t>
            </w:r>
          </w:p>
        </w:tc>
      </w:tr>
      <w:tr w:rsidR="005D2CCE" w14:paraId="616AB8AB" w14:textId="77777777">
        <w:trPr>
          <w:jc w:val="center"/>
        </w:trPr>
        <w:tc>
          <w:tcPr>
            <w:tcW w:w="5040" w:type="dxa"/>
            <w:vAlign w:val="center"/>
          </w:tcPr>
          <w:p w14:paraId="3B12714D" w14:textId="77777777" w:rsidR="005D2CCE" w:rsidRDefault="00000000">
            <w:pPr>
              <w:keepLines/>
              <w:spacing w:after="0"/>
            </w:pPr>
            <w:r>
              <w:rPr>
                <w:sz w:val="18"/>
              </w:rPr>
              <w:t>Age</w:t>
            </w:r>
          </w:p>
        </w:tc>
        <w:tc>
          <w:tcPr>
            <w:tcW w:w="5040" w:type="dxa"/>
            <w:vAlign w:val="center"/>
          </w:tcPr>
          <w:p w14:paraId="4D917CBA" w14:textId="77777777" w:rsidR="005D2CCE" w:rsidRDefault="00000000">
            <w:pPr>
              <w:keepLines/>
              <w:spacing w:after="0"/>
            </w:pPr>
            <w:r>
              <w:rPr>
                <w:sz w:val="18"/>
              </w:rPr>
              <w:t>0.016</w:t>
            </w:r>
          </w:p>
        </w:tc>
      </w:tr>
      <w:tr w:rsidR="005D2CCE" w14:paraId="185ADC2F" w14:textId="77777777">
        <w:trPr>
          <w:jc w:val="center"/>
        </w:trPr>
        <w:tc>
          <w:tcPr>
            <w:tcW w:w="5040" w:type="dxa"/>
            <w:vAlign w:val="center"/>
          </w:tcPr>
          <w:p w14:paraId="563B74CD" w14:textId="77777777" w:rsidR="005D2CCE" w:rsidRDefault="00000000">
            <w:pPr>
              <w:keepLines/>
              <w:spacing w:after="0"/>
            </w:pPr>
            <w:r>
              <w:rPr>
                <w:sz w:val="18"/>
              </w:rPr>
              <w:t>CRP</w:t>
            </w:r>
          </w:p>
        </w:tc>
        <w:tc>
          <w:tcPr>
            <w:tcW w:w="5040" w:type="dxa"/>
            <w:vAlign w:val="center"/>
          </w:tcPr>
          <w:p w14:paraId="41FCBFE7" w14:textId="77777777" w:rsidR="005D2CCE" w:rsidRDefault="00000000">
            <w:pPr>
              <w:keepLines/>
              <w:spacing w:after="0"/>
            </w:pPr>
            <w:r>
              <w:rPr>
                <w:sz w:val="18"/>
              </w:rPr>
              <w:t>0.162</w:t>
            </w:r>
          </w:p>
        </w:tc>
      </w:tr>
    </w:tbl>
    <w:p w14:paraId="70BDB3B0" w14:textId="7F8FFF34" w:rsidR="005D2CCE" w:rsidRDefault="005D2CCE"/>
    <w:p w14:paraId="0ED78144" w14:textId="77777777" w:rsidR="00CA4459" w:rsidRDefault="00CA4459">
      <w:pPr>
        <w:pStyle w:val="Heading2"/>
      </w:pPr>
    </w:p>
    <w:p w14:paraId="57FE7B45" w14:textId="77777777" w:rsidR="00CA4459" w:rsidRDefault="00CA4459">
      <w:pPr>
        <w:pStyle w:val="Heading2"/>
      </w:pPr>
    </w:p>
    <w:p w14:paraId="2378B501" w14:textId="77777777" w:rsidR="00CA4459" w:rsidRDefault="00CA4459">
      <w:pPr>
        <w:pStyle w:val="Heading2"/>
      </w:pPr>
    </w:p>
    <w:p w14:paraId="38A3651E" w14:textId="6939E430" w:rsidR="005D2CCE" w:rsidRDefault="00000000">
      <w:pPr>
        <w:pStyle w:val="Heading2"/>
      </w:pPr>
      <w:r>
        <w:t>5.6 Categorical and Binary Distributions</w:t>
      </w:r>
    </w:p>
    <w:tbl>
      <w:tblPr>
        <w:tblW w:w="0" w:type="auto"/>
        <w:jc w:val="center"/>
        <w:tblLayout w:type="fixed"/>
        <w:tblLook w:val="04A0" w:firstRow="1" w:lastRow="0" w:firstColumn="1" w:lastColumn="0" w:noHBand="0" w:noVBand="1"/>
      </w:tblPr>
      <w:tblGrid>
        <w:gridCol w:w="9288"/>
      </w:tblGrid>
      <w:tr w:rsidR="005D2CCE" w14:paraId="7391E9FA" w14:textId="77777777">
        <w:trPr>
          <w:jc w:val="center"/>
        </w:trPr>
        <w:tc>
          <w:tcPr>
            <w:tcW w:w="9288" w:type="dxa"/>
            <w:tcBorders>
              <w:top w:val="nil"/>
              <w:left w:val="nil"/>
              <w:bottom w:val="nil"/>
              <w:right w:val="nil"/>
            </w:tcBorders>
            <w:vAlign w:val="center"/>
          </w:tcPr>
          <w:p w14:paraId="77B4F117" w14:textId="523E5A9C" w:rsidR="005D2CCE" w:rsidRDefault="00000000">
            <w:pPr>
              <w:spacing w:after="0"/>
              <w:jc w:val="center"/>
            </w:pPr>
            <w:r>
              <w:t>Bar and pie charts were used to summarize Gender, Low-grade fever, Fatigue or chronic tiredness and Joint pain. Binary symptom variables were interpreted using 0 = No and 1 = Yes where specified in the notebook. These plots provide a compact view of the composition of the patient records.</w:t>
            </w:r>
            <w:r>
              <w:rPr>
                <w:noProof/>
              </w:rPr>
              <w:drawing>
                <wp:inline distT="0" distB="0" distL="0" distR="0" wp14:anchorId="6376BD43" wp14:editId="5D47AEF8">
                  <wp:extent cx="5029200" cy="3383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6_0.png"/>
                          <pic:cNvPicPr/>
                        </pic:nvPicPr>
                        <pic:blipFill>
                          <a:blip r:embed="rId17"/>
                          <a:stretch>
                            <a:fillRect/>
                          </a:stretch>
                        </pic:blipFill>
                        <pic:spPr>
                          <a:xfrm>
                            <a:off x="0" y="0"/>
                            <a:ext cx="5029200" cy="3383280"/>
                          </a:xfrm>
                          <a:prstGeom prst="rect">
                            <a:avLst/>
                          </a:prstGeom>
                        </pic:spPr>
                      </pic:pic>
                    </a:graphicData>
                  </a:graphic>
                </wp:inline>
              </w:drawing>
            </w:r>
          </w:p>
        </w:tc>
      </w:tr>
    </w:tbl>
    <w:p w14:paraId="3FCA07F1" w14:textId="77777777" w:rsidR="005D2CCE" w:rsidRDefault="00000000">
      <w:pPr>
        <w:keepNext/>
        <w:spacing w:after="80"/>
        <w:jc w:val="center"/>
      </w:pPr>
      <w:r>
        <w:rPr>
          <w:i/>
          <w:sz w:val="16"/>
        </w:rPr>
        <w:t>Figure 7A. Gender distribution</w:t>
      </w:r>
    </w:p>
    <w:tbl>
      <w:tblPr>
        <w:tblW w:w="0" w:type="auto"/>
        <w:jc w:val="center"/>
        <w:tblLayout w:type="fixed"/>
        <w:tblLook w:val="04A0" w:firstRow="1" w:lastRow="0" w:firstColumn="1" w:lastColumn="0" w:noHBand="0" w:noVBand="1"/>
      </w:tblPr>
      <w:tblGrid>
        <w:gridCol w:w="9288"/>
      </w:tblGrid>
      <w:tr w:rsidR="005D2CCE" w14:paraId="36FB00C2" w14:textId="77777777">
        <w:trPr>
          <w:jc w:val="center"/>
        </w:trPr>
        <w:tc>
          <w:tcPr>
            <w:tcW w:w="9288" w:type="dxa"/>
            <w:tcBorders>
              <w:top w:val="nil"/>
              <w:left w:val="nil"/>
              <w:bottom w:val="nil"/>
              <w:right w:val="nil"/>
            </w:tcBorders>
            <w:vAlign w:val="center"/>
          </w:tcPr>
          <w:p w14:paraId="449F8696" w14:textId="77777777" w:rsidR="005D2CCE" w:rsidRDefault="00000000">
            <w:pPr>
              <w:spacing w:after="0"/>
              <w:jc w:val="center"/>
            </w:pPr>
            <w:r>
              <w:rPr>
                <w:noProof/>
              </w:rPr>
              <w:drawing>
                <wp:inline distT="0" distB="0" distL="0" distR="0" wp14:anchorId="2210550F" wp14:editId="679BE8AE">
                  <wp:extent cx="5029200" cy="31047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6_1.png"/>
                          <pic:cNvPicPr/>
                        </pic:nvPicPr>
                        <pic:blipFill>
                          <a:blip r:embed="rId18"/>
                          <a:stretch>
                            <a:fillRect/>
                          </a:stretch>
                        </pic:blipFill>
                        <pic:spPr>
                          <a:xfrm>
                            <a:off x="0" y="0"/>
                            <a:ext cx="5029200" cy="3104761"/>
                          </a:xfrm>
                          <a:prstGeom prst="rect">
                            <a:avLst/>
                          </a:prstGeom>
                        </pic:spPr>
                      </pic:pic>
                    </a:graphicData>
                  </a:graphic>
                </wp:inline>
              </w:drawing>
            </w:r>
          </w:p>
        </w:tc>
      </w:tr>
    </w:tbl>
    <w:p w14:paraId="5658EB44" w14:textId="77777777" w:rsidR="005D2CCE" w:rsidRDefault="00000000">
      <w:pPr>
        <w:keepNext/>
        <w:spacing w:after="80"/>
        <w:jc w:val="center"/>
      </w:pPr>
      <w:r>
        <w:rPr>
          <w:i/>
          <w:sz w:val="16"/>
        </w:rPr>
        <w:lastRenderedPageBreak/>
        <w:t>Figure 7B. Low-grade fever distribution</w:t>
      </w:r>
    </w:p>
    <w:tbl>
      <w:tblPr>
        <w:tblW w:w="0" w:type="auto"/>
        <w:jc w:val="center"/>
        <w:tblLayout w:type="fixed"/>
        <w:tblLook w:val="04A0" w:firstRow="1" w:lastRow="0" w:firstColumn="1" w:lastColumn="0" w:noHBand="0" w:noVBand="1"/>
      </w:tblPr>
      <w:tblGrid>
        <w:gridCol w:w="9288"/>
      </w:tblGrid>
      <w:tr w:rsidR="005D2CCE" w14:paraId="25B31B01" w14:textId="77777777">
        <w:trPr>
          <w:jc w:val="center"/>
        </w:trPr>
        <w:tc>
          <w:tcPr>
            <w:tcW w:w="9288" w:type="dxa"/>
            <w:tcBorders>
              <w:top w:val="nil"/>
              <w:left w:val="nil"/>
              <w:bottom w:val="nil"/>
              <w:right w:val="nil"/>
            </w:tcBorders>
            <w:vAlign w:val="center"/>
          </w:tcPr>
          <w:p w14:paraId="2C4672E9" w14:textId="77777777" w:rsidR="005D2CCE" w:rsidRDefault="00000000">
            <w:pPr>
              <w:spacing w:after="0"/>
              <w:jc w:val="center"/>
            </w:pPr>
            <w:r>
              <w:rPr>
                <w:noProof/>
              </w:rPr>
              <w:drawing>
                <wp:inline distT="0" distB="0" distL="0" distR="0" wp14:anchorId="633A38F2" wp14:editId="4BA77EAB">
                  <wp:extent cx="5029200" cy="35638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8_0.png"/>
                          <pic:cNvPicPr/>
                        </pic:nvPicPr>
                        <pic:blipFill>
                          <a:blip r:embed="rId19"/>
                          <a:stretch>
                            <a:fillRect/>
                          </a:stretch>
                        </pic:blipFill>
                        <pic:spPr>
                          <a:xfrm>
                            <a:off x="0" y="0"/>
                            <a:ext cx="5029200" cy="3563884"/>
                          </a:xfrm>
                          <a:prstGeom prst="rect">
                            <a:avLst/>
                          </a:prstGeom>
                        </pic:spPr>
                      </pic:pic>
                    </a:graphicData>
                  </a:graphic>
                </wp:inline>
              </w:drawing>
            </w:r>
          </w:p>
        </w:tc>
      </w:tr>
    </w:tbl>
    <w:p w14:paraId="631FBE57" w14:textId="77777777" w:rsidR="005D2CCE" w:rsidRDefault="00000000">
      <w:pPr>
        <w:keepNext/>
        <w:spacing w:after="80"/>
        <w:jc w:val="center"/>
      </w:pPr>
      <w:r>
        <w:rPr>
          <w:i/>
          <w:sz w:val="16"/>
        </w:rPr>
        <w:t>Figure 8A. Low-grade fever binary distribution</w:t>
      </w:r>
    </w:p>
    <w:tbl>
      <w:tblPr>
        <w:tblW w:w="0" w:type="auto"/>
        <w:jc w:val="center"/>
        <w:tblLayout w:type="fixed"/>
        <w:tblLook w:val="04A0" w:firstRow="1" w:lastRow="0" w:firstColumn="1" w:lastColumn="0" w:noHBand="0" w:noVBand="1"/>
      </w:tblPr>
      <w:tblGrid>
        <w:gridCol w:w="9288"/>
      </w:tblGrid>
      <w:tr w:rsidR="005D2CCE" w14:paraId="55B08F4D" w14:textId="77777777">
        <w:trPr>
          <w:jc w:val="center"/>
        </w:trPr>
        <w:tc>
          <w:tcPr>
            <w:tcW w:w="9288" w:type="dxa"/>
            <w:tcBorders>
              <w:top w:val="nil"/>
              <w:left w:val="nil"/>
              <w:bottom w:val="nil"/>
              <w:right w:val="nil"/>
            </w:tcBorders>
            <w:vAlign w:val="center"/>
          </w:tcPr>
          <w:p w14:paraId="53D60CA9" w14:textId="77777777" w:rsidR="005D2CCE" w:rsidRDefault="00000000">
            <w:pPr>
              <w:spacing w:after="0"/>
              <w:jc w:val="center"/>
            </w:pPr>
            <w:r>
              <w:rPr>
                <w:noProof/>
              </w:rPr>
              <w:drawing>
                <wp:inline distT="0" distB="0" distL="0" distR="0" wp14:anchorId="73B34F64" wp14:editId="40F9B766">
                  <wp:extent cx="5029200" cy="35638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c8_1.png"/>
                          <pic:cNvPicPr/>
                        </pic:nvPicPr>
                        <pic:blipFill>
                          <a:blip r:embed="rId20"/>
                          <a:stretch>
                            <a:fillRect/>
                          </a:stretch>
                        </pic:blipFill>
                        <pic:spPr>
                          <a:xfrm>
                            <a:off x="0" y="0"/>
                            <a:ext cx="5029200" cy="3563884"/>
                          </a:xfrm>
                          <a:prstGeom prst="rect">
                            <a:avLst/>
                          </a:prstGeom>
                        </pic:spPr>
                      </pic:pic>
                    </a:graphicData>
                  </a:graphic>
                </wp:inline>
              </w:drawing>
            </w:r>
          </w:p>
        </w:tc>
      </w:tr>
    </w:tbl>
    <w:p w14:paraId="2919A51C" w14:textId="77777777" w:rsidR="00CA4459" w:rsidRDefault="00CA4459">
      <w:pPr>
        <w:pStyle w:val="Heading1"/>
      </w:pPr>
    </w:p>
    <w:p w14:paraId="4D3BB188" w14:textId="77777777" w:rsidR="00CA4459" w:rsidRDefault="00CA4459">
      <w:pPr>
        <w:pStyle w:val="Heading1"/>
      </w:pPr>
    </w:p>
    <w:p w14:paraId="66CD1A20" w14:textId="4233832A" w:rsidR="005D2CCE" w:rsidRDefault="00000000">
      <w:pPr>
        <w:pStyle w:val="Heading1"/>
      </w:pPr>
      <w:r>
        <w:t>6. BIVARIATE ANALYSIS</w:t>
      </w:r>
    </w:p>
    <w:p w14:paraId="65702A58" w14:textId="77777777" w:rsidR="005D2CCE" w:rsidRDefault="00000000">
      <w:r>
        <w:t>Bivariate analysis examines two variables together to identify differences, associations and possible relationships. The Week 4 bivariate notebook includes numerical-vs-numerical, categorical-vs-numerical and categorical-vs-categorical comparisons.</w:t>
      </w:r>
    </w:p>
    <w:p w14:paraId="1B156151" w14:textId="77777777" w:rsidR="005D2CCE" w:rsidRDefault="00000000">
      <w:pPr>
        <w:pStyle w:val="Heading2"/>
      </w:pPr>
      <w:r>
        <w:t>6.1 Age Distribution by Diagnosis</w:t>
      </w:r>
    </w:p>
    <w:p w14:paraId="1E4310C2" w14:textId="77777777" w:rsidR="005D2CCE" w:rsidRDefault="00000000">
      <w:r>
        <w:t>Box plots were created for Age across diagnosis categories. Because the dataset contains many diagnosis categories, the visualization is split into two parts. The notebook also focuses on the top 10 diagnoses by frequency to make group comparisons easier to inspect.</w:t>
      </w:r>
    </w:p>
    <w:tbl>
      <w:tblPr>
        <w:tblW w:w="0" w:type="auto"/>
        <w:jc w:val="center"/>
        <w:tblLayout w:type="fixed"/>
        <w:tblLook w:val="04A0" w:firstRow="1" w:lastRow="0" w:firstColumn="1" w:lastColumn="0" w:noHBand="0" w:noVBand="1"/>
      </w:tblPr>
      <w:tblGrid>
        <w:gridCol w:w="9288"/>
      </w:tblGrid>
      <w:tr w:rsidR="005D2CCE" w14:paraId="62FC58D6" w14:textId="77777777">
        <w:trPr>
          <w:jc w:val="center"/>
        </w:trPr>
        <w:tc>
          <w:tcPr>
            <w:tcW w:w="9288" w:type="dxa"/>
            <w:tcBorders>
              <w:top w:val="nil"/>
              <w:left w:val="nil"/>
              <w:bottom w:val="nil"/>
              <w:right w:val="nil"/>
            </w:tcBorders>
            <w:vAlign w:val="center"/>
          </w:tcPr>
          <w:p w14:paraId="0DE69C06" w14:textId="77777777" w:rsidR="005D2CCE" w:rsidRDefault="00000000">
            <w:pPr>
              <w:spacing w:after="0"/>
              <w:jc w:val="center"/>
            </w:pPr>
            <w:r>
              <w:rPr>
                <w:noProof/>
              </w:rPr>
              <w:drawing>
                <wp:inline distT="0" distB="0" distL="0" distR="0" wp14:anchorId="46FD9880" wp14:editId="09D0352E">
                  <wp:extent cx="5623560" cy="58537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7_0.png"/>
                          <pic:cNvPicPr/>
                        </pic:nvPicPr>
                        <pic:blipFill>
                          <a:blip r:embed="rId21"/>
                          <a:stretch>
                            <a:fillRect/>
                          </a:stretch>
                        </pic:blipFill>
                        <pic:spPr>
                          <a:xfrm>
                            <a:off x="0" y="0"/>
                            <a:ext cx="5623560" cy="5853706"/>
                          </a:xfrm>
                          <a:prstGeom prst="rect">
                            <a:avLst/>
                          </a:prstGeom>
                        </pic:spPr>
                      </pic:pic>
                    </a:graphicData>
                  </a:graphic>
                </wp:inline>
              </w:drawing>
            </w:r>
          </w:p>
        </w:tc>
      </w:tr>
    </w:tbl>
    <w:p w14:paraId="4B0FFAEA" w14:textId="77777777" w:rsidR="00CA4459" w:rsidRDefault="00CA4459">
      <w:pPr>
        <w:pStyle w:val="Heading2"/>
      </w:pPr>
    </w:p>
    <w:p w14:paraId="4C7C50FD" w14:textId="77777777" w:rsidR="002503D9" w:rsidRDefault="002503D9">
      <w:pPr>
        <w:pStyle w:val="Heading2"/>
      </w:pPr>
    </w:p>
    <w:p w14:paraId="541629CA" w14:textId="583BC92F" w:rsidR="005D2CCE" w:rsidRDefault="00000000">
      <w:pPr>
        <w:pStyle w:val="Heading2"/>
      </w:pPr>
      <w:r>
        <w:t>6.2 Neutrophils by Diagnosis</w:t>
      </w:r>
    </w:p>
    <w:p w14:paraId="714E0BC9" w14:textId="77777777" w:rsidR="005D2CCE" w:rsidRDefault="00000000">
      <w:r>
        <w:t>The distribution of Neutrophils was compared across the top 8 diagnoses using box plots. This visualization helps identify differences in central tendency and variability between diagnosis groups.</w:t>
      </w:r>
    </w:p>
    <w:tbl>
      <w:tblPr>
        <w:tblW w:w="0" w:type="auto"/>
        <w:jc w:val="center"/>
        <w:tblLayout w:type="fixed"/>
        <w:tblLook w:val="04A0" w:firstRow="1" w:lastRow="0" w:firstColumn="1" w:lastColumn="0" w:noHBand="0" w:noVBand="1"/>
      </w:tblPr>
      <w:tblGrid>
        <w:gridCol w:w="9288"/>
      </w:tblGrid>
      <w:tr w:rsidR="005D2CCE" w14:paraId="2A82B9A9" w14:textId="77777777">
        <w:trPr>
          <w:jc w:val="center"/>
        </w:trPr>
        <w:tc>
          <w:tcPr>
            <w:tcW w:w="9288" w:type="dxa"/>
            <w:tcBorders>
              <w:top w:val="nil"/>
              <w:left w:val="nil"/>
              <w:bottom w:val="nil"/>
              <w:right w:val="nil"/>
            </w:tcBorders>
            <w:vAlign w:val="center"/>
          </w:tcPr>
          <w:p w14:paraId="5A272351" w14:textId="77777777" w:rsidR="005D2CCE" w:rsidRDefault="00000000">
            <w:pPr>
              <w:spacing w:after="0"/>
              <w:jc w:val="center"/>
            </w:pPr>
            <w:r>
              <w:rPr>
                <w:noProof/>
              </w:rPr>
              <w:drawing>
                <wp:anchor distT="0" distB="0" distL="114300" distR="114300" simplePos="0" relativeHeight="251661312" behindDoc="1" locked="0" layoutInCell="1" allowOverlap="1" wp14:anchorId="1394CE8D" wp14:editId="097A2A2D">
                  <wp:simplePos x="0" y="0"/>
                  <wp:positionH relativeFrom="column">
                    <wp:posOffset>-327660</wp:posOffset>
                  </wp:positionH>
                  <wp:positionV relativeFrom="paragraph">
                    <wp:posOffset>1285240</wp:posOffset>
                  </wp:positionV>
                  <wp:extent cx="5623560" cy="3749040"/>
                  <wp:effectExtent l="0" t="0" r="0" b="3810"/>
                  <wp:wrapTight wrapText="bothSides">
                    <wp:wrapPolygon edited="0">
                      <wp:start x="0" y="0"/>
                      <wp:lineTo x="0" y="21512"/>
                      <wp:lineTo x="21512" y="21512"/>
                      <wp:lineTo x="2151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8_0.png"/>
                          <pic:cNvPicPr/>
                        </pic:nvPicPr>
                        <pic:blipFill>
                          <a:blip r:embed="rId22"/>
                          <a:stretch>
                            <a:fillRect/>
                          </a:stretch>
                        </pic:blipFill>
                        <pic:spPr>
                          <a:xfrm>
                            <a:off x="0" y="0"/>
                            <a:ext cx="5623560" cy="3749040"/>
                          </a:xfrm>
                          <a:prstGeom prst="rect">
                            <a:avLst/>
                          </a:prstGeom>
                        </pic:spPr>
                      </pic:pic>
                    </a:graphicData>
                  </a:graphic>
                  <wp14:sizeRelH relativeFrom="margin">
                    <wp14:pctWidth>0</wp14:pctWidth>
                  </wp14:sizeRelH>
                  <wp14:sizeRelV relativeFrom="margin">
                    <wp14:pctHeight>0</wp14:pctHeight>
                  </wp14:sizeRelV>
                </wp:anchor>
              </w:drawing>
            </w:r>
          </w:p>
        </w:tc>
      </w:tr>
    </w:tbl>
    <w:p w14:paraId="74195D10" w14:textId="77777777" w:rsidR="005D2CCE" w:rsidRDefault="00000000">
      <w:pPr>
        <w:keepNext/>
        <w:spacing w:after="80"/>
        <w:jc w:val="center"/>
      </w:pPr>
      <w:r>
        <w:rPr>
          <w:i/>
          <w:sz w:val="16"/>
        </w:rPr>
        <w:t>Figure 10. Neutrophils distribution for the top 8 diagnoses</w:t>
      </w:r>
    </w:p>
    <w:p w14:paraId="0C141265" w14:textId="77777777" w:rsidR="005D2CCE" w:rsidRDefault="00000000">
      <w:r>
        <w:br w:type="page"/>
      </w:r>
    </w:p>
    <w:p w14:paraId="79126F99" w14:textId="77777777" w:rsidR="005D2CCE" w:rsidRDefault="00000000">
      <w:pPr>
        <w:pStyle w:val="Heading2"/>
      </w:pPr>
      <w:r>
        <w:lastRenderedPageBreak/>
        <w:t>6.3 WBC Count vs CRP</w:t>
      </w:r>
    </w:p>
    <w:p w14:paraId="535048A7" w14:textId="77777777" w:rsidR="005D2CCE" w:rsidRDefault="00000000">
      <w:r>
        <w:t xml:space="preserve">A </w:t>
      </w:r>
      <w:proofErr w:type="spellStart"/>
      <w:r>
        <w:t>hexbin</w:t>
      </w:r>
      <w:proofErr w:type="spellEnd"/>
      <w:r>
        <w:t xml:space="preserve"> plot was used to examine </w:t>
      </w:r>
      <w:proofErr w:type="spellStart"/>
      <w:r>
        <w:t>WBC_Count</w:t>
      </w:r>
      <w:proofErr w:type="spellEnd"/>
      <w:r>
        <w:t xml:space="preserve"> and CRP. </w:t>
      </w:r>
      <w:proofErr w:type="spellStart"/>
      <w:r>
        <w:t>Hexbinning</w:t>
      </w:r>
      <w:proofErr w:type="spellEnd"/>
      <w:r>
        <w:t xml:space="preserve"> is useful when many observations overlap because it groups nearby points into cells and represents the number of observations in each region.</w:t>
      </w:r>
    </w:p>
    <w:tbl>
      <w:tblPr>
        <w:tblW w:w="0" w:type="auto"/>
        <w:jc w:val="center"/>
        <w:tblLayout w:type="fixed"/>
        <w:tblLook w:val="04A0" w:firstRow="1" w:lastRow="0" w:firstColumn="1" w:lastColumn="0" w:noHBand="0" w:noVBand="1"/>
      </w:tblPr>
      <w:tblGrid>
        <w:gridCol w:w="9288"/>
      </w:tblGrid>
      <w:tr w:rsidR="005D2CCE" w14:paraId="7D843E35" w14:textId="77777777">
        <w:trPr>
          <w:jc w:val="center"/>
        </w:trPr>
        <w:tc>
          <w:tcPr>
            <w:tcW w:w="9288" w:type="dxa"/>
            <w:tcBorders>
              <w:top w:val="nil"/>
              <w:left w:val="nil"/>
              <w:bottom w:val="nil"/>
              <w:right w:val="nil"/>
            </w:tcBorders>
            <w:vAlign w:val="center"/>
          </w:tcPr>
          <w:p w14:paraId="4A00031D" w14:textId="77777777" w:rsidR="005D2CCE" w:rsidRDefault="00000000">
            <w:pPr>
              <w:spacing w:after="0"/>
              <w:jc w:val="center"/>
            </w:pPr>
            <w:r>
              <w:rPr>
                <w:noProof/>
              </w:rPr>
              <w:drawing>
                <wp:inline distT="0" distB="0" distL="0" distR="0" wp14:anchorId="69CCC716" wp14:editId="6FFE7CBE">
                  <wp:extent cx="5303520" cy="37767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6_0.png"/>
                          <pic:cNvPicPr/>
                        </pic:nvPicPr>
                        <pic:blipFill>
                          <a:blip r:embed="rId23"/>
                          <a:stretch>
                            <a:fillRect/>
                          </a:stretch>
                        </pic:blipFill>
                        <pic:spPr>
                          <a:xfrm>
                            <a:off x="0" y="0"/>
                            <a:ext cx="5303520" cy="3776749"/>
                          </a:xfrm>
                          <a:prstGeom prst="rect">
                            <a:avLst/>
                          </a:prstGeom>
                        </pic:spPr>
                      </pic:pic>
                    </a:graphicData>
                  </a:graphic>
                </wp:inline>
              </w:drawing>
            </w:r>
          </w:p>
        </w:tc>
      </w:tr>
    </w:tbl>
    <w:p w14:paraId="55536CD1" w14:textId="77777777" w:rsidR="005D2CCE" w:rsidRDefault="00000000">
      <w:pPr>
        <w:keepNext/>
        <w:spacing w:after="80"/>
        <w:jc w:val="center"/>
      </w:pPr>
      <w:r>
        <w:rPr>
          <w:i/>
          <w:sz w:val="16"/>
        </w:rPr>
        <w:t xml:space="preserve">Figure 11. WBC Count versus CRP using a </w:t>
      </w:r>
      <w:proofErr w:type="spellStart"/>
      <w:r>
        <w:rPr>
          <w:i/>
          <w:sz w:val="16"/>
        </w:rPr>
        <w:t>hexbin</w:t>
      </w:r>
      <w:proofErr w:type="spellEnd"/>
      <w:r>
        <w:rPr>
          <w:i/>
          <w:sz w:val="16"/>
        </w:rPr>
        <w:t xml:space="preserve"> plot</w:t>
      </w:r>
    </w:p>
    <w:p w14:paraId="7C82679D" w14:textId="77777777" w:rsidR="005D2CCE" w:rsidRDefault="00000000">
      <w:pPr>
        <w:pStyle w:val="Heading2"/>
      </w:pPr>
      <w:r>
        <w:t>6.4 Gender and ANA Status</w:t>
      </w:r>
    </w:p>
    <w:p w14:paraId="31CDDC23" w14:textId="77777777" w:rsidR="005D2CCE" w:rsidRDefault="00000000">
      <w:r>
        <w:t>A cross-tabulation of Gender and ANA was visualized with a bar chart. This provides a direct comparison of ANA status counts within the gender categories.</w:t>
      </w:r>
    </w:p>
    <w:tbl>
      <w:tblPr>
        <w:tblW w:w="0" w:type="auto"/>
        <w:jc w:val="center"/>
        <w:tblLayout w:type="fixed"/>
        <w:tblLook w:val="04A0" w:firstRow="1" w:lastRow="0" w:firstColumn="1" w:lastColumn="0" w:noHBand="0" w:noVBand="1"/>
      </w:tblPr>
      <w:tblGrid>
        <w:gridCol w:w="9288"/>
      </w:tblGrid>
      <w:tr w:rsidR="005D2CCE" w14:paraId="55BDC206" w14:textId="77777777">
        <w:trPr>
          <w:jc w:val="center"/>
        </w:trPr>
        <w:tc>
          <w:tcPr>
            <w:tcW w:w="9288" w:type="dxa"/>
            <w:tcBorders>
              <w:top w:val="nil"/>
              <w:left w:val="nil"/>
              <w:bottom w:val="nil"/>
              <w:right w:val="nil"/>
            </w:tcBorders>
            <w:vAlign w:val="center"/>
          </w:tcPr>
          <w:p w14:paraId="4182E5FC" w14:textId="77777777" w:rsidR="005D2CCE" w:rsidRDefault="00000000">
            <w:pPr>
              <w:spacing w:after="0"/>
              <w:jc w:val="center"/>
            </w:pPr>
            <w:r>
              <w:rPr>
                <w:noProof/>
              </w:rPr>
              <w:drawing>
                <wp:inline distT="0" distB="0" distL="0" distR="0" wp14:anchorId="1104787E" wp14:editId="738F29CD">
                  <wp:extent cx="5303520" cy="35407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9_0.png"/>
                          <pic:cNvPicPr/>
                        </pic:nvPicPr>
                        <pic:blipFill>
                          <a:blip r:embed="rId24"/>
                          <a:stretch>
                            <a:fillRect/>
                          </a:stretch>
                        </pic:blipFill>
                        <pic:spPr>
                          <a:xfrm>
                            <a:off x="0" y="0"/>
                            <a:ext cx="5303520" cy="3540702"/>
                          </a:xfrm>
                          <a:prstGeom prst="rect">
                            <a:avLst/>
                          </a:prstGeom>
                        </pic:spPr>
                      </pic:pic>
                    </a:graphicData>
                  </a:graphic>
                </wp:inline>
              </w:drawing>
            </w:r>
          </w:p>
        </w:tc>
      </w:tr>
    </w:tbl>
    <w:p w14:paraId="6BC932F9" w14:textId="77777777" w:rsidR="005D2CCE" w:rsidRDefault="00000000">
      <w:pPr>
        <w:keepNext/>
        <w:spacing w:after="80"/>
        <w:jc w:val="center"/>
      </w:pPr>
      <w:r>
        <w:rPr>
          <w:i/>
          <w:sz w:val="16"/>
        </w:rPr>
        <w:lastRenderedPageBreak/>
        <w:t>Figure 12. ANA status by gender</w:t>
      </w:r>
    </w:p>
    <w:p w14:paraId="20B56FA6" w14:textId="77777777" w:rsidR="005D2CCE" w:rsidRDefault="00000000">
      <w:pPr>
        <w:pStyle w:val="Heading2"/>
      </w:pPr>
      <w:r>
        <w:t>6.5 Gender Distribution across Top Diagnoses</w:t>
      </w:r>
    </w:p>
    <w:p w14:paraId="6B88EA13" w14:textId="77777777" w:rsidR="005D2CCE" w:rsidRDefault="00000000">
      <w:r>
        <w:t>For the ten most frequent diagnoses, Gender was cross-tabulated and displayed as a stacked bar chart. The visualization shows how the gender composition varies across these diagnosis groups.</w:t>
      </w:r>
    </w:p>
    <w:tbl>
      <w:tblPr>
        <w:tblW w:w="0" w:type="auto"/>
        <w:jc w:val="center"/>
        <w:tblLayout w:type="fixed"/>
        <w:tblLook w:val="04A0" w:firstRow="1" w:lastRow="0" w:firstColumn="1" w:lastColumn="0" w:noHBand="0" w:noVBand="1"/>
      </w:tblPr>
      <w:tblGrid>
        <w:gridCol w:w="9288"/>
      </w:tblGrid>
      <w:tr w:rsidR="005D2CCE" w14:paraId="62059B3E" w14:textId="77777777">
        <w:trPr>
          <w:jc w:val="center"/>
        </w:trPr>
        <w:tc>
          <w:tcPr>
            <w:tcW w:w="9288" w:type="dxa"/>
            <w:tcBorders>
              <w:top w:val="nil"/>
              <w:left w:val="nil"/>
              <w:bottom w:val="nil"/>
              <w:right w:val="nil"/>
            </w:tcBorders>
            <w:vAlign w:val="center"/>
          </w:tcPr>
          <w:p w14:paraId="7E88D2A2" w14:textId="77777777" w:rsidR="005D2CCE" w:rsidRDefault="00000000">
            <w:pPr>
              <w:spacing w:after="0"/>
              <w:jc w:val="center"/>
            </w:pPr>
            <w:r>
              <w:rPr>
                <w:noProof/>
              </w:rPr>
              <w:drawing>
                <wp:inline distT="0" distB="0" distL="0" distR="0" wp14:anchorId="564387DF" wp14:editId="77C04D26">
                  <wp:extent cx="5623560" cy="36362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10_0.png"/>
                          <pic:cNvPicPr/>
                        </pic:nvPicPr>
                        <pic:blipFill>
                          <a:blip r:embed="rId25"/>
                          <a:stretch>
                            <a:fillRect/>
                          </a:stretch>
                        </pic:blipFill>
                        <pic:spPr>
                          <a:xfrm>
                            <a:off x="0" y="0"/>
                            <a:ext cx="5623560" cy="3636247"/>
                          </a:xfrm>
                          <a:prstGeom prst="rect">
                            <a:avLst/>
                          </a:prstGeom>
                        </pic:spPr>
                      </pic:pic>
                    </a:graphicData>
                  </a:graphic>
                </wp:inline>
              </w:drawing>
            </w:r>
          </w:p>
        </w:tc>
      </w:tr>
    </w:tbl>
    <w:p w14:paraId="0C21863F" w14:textId="77777777" w:rsidR="005D2CCE" w:rsidRDefault="00000000">
      <w:pPr>
        <w:keepNext/>
        <w:spacing w:after="80"/>
        <w:jc w:val="center"/>
      </w:pPr>
      <w:r>
        <w:rPr>
          <w:i/>
          <w:sz w:val="16"/>
        </w:rPr>
        <w:t>Figure 13. Gender distribution for the top 10 diagnoses</w:t>
      </w:r>
    </w:p>
    <w:p w14:paraId="7D27E7DD" w14:textId="77777777" w:rsidR="005D2CCE" w:rsidRDefault="00000000">
      <w:pPr>
        <w:pStyle w:val="Heading2"/>
      </w:pPr>
      <w:r>
        <w:t>6.6 CRP by Anti-dsDNA Status</w:t>
      </w:r>
    </w:p>
    <w:p w14:paraId="7EF70656" w14:textId="77777777" w:rsidR="005D2CCE" w:rsidRDefault="00000000">
      <w:r>
        <w:t>A box plot compares CRP distributions across Anti-dsDNA status categories. This allows the spread and central tendency of CRP to be inspected separately for the antibody-status groups.</w:t>
      </w:r>
    </w:p>
    <w:tbl>
      <w:tblPr>
        <w:tblW w:w="0" w:type="auto"/>
        <w:jc w:val="center"/>
        <w:tblLayout w:type="fixed"/>
        <w:tblLook w:val="04A0" w:firstRow="1" w:lastRow="0" w:firstColumn="1" w:lastColumn="0" w:noHBand="0" w:noVBand="1"/>
      </w:tblPr>
      <w:tblGrid>
        <w:gridCol w:w="9288"/>
      </w:tblGrid>
      <w:tr w:rsidR="005D2CCE" w14:paraId="5584C98E" w14:textId="77777777">
        <w:trPr>
          <w:jc w:val="center"/>
        </w:trPr>
        <w:tc>
          <w:tcPr>
            <w:tcW w:w="9288" w:type="dxa"/>
            <w:tcBorders>
              <w:top w:val="nil"/>
              <w:left w:val="nil"/>
              <w:bottom w:val="nil"/>
              <w:right w:val="nil"/>
            </w:tcBorders>
            <w:vAlign w:val="center"/>
          </w:tcPr>
          <w:p w14:paraId="65BB1796" w14:textId="77777777" w:rsidR="005D2CCE" w:rsidRDefault="00000000">
            <w:pPr>
              <w:spacing w:after="0"/>
              <w:jc w:val="center"/>
            </w:pPr>
            <w:r>
              <w:rPr>
                <w:noProof/>
              </w:rPr>
              <w:drawing>
                <wp:inline distT="0" distB="0" distL="0" distR="0" wp14:anchorId="275CB486" wp14:editId="2A864D20">
                  <wp:extent cx="4389120" cy="33873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11_0.png"/>
                          <pic:cNvPicPr/>
                        </pic:nvPicPr>
                        <pic:blipFill>
                          <a:blip r:embed="rId26"/>
                          <a:stretch>
                            <a:fillRect/>
                          </a:stretch>
                        </pic:blipFill>
                        <pic:spPr>
                          <a:xfrm>
                            <a:off x="0" y="0"/>
                            <a:ext cx="4389120" cy="3387334"/>
                          </a:xfrm>
                          <a:prstGeom prst="rect">
                            <a:avLst/>
                          </a:prstGeom>
                        </pic:spPr>
                      </pic:pic>
                    </a:graphicData>
                  </a:graphic>
                </wp:inline>
              </w:drawing>
            </w:r>
          </w:p>
        </w:tc>
      </w:tr>
    </w:tbl>
    <w:p w14:paraId="2C23B73B" w14:textId="54673EBF" w:rsidR="005D2CCE" w:rsidRDefault="00000000" w:rsidP="00CA4459">
      <w:r>
        <w:br w:type="page"/>
      </w:r>
      <w:r>
        <w:lastRenderedPageBreak/>
        <w:t>6.7 Fatigue by Gender and Hemoglobin by Gender</w:t>
      </w:r>
    </w:p>
    <w:p w14:paraId="7139193D" w14:textId="77777777" w:rsidR="005D2CCE" w:rsidRDefault="00000000">
      <w:r>
        <w:t>The notebook compares Fatigue / chronic tiredness counts across Gender and also compares Hemoglobin distributions by Gender. These plots demonstrate how categorical grouping can be combined with either counts or numerical distributions.</w:t>
      </w:r>
    </w:p>
    <w:tbl>
      <w:tblPr>
        <w:tblW w:w="0" w:type="auto"/>
        <w:jc w:val="center"/>
        <w:tblLayout w:type="fixed"/>
        <w:tblLook w:val="04A0" w:firstRow="1" w:lastRow="0" w:firstColumn="1" w:lastColumn="0" w:noHBand="0" w:noVBand="1"/>
      </w:tblPr>
      <w:tblGrid>
        <w:gridCol w:w="9288"/>
      </w:tblGrid>
      <w:tr w:rsidR="005D2CCE" w14:paraId="6DC4ED9B" w14:textId="77777777">
        <w:trPr>
          <w:jc w:val="center"/>
        </w:trPr>
        <w:tc>
          <w:tcPr>
            <w:tcW w:w="9288" w:type="dxa"/>
            <w:tcBorders>
              <w:top w:val="nil"/>
              <w:left w:val="nil"/>
              <w:bottom w:val="nil"/>
              <w:right w:val="nil"/>
            </w:tcBorders>
            <w:vAlign w:val="center"/>
          </w:tcPr>
          <w:p w14:paraId="368A2BF4" w14:textId="77777777" w:rsidR="005D2CCE" w:rsidRDefault="00000000">
            <w:pPr>
              <w:spacing w:after="0"/>
              <w:jc w:val="center"/>
            </w:pPr>
            <w:r>
              <w:rPr>
                <w:noProof/>
              </w:rPr>
              <w:drawing>
                <wp:inline distT="0" distB="0" distL="0" distR="0" wp14:anchorId="7D49934C" wp14:editId="0AA4C02D">
                  <wp:extent cx="4389120" cy="31169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12_0.png"/>
                          <pic:cNvPicPr/>
                        </pic:nvPicPr>
                        <pic:blipFill>
                          <a:blip r:embed="rId27"/>
                          <a:stretch>
                            <a:fillRect/>
                          </a:stretch>
                        </pic:blipFill>
                        <pic:spPr>
                          <a:xfrm>
                            <a:off x="0" y="0"/>
                            <a:ext cx="4389120" cy="3116911"/>
                          </a:xfrm>
                          <a:prstGeom prst="rect">
                            <a:avLst/>
                          </a:prstGeom>
                        </pic:spPr>
                      </pic:pic>
                    </a:graphicData>
                  </a:graphic>
                </wp:inline>
              </w:drawing>
            </w:r>
          </w:p>
        </w:tc>
      </w:tr>
    </w:tbl>
    <w:p w14:paraId="36DC3577" w14:textId="77777777" w:rsidR="005D2CCE" w:rsidRDefault="00000000">
      <w:pPr>
        <w:keepNext/>
        <w:spacing w:after="80"/>
        <w:jc w:val="center"/>
      </w:pPr>
      <w:r>
        <w:rPr>
          <w:i/>
          <w:sz w:val="16"/>
        </w:rPr>
        <w:t>Figure 15. Fatigue / chronic tiredness by gender</w:t>
      </w:r>
    </w:p>
    <w:tbl>
      <w:tblPr>
        <w:tblW w:w="0" w:type="auto"/>
        <w:jc w:val="center"/>
        <w:tblLayout w:type="fixed"/>
        <w:tblLook w:val="04A0" w:firstRow="1" w:lastRow="0" w:firstColumn="1" w:lastColumn="0" w:noHBand="0" w:noVBand="1"/>
      </w:tblPr>
      <w:tblGrid>
        <w:gridCol w:w="9288"/>
      </w:tblGrid>
      <w:tr w:rsidR="005D2CCE" w14:paraId="33F0B751" w14:textId="77777777">
        <w:trPr>
          <w:jc w:val="center"/>
        </w:trPr>
        <w:tc>
          <w:tcPr>
            <w:tcW w:w="9288" w:type="dxa"/>
            <w:tcBorders>
              <w:top w:val="nil"/>
              <w:left w:val="nil"/>
              <w:bottom w:val="nil"/>
              <w:right w:val="nil"/>
            </w:tcBorders>
            <w:vAlign w:val="center"/>
          </w:tcPr>
          <w:p w14:paraId="38FBEE46" w14:textId="77777777" w:rsidR="005D2CCE" w:rsidRDefault="00000000">
            <w:pPr>
              <w:spacing w:after="0"/>
              <w:jc w:val="center"/>
            </w:pPr>
            <w:r>
              <w:rPr>
                <w:noProof/>
              </w:rPr>
              <w:drawing>
                <wp:inline distT="0" distB="0" distL="0" distR="0" wp14:anchorId="6D6D31AC" wp14:editId="11177D96">
                  <wp:extent cx="4389120" cy="33873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13_0.png"/>
                          <pic:cNvPicPr/>
                        </pic:nvPicPr>
                        <pic:blipFill>
                          <a:blip r:embed="rId28"/>
                          <a:stretch>
                            <a:fillRect/>
                          </a:stretch>
                        </pic:blipFill>
                        <pic:spPr>
                          <a:xfrm>
                            <a:off x="0" y="0"/>
                            <a:ext cx="4389120" cy="3387334"/>
                          </a:xfrm>
                          <a:prstGeom prst="rect">
                            <a:avLst/>
                          </a:prstGeom>
                        </pic:spPr>
                      </pic:pic>
                    </a:graphicData>
                  </a:graphic>
                </wp:inline>
              </w:drawing>
            </w:r>
          </w:p>
        </w:tc>
      </w:tr>
    </w:tbl>
    <w:p w14:paraId="34B567A2" w14:textId="77777777" w:rsidR="005D2CCE" w:rsidRDefault="00000000">
      <w:pPr>
        <w:keepNext/>
        <w:spacing w:after="80"/>
        <w:jc w:val="center"/>
      </w:pPr>
      <w:r>
        <w:rPr>
          <w:i/>
          <w:sz w:val="16"/>
        </w:rPr>
        <w:t>Figure 16. Hemoglobin distribution by gender</w:t>
      </w:r>
    </w:p>
    <w:p w14:paraId="2E557716" w14:textId="77777777" w:rsidR="005D2CCE" w:rsidRDefault="00000000">
      <w:pPr>
        <w:pStyle w:val="Heading2"/>
      </w:pPr>
      <w:r>
        <w:t>6.8 Joint Pain by Gender</w:t>
      </w:r>
    </w:p>
    <w:p w14:paraId="1FC65A8A" w14:textId="77777777" w:rsidR="005D2CCE" w:rsidRDefault="00000000">
      <w:r>
        <w:t>The notebook calculates the mean of the binary Joint pain variable within each Gender group and converts it to a percentage. This gives the percentage of records marked as having joint pain for each gender category.</w:t>
      </w:r>
    </w:p>
    <w:tbl>
      <w:tblPr>
        <w:tblW w:w="0" w:type="auto"/>
        <w:jc w:val="center"/>
        <w:tblLayout w:type="fixed"/>
        <w:tblLook w:val="04A0" w:firstRow="1" w:lastRow="0" w:firstColumn="1" w:lastColumn="0" w:noHBand="0" w:noVBand="1"/>
      </w:tblPr>
      <w:tblGrid>
        <w:gridCol w:w="9288"/>
      </w:tblGrid>
      <w:tr w:rsidR="005D2CCE" w14:paraId="76E4164B" w14:textId="77777777">
        <w:trPr>
          <w:jc w:val="center"/>
        </w:trPr>
        <w:tc>
          <w:tcPr>
            <w:tcW w:w="9288" w:type="dxa"/>
            <w:tcBorders>
              <w:top w:val="nil"/>
              <w:left w:val="nil"/>
              <w:bottom w:val="nil"/>
              <w:right w:val="nil"/>
            </w:tcBorders>
            <w:vAlign w:val="center"/>
          </w:tcPr>
          <w:p w14:paraId="178C27EB" w14:textId="77777777" w:rsidR="005D2CCE" w:rsidRDefault="00000000">
            <w:pPr>
              <w:spacing w:after="0"/>
              <w:jc w:val="center"/>
            </w:pPr>
            <w:r>
              <w:rPr>
                <w:noProof/>
              </w:rPr>
              <w:lastRenderedPageBreak/>
              <w:drawing>
                <wp:inline distT="0" distB="0" distL="0" distR="0" wp14:anchorId="4D399EC3" wp14:editId="368C6C51">
                  <wp:extent cx="5029200" cy="41767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15_1.png"/>
                          <pic:cNvPicPr/>
                        </pic:nvPicPr>
                        <pic:blipFill>
                          <a:blip r:embed="rId29"/>
                          <a:stretch>
                            <a:fillRect/>
                          </a:stretch>
                        </pic:blipFill>
                        <pic:spPr>
                          <a:xfrm>
                            <a:off x="0" y="0"/>
                            <a:ext cx="5029200" cy="4176793"/>
                          </a:xfrm>
                          <a:prstGeom prst="rect">
                            <a:avLst/>
                          </a:prstGeom>
                        </pic:spPr>
                      </pic:pic>
                    </a:graphicData>
                  </a:graphic>
                </wp:inline>
              </w:drawing>
            </w:r>
          </w:p>
        </w:tc>
      </w:tr>
    </w:tbl>
    <w:p w14:paraId="273836BB" w14:textId="77777777" w:rsidR="005D2CCE" w:rsidRDefault="00000000">
      <w:pPr>
        <w:keepNext/>
        <w:spacing w:after="80"/>
        <w:jc w:val="center"/>
      </w:pPr>
      <w:r>
        <w:rPr>
          <w:i/>
          <w:sz w:val="16"/>
        </w:rPr>
        <w:t>Figure 17. Percentage of patients with joint pain by gender</w:t>
      </w:r>
    </w:p>
    <w:p w14:paraId="32986499" w14:textId="77777777" w:rsidR="005D2CCE" w:rsidRDefault="00000000">
      <w:pPr>
        <w:pStyle w:val="Heading2"/>
      </w:pPr>
      <w:r>
        <w:t>6.9 Joint Pain and Joint Stiffness by Gender</w:t>
      </w:r>
    </w:p>
    <w:p w14:paraId="1B58120F" w14:textId="77777777" w:rsidR="005D2CCE" w:rsidRDefault="00000000">
      <w:r>
        <w:t>Joint pain and stiffness are compared using grouped bars after aggregating the binary symptom indicators by Gender. The plot supports a direct comparison of the number of records associated with the two symptoms.</w:t>
      </w:r>
    </w:p>
    <w:tbl>
      <w:tblPr>
        <w:tblW w:w="0" w:type="auto"/>
        <w:jc w:val="center"/>
        <w:tblLayout w:type="fixed"/>
        <w:tblLook w:val="04A0" w:firstRow="1" w:lastRow="0" w:firstColumn="1" w:lastColumn="0" w:noHBand="0" w:noVBand="1"/>
      </w:tblPr>
      <w:tblGrid>
        <w:gridCol w:w="9288"/>
      </w:tblGrid>
      <w:tr w:rsidR="005D2CCE" w14:paraId="13731C57" w14:textId="77777777">
        <w:trPr>
          <w:jc w:val="center"/>
        </w:trPr>
        <w:tc>
          <w:tcPr>
            <w:tcW w:w="9288" w:type="dxa"/>
            <w:tcBorders>
              <w:top w:val="nil"/>
              <w:left w:val="nil"/>
              <w:bottom w:val="nil"/>
              <w:right w:val="nil"/>
            </w:tcBorders>
            <w:vAlign w:val="center"/>
          </w:tcPr>
          <w:p w14:paraId="1CB98013" w14:textId="77777777" w:rsidR="005D2CCE" w:rsidRDefault="00000000">
            <w:pPr>
              <w:spacing w:after="0"/>
              <w:jc w:val="center"/>
            </w:pPr>
            <w:r>
              <w:rPr>
                <w:noProof/>
              </w:rPr>
              <w:drawing>
                <wp:inline distT="0" distB="0" distL="0" distR="0" wp14:anchorId="44243239" wp14:editId="3BA78388">
                  <wp:extent cx="5394960" cy="33462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16_0.png"/>
                          <pic:cNvPicPr/>
                        </pic:nvPicPr>
                        <pic:blipFill>
                          <a:blip r:embed="rId30"/>
                          <a:stretch>
                            <a:fillRect/>
                          </a:stretch>
                        </pic:blipFill>
                        <pic:spPr>
                          <a:xfrm>
                            <a:off x="0" y="0"/>
                            <a:ext cx="5394960" cy="3346241"/>
                          </a:xfrm>
                          <a:prstGeom prst="rect">
                            <a:avLst/>
                          </a:prstGeom>
                        </pic:spPr>
                      </pic:pic>
                    </a:graphicData>
                  </a:graphic>
                </wp:inline>
              </w:drawing>
            </w:r>
          </w:p>
        </w:tc>
      </w:tr>
    </w:tbl>
    <w:p w14:paraId="4212FB5D" w14:textId="77777777" w:rsidR="005D2CCE" w:rsidRDefault="00000000">
      <w:pPr>
        <w:keepNext/>
        <w:spacing w:after="80"/>
        <w:jc w:val="center"/>
      </w:pPr>
      <w:r>
        <w:rPr>
          <w:i/>
          <w:sz w:val="16"/>
        </w:rPr>
        <w:t>Figure 18. Joint pain versus joint stiffness by gender</w:t>
      </w:r>
    </w:p>
    <w:p w14:paraId="6D41FCBE" w14:textId="77777777" w:rsidR="005D2CCE" w:rsidRDefault="00000000">
      <w:r>
        <w:br w:type="page"/>
      </w:r>
    </w:p>
    <w:p w14:paraId="15AC978B" w14:textId="77777777" w:rsidR="00CA4459" w:rsidRDefault="00CA4459">
      <w:pPr>
        <w:pStyle w:val="Heading1"/>
      </w:pPr>
    </w:p>
    <w:p w14:paraId="0B02C9A4" w14:textId="77777777" w:rsidR="00CA4459" w:rsidRDefault="00CA4459">
      <w:pPr>
        <w:pStyle w:val="Heading1"/>
      </w:pPr>
    </w:p>
    <w:p w14:paraId="1789FCB0" w14:textId="193E6DB0" w:rsidR="005D2CCE" w:rsidRDefault="00000000">
      <w:pPr>
        <w:pStyle w:val="Heading1"/>
      </w:pPr>
      <w:r>
        <w:t>7. ADDITIONAL RELATIONSHIP ANALYSIS</w:t>
      </w:r>
    </w:p>
    <w:p w14:paraId="23AFA290" w14:textId="77777777" w:rsidR="005D2CCE" w:rsidRDefault="00000000">
      <w:r>
        <w:t>The bivariate notebook also contains broader relationship visualizations. These extend the basic pairwise analysis and help examine how several related measurements behave together.</w:t>
      </w:r>
    </w:p>
    <w:p w14:paraId="23FC31C0" w14:textId="77777777" w:rsidR="005D2CCE" w:rsidRDefault="00000000">
      <w:pPr>
        <w:pStyle w:val="Heading2"/>
      </w:pPr>
      <w:r>
        <w:t>7.1 Correlation Matrix</w:t>
      </w:r>
    </w:p>
    <w:p w14:paraId="1D0D5883" w14:textId="77777777" w:rsidR="005D2CCE" w:rsidRDefault="00000000">
      <w:r>
        <w:t>A correlation heatmap was created for Age, RBC_Count, Hemoglobin, Hematocrit, WBC_Count, PLT_Count, CRP and ESR. The matrix provides pairwise correlation coefficients and can be used to identify measurements that move together or show relatively weak linear association.</w:t>
      </w:r>
    </w:p>
    <w:tbl>
      <w:tblPr>
        <w:tblW w:w="0" w:type="auto"/>
        <w:jc w:val="center"/>
        <w:tblLayout w:type="fixed"/>
        <w:tblLook w:val="04A0" w:firstRow="1" w:lastRow="0" w:firstColumn="1" w:lastColumn="0" w:noHBand="0" w:noVBand="1"/>
      </w:tblPr>
      <w:tblGrid>
        <w:gridCol w:w="9288"/>
      </w:tblGrid>
      <w:tr w:rsidR="005D2CCE" w14:paraId="147C6FBD" w14:textId="77777777">
        <w:trPr>
          <w:jc w:val="center"/>
        </w:trPr>
        <w:tc>
          <w:tcPr>
            <w:tcW w:w="9288" w:type="dxa"/>
            <w:tcBorders>
              <w:top w:val="nil"/>
              <w:left w:val="nil"/>
              <w:bottom w:val="nil"/>
              <w:right w:val="nil"/>
            </w:tcBorders>
            <w:vAlign w:val="center"/>
          </w:tcPr>
          <w:p w14:paraId="24095130" w14:textId="77777777" w:rsidR="005D2CCE" w:rsidRDefault="00000000">
            <w:pPr>
              <w:spacing w:after="0"/>
              <w:jc w:val="center"/>
            </w:pPr>
            <w:r>
              <w:rPr>
                <w:noProof/>
              </w:rPr>
              <w:drawing>
                <wp:anchor distT="0" distB="0" distL="114300" distR="114300" simplePos="0" relativeHeight="251658240" behindDoc="1" locked="0" layoutInCell="1" allowOverlap="1" wp14:anchorId="246DD58B" wp14:editId="6F6D03E0">
                  <wp:simplePos x="0" y="0"/>
                  <wp:positionH relativeFrom="column">
                    <wp:posOffset>-22860</wp:posOffset>
                  </wp:positionH>
                  <wp:positionV relativeFrom="paragraph">
                    <wp:posOffset>743585</wp:posOffset>
                  </wp:positionV>
                  <wp:extent cx="5303520" cy="4442460"/>
                  <wp:effectExtent l="0" t="0" r="0" b="0"/>
                  <wp:wrapTight wrapText="bothSides">
                    <wp:wrapPolygon edited="0">
                      <wp:start x="0" y="0"/>
                      <wp:lineTo x="0" y="21489"/>
                      <wp:lineTo x="21491" y="21489"/>
                      <wp:lineTo x="2149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20_0.png"/>
                          <pic:cNvPicPr/>
                        </pic:nvPicPr>
                        <pic:blipFill>
                          <a:blip r:embed="rId31"/>
                          <a:stretch>
                            <a:fillRect/>
                          </a:stretch>
                        </pic:blipFill>
                        <pic:spPr>
                          <a:xfrm>
                            <a:off x="0" y="0"/>
                            <a:ext cx="5303520" cy="4442460"/>
                          </a:xfrm>
                          <a:prstGeom prst="rect">
                            <a:avLst/>
                          </a:prstGeom>
                        </pic:spPr>
                      </pic:pic>
                    </a:graphicData>
                  </a:graphic>
                  <wp14:sizeRelH relativeFrom="margin">
                    <wp14:pctWidth>0</wp14:pctWidth>
                  </wp14:sizeRelH>
                  <wp14:sizeRelV relativeFrom="margin">
                    <wp14:pctHeight>0</wp14:pctHeight>
                  </wp14:sizeRelV>
                </wp:anchor>
              </w:drawing>
            </w:r>
          </w:p>
        </w:tc>
      </w:tr>
    </w:tbl>
    <w:p w14:paraId="561E008B" w14:textId="77777777" w:rsidR="00CA4459" w:rsidRDefault="00CA4459">
      <w:pPr>
        <w:pStyle w:val="Heading2"/>
      </w:pPr>
    </w:p>
    <w:p w14:paraId="28937F76" w14:textId="77777777" w:rsidR="00CA4459" w:rsidRPr="00CA4459" w:rsidRDefault="00CA4459" w:rsidP="00CA4459"/>
    <w:p w14:paraId="3ADFFD98" w14:textId="77777777" w:rsidR="00CA4459" w:rsidRDefault="00CA4459">
      <w:pPr>
        <w:pStyle w:val="Heading2"/>
      </w:pPr>
    </w:p>
    <w:p w14:paraId="1B1D182B" w14:textId="77777777" w:rsidR="00CA4459" w:rsidRDefault="00CA4459">
      <w:pPr>
        <w:pStyle w:val="Heading2"/>
      </w:pPr>
    </w:p>
    <w:p w14:paraId="76186DFB" w14:textId="77777777" w:rsidR="00CA4459" w:rsidRDefault="00CA4459">
      <w:pPr>
        <w:pStyle w:val="Heading2"/>
      </w:pPr>
    </w:p>
    <w:p w14:paraId="54F94015" w14:textId="4634E3EA" w:rsidR="005D2CCE" w:rsidRDefault="00000000">
      <w:pPr>
        <w:pStyle w:val="Heading2"/>
      </w:pPr>
      <w:r>
        <w:t>7.2 Autoantibody Positivity Across Top Diagnoses</w:t>
      </w:r>
    </w:p>
    <w:p w14:paraId="791C55DE" w14:textId="77777777" w:rsidR="005D2CCE" w:rsidRDefault="00000000">
      <w:r>
        <w:t>For the five most frequent diagnoses, the notebook calculates the mean of selected binary autoantibody variables and expresses the result as a percentage. The resulting heatmap summarizes positivity rates for ANA, Anti-dsDNA, Anti-Sm, Rheumatoid factor, ACPA, Anti-TPO and ANCA.</w:t>
      </w:r>
    </w:p>
    <w:tbl>
      <w:tblPr>
        <w:tblW w:w="0" w:type="auto"/>
        <w:jc w:val="center"/>
        <w:tblLayout w:type="fixed"/>
        <w:tblLook w:val="04A0" w:firstRow="1" w:lastRow="0" w:firstColumn="1" w:lastColumn="0" w:noHBand="0" w:noVBand="1"/>
      </w:tblPr>
      <w:tblGrid>
        <w:gridCol w:w="9288"/>
      </w:tblGrid>
      <w:tr w:rsidR="005D2CCE" w14:paraId="46A3A77A" w14:textId="77777777">
        <w:trPr>
          <w:jc w:val="center"/>
        </w:trPr>
        <w:tc>
          <w:tcPr>
            <w:tcW w:w="9288" w:type="dxa"/>
            <w:tcBorders>
              <w:top w:val="nil"/>
              <w:left w:val="nil"/>
              <w:bottom w:val="nil"/>
              <w:right w:val="nil"/>
            </w:tcBorders>
            <w:vAlign w:val="center"/>
          </w:tcPr>
          <w:p w14:paraId="4F172999" w14:textId="77777777" w:rsidR="005D2CCE" w:rsidRDefault="00000000">
            <w:pPr>
              <w:spacing w:after="0"/>
              <w:jc w:val="center"/>
            </w:pPr>
            <w:r>
              <w:rPr>
                <w:noProof/>
              </w:rPr>
              <w:drawing>
                <wp:anchor distT="0" distB="0" distL="114300" distR="114300" simplePos="0" relativeHeight="251659264" behindDoc="1" locked="0" layoutInCell="1" allowOverlap="1" wp14:anchorId="10625688" wp14:editId="4AA58EF1">
                  <wp:simplePos x="0" y="0"/>
                  <wp:positionH relativeFrom="column">
                    <wp:posOffset>-68580</wp:posOffset>
                  </wp:positionH>
                  <wp:positionV relativeFrom="paragraph">
                    <wp:posOffset>875030</wp:posOffset>
                  </wp:positionV>
                  <wp:extent cx="5394960" cy="3357245"/>
                  <wp:effectExtent l="0" t="0" r="0" b="0"/>
                  <wp:wrapTight wrapText="bothSides">
                    <wp:wrapPolygon edited="0">
                      <wp:start x="0" y="0"/>
                      <wp:lineTo x="0" y="21449"/>
                      <wp:lineTo x="21508" y="21449"/>
                      <wp:lineTo x="21508"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21_0.png"/>
                          <pic:cNvPicPr/>
                        </pic:nvPicPr>
                        <pic:blipFill>
                          <a:blip r:embed="rId32"/>
                          <a:stretch>
                            <a:fillRect/>
                          </a:stretch>
                        </pic:blipFill>
                        <pic:spPr>
                          <a:xfrm>
                            <a:off x="0" y="0"/>
                            <a:ext cx="5394960" cy="3357245"/>
                          </a:xfrm>
                          <a:prstGeom prst="rect">
                            <a:avLst/>
                          </a:prstGeom>
                        </pic:spPr>
                      </pic:pic>
                    </a:graphicData>
                  </a:graphic>
                  <wp14:sizeRelH relativeFrom="margin">
                    <wp14:pctWidth>0</wp14:pctWidth>
                  </wp14:sizeRelH>
                  <wp14:sizeRelV relativeFrom="margin">
                    <wp14:pctHeight>0</wp14:pctHeight>
                  </wp14:sizeRelV>
                </wp:anchor>
              </w:drawing>
            </w:r>
          </w:p>
        </w:tc>
      </w:tr>
    </w:tbl>
    <w:p w14:paraId="0F5CC572" w14:textId="77777777" w:rsidR="005D2CCE" w:rsidRDefault="00000000">
      <w:pPr>
        <w:keepNext/>
        <w:spacing w:after="80"/>
        <w:jc w:val="center"/>
      </w:pPr>
      <w:r>
        <w:rPr>
          <w:i/>
          <w:sz w:val="16"/>
        </w:rPr>
        <w:t>Figure 20. Autoantibody positivity rates across the top diagnoses</w:t>
      </w:r>
    </w:p>
    <w:p w14:paraId="750F5CE2" w14:textId="77777777" w:rsidR="005D2CCE" w:rsidRDefault="00000000">
      <w:r>
        <w:br w:type="page"/>
      </w:r>
    </w:p>
    <w:p w14:paraId="696B4C53" w14:textId="77777777" w:rsidR="005D2CCE" w:rsidRDefault="00000000">
      <w:pPr>
        <w:pStyle w:val="Heading2"/>
      </w:pPr>
      <w:r>
        <w:lastRenderedPageBreak/>
        <w:t>7.3 Pairwise CBC Relationships</w:t>
      </w:r>
    </w:p>
    <w:p w14:paraId="545C00AA" w14:textId="77777777" w:rsidR="005D2CCE" w:rsidRDefault="00000000">
      <w:r>
        <w:t>A pairplot was used for Hemoglobin, Hematocrit, RBC_Count and WBC_Count, with Gender used as the grouping variable. The diagonal shows individual distributions while the off-diagonal panels show pairwise relationships.</w:t>
      </w:r>
    </w:p>
    <w:tbl>
      <w:tblPr>
        <w:tblW w:w="0" w:type="auto"/>
        <w:jc w:val="center"/>
        <w:tblLayout w:type="fixed"/>
        <w:tblLook w:val="04A0" w:firstRow="1" w:lastRow="0" w:firstColumn="1" w:lastColumn="0" w:noHBand="0" w:noVBand="1"/>
      </w:tblPr>
      <w:tblGrid>
        <w:gridCol w:w="9288"/>
      </w:tblGrid>
      <w:tr w:rsidR="005D2CCE" w14:paraId="5335E861" w14:textId="77777777">
        <w:trPr>
          <w:jc w:val="center"/>
        </w:trPr>
        <w:tc>
          <w:tcPr>
            <w:tcW w:w="9288" w:type="dxa"/>
            <w:tcBorders>
              <w:top w:val="nil"/>
              <w:left w:val="nil"/>
              <w:bottom w:val="nil"/>
              <w:right w:val="nil"/>
            </w:tcBorders>
            <w:vAlign w:val="center"/>
          </w:tcPr>
          <w:p w14:paraId="689264E7" w14:textId="77777777" w:rsidR="005D2CCE" w:rsidRDefault="00000000">
            <w:pPr>
              <w:spacing w:after="0"/>
              <w:jc w:val="center"/>
            </w:pPr>
            <w:r>
              <w:rPr>
                <w:noProof/>
              </w:rPr>
              <w:drawing>
                <wp:anchor distT="0" distB="0" distL="114300" distR="114300" simplePos="0" relativeHeight="251662336" behindDoc="1" locked="0" layoutInCell="1" allowOverlap="1" wp14:anchorId="0099515F" wp14:editId="4437A1E1">
                  <wp:simplePos x="0" y="0"/>
                  <wp:positionH relativeFrom="column">
                    <wp:posOffset>-228600</wp:posOffset>
                  </wp:positionH>
                  <wp:positionV relativeFrom="paragraph">
                    <wp:posOffset>-4716145</wp:posOffset>
                  </wp:positionV>
                  <wp:extent cx="5669280" cy="5295900"/>
                  <wp:effectExtent l="0" t="0" r="7620" b="0"/>
                  <wp:wrapTight wrapText="bothSides">
                    <wp:wrapPolygon edited="0">
                      <wp:start x="0" y="0"/>
                      <wp:lineTo x="0" y="21522"/>
                      <wp:lineTo x="21556" y="21522"/>
                      <wp:lineTo x="21556"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22_0.png"/>
                          <pic:cNvPicPr/>
                        </pic:nvPicPr>
                        <pic:blipFill>
                          <a:blip r:embed="rId33"/>
                          <a:stretch>
                            <a:fillRect/>
                          </a:stretch>
                        </pic:blipFill>
                        <pic:spPr>
                          <a:xfrm>
                            <a:off x="0" y="0"/>
                            <a:ext cx="5669280" cy="5295900"/>
                          </a:xfrm>
                          <a:prstGeom prst="rect">
                            <a:avLst/>
                          </a:prstGeom>
                        </pic:spPr>
                      </pic:pic>
                    </a:graphicData>
                  </a:graphic>
                  <wp14:sizeRelH relativeFrom="margin">
                    <wp14:pctWidth>0</wp14:pctWidth>
                  </wp14:sizeRelH>
                  <wp14:sizeRelV relativeFrom="margin">
                    <wp14:pctHeight>0</wp14:pctHeight>
                  </wp14:sizeRelV>
                </wp:anchor>
              </w:drawing>
            </w:r>
          </w:p>
        </w:tc>
      </w:tr>
    </w:tbl>
    <w:p w14:paraId="5620B1BF" w14:textId="77777777" w:rsidR="005D2CCE" w:rsidRDefault="00000000">
      <w:pPr>
        <w:keepNext/>
        <w:spacing w:after="80"/>
        <w:jc w:val="center"/>
      </w:pPr>
      <w:r>
        <w:rPr>
          <w:i/>
          <w:sz w:val="16"/>
        </w:rPr>
        <w:t>Figure 21. Pairwise relationships of CBC metrics by gender</w:t>
      </w:r>
    </w:p>
    <w:p w14:paraId="062600BD" w14:textId="77777777" w:rsidR="002503D9" w:rsidRDefault="002503D9">
      <w:pPr>
        <w:pStyle w:val="Heading2"/>
      </w:pPr>
    </w:p>
    <w:p w14:paraId="73CCC633" w14:textId="77777777" w:rsidR="002503D9" w:rsidRDefault="002503D9">
      <w:pPr>
        <w:pStyle w:val="Heading2"/>
      </w:pPr>
    </w:p>
    <w:p w14:paraId="55662825" w14:textId="77777777" w:rsidR="002503D9" w:rsidRDefault="002503D9">
      <w:pPr>
        <w:pStyle w:val="Heading2"/>
      </w:pPr>
    </w:p>
    <w:p w14:paraId="3F4FC46E" w14:textId="7D1CFF34" w:rsidR="005D2CCE" w:rsidRDefault="00000000">
      <w:pPr>
        <w:pStyle w:val="Heading2"/>
      </w:pPr>
      <w:r>
        <w:t>7.4 Three-Dimensional Relationship</w:t>
      </w:r>
    </w:p>
    <w:p w14:paraId="722F73D8" w14:textId="77777777" w:rsidR="005D2CCE" w:rsidRDefault="00000000">
      <w:r>
        <w:t>A 3D scatterplot represents Age, WBC_Count and CRP simultaneously. Joint pain is used to distinguish the points through the binary 0/1 indicator. This visualization gives a combined view of demographic, hematological and inflammatory measurements.</w:t>
      </w:r>
    </w:p>
    <w:tbl>
      <w:tblPr>
        <w:tblW w:w="0" w:type="auto"/>
        <w:jc w:val="center"/>
        <w:tblLayout w:type="fixed"/>
        <w:tblLook w:val="04A0" w:firstRow="1" w:lastRow="0" w:firstColumn="1" w:lastColumn="0" w:noHBand="0" w:noVBand="1"/>
      </w:tblPr>
      <w:tblGrid>
        <w:gridCol w:w="9288"/>
      </w:tblGrid>
      <w:tr w:rsidR="005D2CCE" w14:paraId="303FE5F1" w14:textId="77777777">
        <w:trPr>
          <w:jc w:val="center"/>
        </w:trPr>
        <w:tc>
          <w:tcPr>
            <w:tcW w:w="9288" w:type="dxa"/>
            <w:tcBorders>
              <w:top w:val="nil"/>
              <w:left w:val="nil"/>
              <w:bottom w:val="nil"/>
              <w:right w:val="nil"/>
            </w:tcBorders>
            <w:vAlign w:val="center"/>
          </w:tcPr>
          <w:p w14:paraId="217C150A" w14:textId="77777777" w:rsidR="005D2CCE" w:rsidRDefault="00000000">
            <w:pPr>
              <w:spacing w:after="0"/>
              <w:jc w:val="center"/>
            </w:pPr>
            <w:r>
              <w:rPr>
                <w:noProof/>
              </w:rPr>
              <w:lastRenderedPageBreak/>
              <w:drawing>
                <wp:inline distT="0" distB="0" distL="0" distR="0" wp14:anchorId="0BABC733" wp14:editId="5805A1B1">
                  <wp:extent cx="5303520" cy="44164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23_0.png"/>
                          <pic:cNvPicPr/>
                        </pic:nvPicPr>
                        <pic:blipFill>
                          <a:blip r:embed="rId34"/>
                          <a:stretch>
                            <a:fillRect/>
                          </a:stretch>
                        </pic:blipFill>
                        <pic:spPr>
                          <a:xfrm>
                            <a:off x="0" y="0"/>
                            <a:ext cx="5303520" cy="4416432"/>
                          </a:xfrm>
                          <a:prstGeom prst="rect">
                            <a:avLst/>
                          </a:prstGeom>
                        </pic:spPr>
                      </pic:pic>
                    </a:graphicData>
                  </a:graphic>
                </wp:inline>
              </w:drawing>
            </w:r>
          </w:p>
        </w:tc>
      </w:tr>
    </w:tbl>
    <w:p w14:paraId="1E652911" w14:textId="77777777" w:rsidR="005D2CCE" w:rsidRDefault="00000000">
      <w:pPr>
        <w:keepNext/>
        <w:spacing w:after="80"/>
        <w:jc w:val="center"/>
      </w:pPr>
      <w:r>
        <w:rPr>
          <w:i/>
          <w:sz w:val="16"/>
        </w:rPr>
        <w:t>Figure 22. 3D relationship among Age, WBC Count and CRP</w:t>
      </w:r>
    </w:p>
    <w:p w14:paraId="29E534D6" w14:textId="77777777" w:rsidR="005D2CCE" w:rsidRDefault="00000000">
      <w:pPr>
        <w:pStyle w:val="Heading1"/>
      </w:pPr>
      <w:r>
        <w:t>8. KEY OBSERVATIONS</w:t>
      </w:r>
    </w:p>
    <w:p w14:paraId="5928D067" w14:textId="77777777" w:rsidR="005D2CCE" w:rsidRDefault="00000000">
      <w:pPr>
        <w:pStyle w:val="ReportBullet"/>
      </w:pPr>
      <w:r>
        <w:rPr>
          <w:b/>
        </w:rPr>
        <w:t xml:space="preserve">• </w:t>
      </w:r>
      <w:r>
        <w:t>Age and Hemoglobin were examined using histograms with KDE curves, providing a direct view of their distributions.</w:t>
      </w:r>
    </w:p>
    <w:p w14:paraId="0DCFF762" w14:textId="77777777" w:rsidR="005D2CCE" w:rsidRDefault="00000000">
      <w:pPr>
        <w:pStyle w:val="ReportBullet"/>
      </w:pPr>
      <w:r>
        <w:rPr>
          <w:b/>
        </w:rPr>
        <w:t xml:space="preserve">• </w:t>
      </w:r>
      <w:r>
        <w:t>Box plots, violin plots and ECDF plots were used to examine spread and distribution shape for laboratory variables.</w:t>
      </w:r>
    </w:p>
    <w:p w14:paraId="7E5216A8" w14:textId="77777777" w:rsidR="005D2CCE" w:rsidRDefault="00000000">
      <w:pPr>
        <w:pStyle w:val="ReportBullet"/>
      </w:pPr>
      <w:r>
        <w:rPr>
          <w:b/>
        </w:rPr>
        <w:t xml:space="preserve">• </w:t>
      </w:r>
      <w:r>
        <w:t>The reported skewness values for Age (0.016) and CRP (0.162) are both close to zero, indicating limited positive skew in these selected variables.</w:t>
      </w:r>
    </w:p>
    <w:p w14:paraId="2E3C23BE" w14:textId="77777777" w:rsidR="005D2CCE" w:rsidRDefault="00000000">
      <w:pPr>
        <w:pStyle w:val="ReportBullet"/>
      </w:pPr>
      <w:r>
        <w:rPr>
          <w:b/>
        </w:rPr>
        <w:t xml:space="preserve">• </w:t>
      </w:r>
      <w:r>
        <w:t>Categorical and binary variables were summarized with bar charts and pie charts, making group composition easier to inspect.</w:t>
      </w:r>
    </w:p>
    <w:p w14:paraId="5433FB7A" w14:textId="77777777" w:rsidR="005D2CCE" w:rsidRDefault="00000000">
      <w:pPr>
        <w:pStyle w:val="ReportBullet"/>
      </w:pPr>
      <w:r>
        <w:rPr>
          <w:b/>
        </w:rPr>
        <w:t xml:space="preserve">• </w:t>
      </w:r>
      <w:r>
        <w:t>Age and Neutrophil distributions were compared across diagnosis groups using box plots.</w:t>
      </w:r>
    </w:p>
    <w:p w14:paraId="69434DC9" w14:textId="77777777" w:rsidR="005D2CCE" w:rsidRDefault="00000000">
      <w:pPr>
        <w:pStyle w:val="ReportBullet"/>
      </w:pPr>
      <w:r>
        <w:rPr>
          <w:b/>
        </w:rPr>
        <w:t xml:space="preserve">• </w:t>
      </w:r>
      <w:r>
        <w:t>Gender was compared with ANA status, fatigue, hemoglobin and joint-pain prevalence using several complementary visualizations.</w:t>
      </w:r>
    </w:p>
    <w:p w14:paraId="560C0963" w14:textId="77777777" w:rsidR="005D2CCE" w:rsidRDefault="00000000">
      <w:pPr>
        <w:pStyle w:val="ReportBullet"/>
      </w:pPr>
      <w:r>
        <w:rPr>
          <w:b/>
        </w:rPr>
        <w:t xml:space="preserve">• </w:t>
      </w:r>
      <w:r>
        <w:t>WBC_Count and CRP were examined together with a hexbin plot, while the broader numerical relationship structure was summarized with a correlation heatmap.</w:t>
      </w:r>
    </w:p>
    <w:p w14:paraId="26D0EDFD" w14:textId="77777777" w:rsidR="005D2CCE" w:rsidRDefault="00000000">
      <w:pPr>
        <w:pStyle w:val="ReportBullet"/>
      </w:pPr>
      <w:r>
        <w:rPr>
          <w:b/>
        </w:rPr>
        <w:t xml:space="preserve">• </w:t>
      </w:r>
      <w:r>
        <w:t>The analysis also examined autoantibody positivity rates across frequently occurring diagnosis groups.</w:t>
      </w:r>
    </w:p>
    <w:p w14:paraId="3846C047" w14:textId="77777777" w:rsidR="005D2CCE" w:rsidRDefault="00000000">
      <w:pPr>
        <w:pStyle w:val="ReportBullet"/>
      </w:pPr>
      <w:r>
        <w:rPr>
          <w:b/>
        </w:rPr>
        <w:t xml:space="preserve">• </w:t>
      </w:r>
      <w:r>
        <w:t>The Week 4 work provides visual evidence for patterns and group differences, but exploratory plots alone do not establish causation.</w:t>
      </w:r>
    </w:p>
    <w:p w14:paraId="25D8ED09" w14:textId="77777777" w:rsidR="002503D9" w:rsidRDefault="002503D9">
      <w:pPr>
        <w:pStyle w:val="Heading1"/>
      </w:pPr>
    </w:p>
    <w:p w14:paraId="365F81AC" w14:textId="77777777" w:rsidR="002503D9" w:rsidRDefault="002503D9">
      <w:pPr>
        <w:pStyle w:val="Heading1"/>
      </w:pPr>
    </w:p>
    <w:p w14:paraId="0D4B3492" w14:textId="0E0A25F9" w:rsidR="005D2CCE" w:rsidRDefault="00000000">
      <w:pPr>
        <w:pStyle w:val="Heading1"/>
      </w:pPr>
      <w:r>
        <w:t>9. WEEK 4 ACTIVITY STATUS</w:t>
      </w:r>
    </w:p>
    <w:p w14:paraId="4F6F57A3" w14:textId="77777777" w:rsidR="00CA4459" w:rsidRDefault="00CA4459" w:rsidP="00CA4459"/>
    <w:p w14:paraId="7CD24D59" w14:textId="77777777" w:rsidR="00CA4459" w:rsidRPr="00CA4459" w:rsidRDefault="00CA4459" w:rsidP="00CA4459"/>
    <w:tbl>
      <w:tblPr>
        <w:tblStyle w:val="TableGrid"/>
        <w:tblW w:w="0" w:type="auto"/>
        <w:jc w:val="center"/>
        <w:tblLayout w:type="fixed"/>
        <w:tblLook w:val="04A0" w:firstRow="1" w:lastRow="0" w:firstColumn="1" w:lastColumn="0" w:noHBand="0" w:noVBand="1"/>
      </w:tblPr>
      <w:tblGrid>
        <w:gridCol w:w="6623"/>
        <w:gridCol w:w="5040"/>
      </w:tblGrid>
      <w:tr w:rsidR="005D2CCE" w14:paraId="3640173B" w14:textId="77777777">
        <w:trPr>
          <w:jc w:val="center"/>
        </w:trPr>
        <w:tc>
          <w:tcPr>
            <w:tcW w:w="6623" w:type="dxa"/>
            <w:shd w:val="clear" w:color="auto" w:fill="EAF2F8"/>
            <w:vAlign w:val="center"/>
          </w:tcPr>
          <w:p w14:paraId="192C712D" w14:textId="77777777" w:rsidR="005D2CCE" w:rsidRDefault="00000000">
            <w:pPr>
              <w:keepLines/>
              <w:spacing w:after="0"/>
            </w:pPr>
            <w:r>
              <w:rPr>
                <w:b/>
                <w:sz w:val="18"/>
              </w:rPr>
              <w:t>Activity</w:t>
            </w:r>
          </w:p>
        </w:tc>
        <w:tc>
          <w:tcPr>
            <w:tcW w:w="2448" w:type="dxa"/>
            <w:shd w:val="clear" w:color="auto" w:fill="EAF2F8"/>
            <w:vAlign w:val="center"/>
          </w:tcPr>
          <w:p w14:paraId="58FE7E4C" w14:textId="77777777" w:rsidR="005D2CCE" w:rsidRDefault="00000000">
            <w:pPr>
              <w:keepLines/>
              <w:spacing w:after="0"/>
            </w:pPr>
            <w:r>
              <w:rPr>
                <w:b/>
                <w:sz w:val="18"/>
              </w:rPr>
              <w:t>Status</w:t>
            </w:r>
          </w:p>
        </w:tc>
      </w:tr>
      <w:tr w:rsidR="005D2CCE" w14:paraId="0A9ADA61" w14:textId="77777777">
        <w:trPr>
          <w:jc w:val="center"/>
        </w:trPr>
        <w:tc>
          <w:tcPr>
            <w:tcW w:w="5040" w:type="dxa"/>
            <w:vAlign w:val="center"/>
          </w:tcPr>
          <w:p w14:paraId="53C8024E" w14:textId="77777777" w:rsidR="005D2CCE" w:rsidRDefault="00000000">
            <w:pPr>
              <w:keepLines/>
              <w:spacing w:after="0"/>
            </w:pPr>
            <w:r>
              <w:rPr>
                <w:sz w:val="18"/>
              </w:rPr>
              <w:t>Univariate numerical analysis</w:t>
            </w:r>
          </w:p>
        </w:tc>
        <w:tc>
          <w:tcPr>
            <w:tcW w:w="5040" w:type="dxa"/>
            <w:vAlign w:val="center"/>
          </w:tcPr>
          <w:p w14:paraId="3B0D5C4D" w14:textId="77777777" w:rsidR="005D2CCE" w:rsidRDefault="00000000">
            <w:pPr>
              <w:keepLines/>
              <w:spacing w:after="0"/>
            </w:pPr>
            <w:r>
              <w:rPr>
                <w:sz w:val="18"/>
              </w:rPr>
              <w:t>Completed</w:t>
            </w:r>
          </w:p>
        </w:tc>
      </w:tr>
      <w:tr w:rsidR="005D2CCE" w14:paraId="5705F767" w14:textId="77777777">
        <w:trPr>
          <w:jc w:val="center"/>
        </w:trPr>
        <w:tc>
          <w:tcPr>
            <w:tcW w:w="5040" w:type="dxa"/>
            <w:vAlign w:val="center"/>
          </w:tcPr>
          <w:p w14:paraId="71B87DFF" w14:textId="77777777" w:rsidR="005D2CCE" w:rsidRDefault="00000000">
            <w:pPr>
              <w:keepLines/>
              <w:spacing w:after="0"/>
            </w:pPr>
            <w:r>
              <w:rPr>
                <w:sz w:val="18"/>
              </w:rPr>
              <w:t>Numerical distribution visualization</w:t>
            </w:r>
          </w:p>
        </w:tc>
        <w:tc>
          <w:tcPr>
            <w:tcW w:w="5040" w:type="dxa"/>
            <w:vAlign w:val="center"/>
          </w:tcPr>
          <w:p w14:paraId="4DC699C5" w14:textId="77777777" w:rsidR="005D2CCE" w:rsidRDefault="00000000">
            <w:pPr>
              <w:keepLines/>
              <w:spacing w:after="0"/>
            </w:pPr>
            <w:r>
              <w:rPr>
                <w:sz w:val="18"/>
              </w:rPr>
              <w:t>Completed</w:t>
            </w:r>
          </w:p>
        </w:tc>
      </w:tr>
      <w:tr w:rsidR="005D2CCE" w14:paraId="05E0C9BF" w14:textId="77777777">
        <w:trPr>
          <w:jc w:val="center"/>
        </w:trPr>
        <w:tc>
          <w:tcPr>
            <w:tcW w:w="5040" w:type="dxa"/>
            <w:vAlign w:val="center"/>
          </w:tcPr>
          <w:p w14:paraId="1AF10648" w14:textId="77777777" w:rsidR="005D2CCE" w:rsidRDefault="00000000">
            <w:pPr>
              <w:keepLines/>
              <w:spacing w:after="0"/>
            </w:pPr>
            <w:r>
              <w:rPr>
                <w:sz w:val="18"/>
              </w:rPr>
              <w:t>Categorical / binary distribution visualization</w:t>
            </w:r>
          </w:p>
        </w:tc>
        <w:tc>
          <w:tcPr>
            <w:tcW w:w="5040" w:type="dxa"/>
            <w:vAlign w:val="center"/>
          </w:tcPr>
          <w:p w14:paraId="2B8AC628" w14:textId="77777777" w:rsidR="005D2CCE" w:rsidRDefault="00000000">
            <w:pPr>
              <w:keepLines/>
              <w:spacing w:after="0"/>
            </w:pPr>
            <w:r>
              <w:rPr>
                <w:sz w:val="18"/>
              </w:rPr>
              <w:t>Completed</w:t>
            </w:r>
          </w:p>
        </w:tc>
      </w:tr>
      <w:tr w:rsidR="005D2CCE" w14:paraId="17426C95" w14:textId="77777777">
        <w:trPr>
          <w:jc w:val="center"/>
        </w:trPr>
        <w:tc>
          <w:tcPr>
            <w:tcW w:w="5040" w:type="dxa"/>
            <w:vAlign w:val="center"/>
          </w:tcPr>
          <w:p w14:paraId="1BA8565E" w14:textId="77777777" w:rsidR="005D2CCE" w:rsidRDefault="00000000">
            <w:pPr>
              <w:keepLines/>
              <w:spacing w:after="0"/>
            </w:pPr>
            <w:r>
              <w:rPr>
                <w:sz w:val="18"/>
              </w:rPr>
              <w:t>Skewness and Q-Q analysis</w:t>
            </w:r>
          </w:p>
        </w:tc>
        <w:tc>
          <w:tcPr>
            <w:tcW w:w="5040" w:type="dxa"/>
            <w:vAlign w:val="center"/>
          </w:tcPr>
          <w:p w14:paraId="24060D8C" w14:textId="77777777" w:rsidR="005D2CCE" w:rsidRDefault="00000000">
            <w:pPr>
              <w:keepLines/>
              <w:spacing w:after="0"/>
            </w:pPr>
            <w:r>
              <w:rPr>
                <w:sz w:val="18"/>
              </w:rPr>
              <w:t>Completed</w:t>
            </w:r>
          </w:p>
        </w:tc>
      </w:tr>
      <w:tr w:rsidR="005D2CCE" w14:paraId="45F45E79" w14:textId="77777777">
        <w:trPr>
          <w:jc w:val="center"/>
        </w:trPr>
        <w:tc>
          <w:tcPr>
            <w:tcW w:w="5040" w:type="dxa"/>
            <w:vAlign w:val="center"/>
          </w:tcPr>
          <w:p w14:paraId="6A4C56DC" w14:textId="77777777" w:rsidR="005D2CCE" w:rsidRDefault="00000000">
            <w:pPr>
              <w:keepLines/>
              <w:spacing w:after="0"/>
            </w:pPr>
            <w:r>
              <w:rPr>
                <w:sz w:val="18"/>
              </w:rPr>
              <w:t>Bivariate numerical comparisons</w:t>
            </w:r>
          </w:p>
        </w:tc>
        <w:tc>
          <w:tcPr>
            <w:tcW w:w="5040" w:type="dxa"/>
            <w:vAlign w:val="center"/>
          </w:tcPr>
          <w:p w14:paraId="0DAD21BF" w14:textId="77777777" w:rsidR="005D2CCE" w:rsidRDefault="00000000">
            <w:pPr>
              <w:keepLines/>
              <w:spacing w:after="0"/>
            </w:pPr>
            <w:r>
              <w:rPr>
                <w:sz w:val="18"/>
              </w:rPr>
              <w:t>Completed</w:t>
            </w:r>
          </w:p>
        </w:tc>
      </w:tr>
      <w:tr w:rsidR="005D2CCE" w14:paraId="449F8A75" w14:textId="77777777">
        <w:trPr>
          <w:jc w:val="center"/>
        </w:trPr>
        <w:tc>
          <w:tcPr>
            <w:tcW w:w="5040" w:type="dxa"/>
            <w:vAlign w:val="center"/>
          </w:tcPr>
          <w:p w14:paraId="4AD929BD" w14:textId="77777777" w:rsidR="005D2CCE" w:rsidRDefault="00000000">
            <w:pPr>
              <w:keepLines/>
              <w:spacing w:after="0"/>
            </w:pPr>
            <w:r>
              <w:rPr>
                <w:sz w:val="18"/>
              </w:rPr>
              <w:t>Categorical and numerical comparisons</w:t>
            </w:r>
          </w:p>
        </w:tc>
        <w:tc>
          <w:tcPr>
            <w:tcW w:w="5040" w:type="dxa"/>
            <w:vAlign w:val="center"/>
          </w:tcPr>
          <w:p w14:paraId="08231314" w14:textId="77777777" w:rsidR="005D2CCE" w:rsidRDefault="00000000">
            <w:pPr>
              <w:keepLines/>
              <w:spacing w:after="0"/>
            </w:pPr>
            <w:r>
              <w:rPr>
                <w:sz w:val="18"/>
              </w:rPr>
              <w:t>Completed</w:t>
            </w:r>
          </w:p>
        </w:tc>
      </w:tr>
      <w:tr w:rsidR="005D2CCE" w14:paraId="5C31C2F2" w14:textId="77777777">
        <w:trPr>
          <w:jc w:val="center"/>
        </w:trPr>
        <w:tc>
          <w:tcPr>
            <w:tcW w:w="5040" w:type="dxa"/>
            <w:vAlign w:val="center"/>
          </w:tcPr>
          <w:p w14:paraId="378F7A14" w14:textId="77777777" w:rsidR="005D2CCE" w:rsidRDefault="00000000">
            <w:pPr>
              <w:keepLines/>
              <w:spacing w:after="0"/>
            </w:pPr>
            <w:r>
              <w:rPr>
                <w:sz w:val="18"/>
              </w:rPr>
              <w:t>Diagnosis-wise comparisons</w:t>
            </w:r>
          </w:p>
        </w:tc>
        <w:tc>
          <w:tcPr>
            <w:tcW w:w="5040" w:type="dxa"/>
            <w:vAlign w:val="center"/>
          </w:tcPr>
          <w:p w14:paraId="164B275C" w14:textId="77777777" w:rsidR="005D2CCE" w:rsidRDefault="00000000">
            <w:pPr>
              <w:keepLines/>
              <w:spacing w:after="0"/>
            </w:pPr>
            <w:r>
              <w:rPr>
                <w:sz w:val="18"/>
              </w:rPr>
              <w:t>Completed</w:t>
            </w:r>
          </w:p>
        </w:tc>
      </w:tr>
      <w:tr w:rsidR="005D2CCE" w14:paraId="3F804C71" w14:textId="77777777">
        <w:trPr>
          <w:jc w:val="center"/>
        </w:trPr>
        <w:tc>
          <w:tcPr>
            <w:tcW w:w="5040" w:type="dxa"/>
            <w:vAlign w:val="center"/>
          </w:tcPr>
          <w:p w14:paraId="7C10A589" w14:textId="77777777" w:rsidR="005D2CCE" w:rsidRDefault="00000000">
            <w:pPr>
              <w:keepLines/>
              <w:spacing w:after="0"/>
            </w:pPr>
            <w:r>
              <w:rPr>
                <w:sz w:val="18"/>
              </w:rPr>
              <w:t>Correlation and relationship visualizations</w:t>
            </w:r>
          </w:p>
        </w:tc>
        <w:tc>
          <w:tcPr>
            <w:tcW w:w="5040" w:type="dxa"/>
            <w:vAlign w:val="center"/>
          </w:tcPr>
          <w:p w14:paraId="25AB80FE" w14:textId="77777777" w:rsidR="005D2CCE" w:rsidRDefault="00000000">
            <w:pPr>
              <w:keepLines/>
              <w:spacing w:after="0"/>
            </w:pPr>
            <w:r>
              <w:rPr>
                <w:sz w:val="18"/>
              </w:rPr>
              <w:t>Completed</w:t>
            </w:r>
          </w:p>
        </w:tc>
      </w:tr>
      <w:tr w:rsidR="005D2CCE" w14:paraId="1E70E5E0" w14:textId="77777777">
        <w:trPr>
          <w:jc w:val="center"/>
        </w:trPr>
        <w:tc>
          <w:tcPr>
            <w:tcW w:w="5040" w:type="dxa"/>
            <w:vAlign w:val="center"/>
          </w:tcPr>
          <w:p w14:paraId="38015F6C" w14:textId="77777777" w:rsidR="005D2CCE" w:rsidRDefault="00000000">
            <w:pPr>
              <w:keepLines/>
              <w:spacing w:after="0"/>
            </w:pPr>
            <w:r>
              <w:rPr>
                <w:sz w:val="18"/>
              </w:rPr>
              <w:t>Preparation for further EDA</w:t>
            </w:r>
          </w:p>
        </w:tc>
        <w:tc>
          <w:tcPr>
            <w:tcW w:w="5040" w:type="dxa"/>
            <w:vAlign w:val="center"/>
          </w:tcPr>
          <w:p w14:paraId="27B679F1" w14:textId="77777777" w:rsidR="005D2CCE" w:rsidRDefault="00000000">
            <w:pPr>
              <w:keepLines/>
              <w:spacing w:after="0"/>
            </w:pPr>
            <w:r>
              <w:rPr>
                <w:sz w:val="18"/>
              </w:rPr>
              <w:t>Completed</w:t>
            </w:r>
          </w:p>
        </w:tc>
      </w:tr>
    </w:tbl>
    <w:p w14:paraId="6C2F7540" w14:textId="77777777" w:rsidR="005D2CCE" w:rsidRDefault="00000000">
      <w:pPr>
        <w:pStyle w:val="Heading1"/>
      </w:pPr>
      <w:r>
        <w:t>10. CONCLUSION</w:t>
      </w:r>
    </w:p>
    <w:p w14:paraId="73B1FEE6" w14:textId="77777777" w:rsidR="005D2CCE" w:rsidRDefault="00000000">
      <w:r>
        <w:t>Week 4 successfully completed the EDA Deep Dive for Team 12. Univariate analysis was used to understand the distribution and shape of important clinical variables, while bivariate analysis examined relationships and differences between demographic, diagnostic, symptom, hematological and inflammatory variables. A wide range of visualizations—including histograms, box plots, violin plots, ECDFs, Q-Q plots, bar charts, pie charts, hexbin plots and correlation heatmaps—was applied according to the type of variable being studied.</w:t>
      </w:r>
    </w:p>
    <w:p w14:paraId="0E8CB811" w14:textId="77777777" w:rsidR="005D2CCE" w:rsidRDefault="00000000">
      <w:r>
        <w:t>The analysis builds directly on the cleaned dataset prepared in Week 3 and provides a visual foundation for deeper statistical analysis and interpretation in later stages of the project.</w:t>
      </w:r>
    </w:p>
    <w:p w14:paraId="477E170D" w14:textId="77777777" w:rsidR="005D2CCE" w:rsidRDefault="00000000">
      <w:pPr>
        <w:pStyle w:val="Heading1"/>
      </w:pPr>
      <w:r>
        <w:t>11. PROJECT STATUS</w:t>
      </w:r>
    </w:p>
    <w:p w14:paraId="4B473460" w14:textId="77777777" w:rsidR="005D2CCE" w:rsidRDefault="00000000">
      <w:r>
        <w:rPr>
          <w:b/>
        </w:rPr>
        <w:t>WEEK 4 – EDA DEEP DIVE: COMPLETED</w:t>
      </w:r>
    </w:p>
    <w:p w14:paraId="05B11AE0" w14:textId="77777777" w:rsidR="005D2CCE" w:rsidRDefault="00000000">
      <w:r>
        <w:t>Univariate analysis completed • Distributions visualized • Bivariate comparisons completed • Relationship analysis completed • Correlation visualization completed</w:t>
      </w:r>
    </w:p>
    <w:p w14:paraId="7660A83D" w14:textId="77777777" w:rsidR="005D2CCE" w:rsidRDefault="00000000">
      <w:pPr>
        <w:pStyle w:val="Heading1"/>
      </w:pPr>
      <w:r>
        <w:t>12. GITHUB REPOSITORY</w:t>
      </w:r>
    </w:p>
    <w:p w14:paraId="75231415" w14:textId="77777777" w:rsidR="005D2CCE" w:rsidRDefault="00000000">
      <w:r>
        <w:t>Team 12 repository: https://github.com/nivetha486/24ADI204_DSV_Team12</w:t>
      </w:r>
    </w:p>
    <w:p w14:paraId="5DC6676F" w14:textId="77777777" w:rsidR="005D2CCE" w:rsidRDefault="00000000">
      <w:pPr>
        <w:pStyle w:val="Heading1"/>
      </w:pPr>
      <w:r>
        <w:t>13. TEAM 12</w:t>
      </w:r>
    </w:p>
    <w:p w14:paraId="1F7AE644" w14:textId="77777777" w:rsidR="005D2CCE" w:rsidRDefault="00000000">
      <w:r>
        <w:t>Nivetha S — 25BAD074</w:t>
      </w:r>
    </w:p>
    <w:p w14:paraId="48E0897B" w14:textId="77777777" w:rsidR="005D2CCE" w:rsidRDefault="00000000">
      <w:r>
        <w:t>Pooja T — 25BAD077</w:t>
      </w:r>
    </w:p>
    <w:p w14:paraId="69071829" w14:textId="77777777" w:rsidR="005D2CCE" w:rsidRDefault="00000000">
      <w:r>
        <w:t>Puvi Priya M — 25BAD084</w:t>
      </w:r>
    </w:p>
    <w:p w14:paraId="5036CCFD" w14:textId="77777777" w:rsidR="005D2CCE" w:rsidRDefault="00000000">
      <w:r>
        <w:t>Vaishnavi D — 25BAD126</w:t>
      </w:r>
    </w:p>
    <w:sectPr w:rsidR="005D2CCE" w:rsidSect="00034616">
      <w:footerReference w:type="default" r:id="rId35"/>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11BA" w14:textId="77777777" w:rsidR="00D25503" w:rsidRDefault="00D25503">
      <w:pPr>
        <w:spacing w:after="0" w:line="240" w:lineRule="auto"/>
      </w:pPr>
      <w:r>
        <w:separator/>
      </w:r>
    </w:p>
  </w:endnote>
  <w:endnote w:type="continuationSeparator" w:id="0">
    <w:p w14:paraId="41655E17" w14:textId="77777777" w:rsidR="00D25503" w:rsidRDefault="00D25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1CDE8" w14:textId="77777777" w:rsidR="005D2CCE" w:rsidRDefault="00000000">
    <w:pPr>
      <w:pStyle w:val="Footer"/>
      <w:jc w:val="center"/>
    </w:pPr>
    <w:r>
      <w:rPr>
        <w:sz w:val="16"/>
      </w:rPr>
      <w:t>Data Science and Visualization • Team 12 • Week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06A8" w14:textId="77777777" w:rsidR="00D25503" w:rsidRDefault="00D25503">
      <w:pPr>
        <w:spacing w:after="0" w:line="240" w:lineRule="auto"/>
      </w:pPr>
      <w:r>
        <w:separator/>
      </w:r>
    </w:p>
  </w:footnote>
  <w:footnote w:type="continuationSeparator" w:id="0">
    <w:p w14:paraId="751EFA3B" w14:textId="77777777" w:rsidR="00D25503" w:rsidRDefault="00D25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115203">
    <w:abstractNumId w:val="8"/>
  </w:num>
  <w:num w:numId="2" w16cid:durableId="3483435">
    <w:abstractNumId w:val="6"/>
  </w:num>
  <w:num w:numId="3" w16cid:durableId="1163624035">
    <w:abstractNumId w:val="5"/>
  </w:num>
  <w:num w:numId="4" w16cid:durableId="337192640">
    <w:abstractNumId w:val="4"/>
  </w:num>
  <w:num w:numId="5" w16cid:durableId="1245528231">
    <w:abstractNumId w:val="7"/>
  </w:num>
  <w:num w:numId="6" w16cid:durableId="472063514">
    <w:abstractNumId w:val="3"/>
  </w:num>
  <w:num w:numId="7" w16cid:durableId="1702898862">
    <w:abstractNumId w:val="2"/>
  </w:num>
  <w:num w:numId="8" w16cid:durableId="1784304336">
    <w:abstractNumId w:val="1"/>
  </w:num>
  <w:num w:numId="9" w16cid:durableId="735204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3D9"/>
    <w:rsid w:val="0029639D"/>
    <w:rsid w:val="00326F90"/>
    <w:rsid w:val="005D2CCE"/>
    <w:rsid w:val="008B64C0"/>
    <w:rsid w:val="00AA1D8D"/>
    <w:rsid w:val="00B47730"/>
    <w:rsid w:val="00CA4459"/>
    <w:rsid w:val="00CB0664"/>
    <w:rsid w:val="00D25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58913"/>
  <w14:defaultImageDpi w14:val="300"/>
  <w15:docId w15:val="{84F60ED8-0D36-4238-A619-277E9D28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pPr>
      <w:keepLines/>
      <w:spacing w:after="40"/>
      <w:ind w:left="317" w:hanging="202"/>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Puvi Priya M</cp:lastModifiedBy>
  <cp:revision>2</cp:revision>
  <dcterms:created xsi:type="dcterms:W3CDTF">2026-09-20T08:37:00Z</dcterms:created>
  <dcterms:modified xsi:type="dcterms:W3CDTF">2026-09-20T08:37:00Z</dcterms:modified>
  <cp:category/>
</cp:coreProperties>
</file>