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38"/>
          <w:szCs w:val="38"/>
        </w:rPr>
        <w:t xml:space="preserve">NIVETHA JAYARAM RAJA</w:t>
      </w:r>
    </w:p>
    <w:p>
      <w:pPr>
        <w:spacing w:after="60" w:before="0"/>
        <w:jc w:val="center"/>
      </w:pPr>
      <w:r>
        <w:rPr>
          <w:rFonts w:ascii="Calibri" w:cs="Calibri" w:eastAsia="Calibri" w:hAnsi="Calibri"/>
          <w:color w:val="555555"/>
          <w:sz w:val="22"/>
          <w:szCs w:val="22"/>
        </w:rPr>
        <w:t xml:space="preserve">Data &amp; AI Analytics Leader  |  Snowflake Cortex AI · dbt · Power BI · AWS · Databricks</w:t>
      </w:r>
    </w:p>
    <w:p>
      <w:pPr>
        <w:spacing w:after="60" w:before="0"/>
        <w:jc w:val="center"/>
      </w:pPr>
      <w:r>
        <w:rPr>
          <w:rFonts w:ascii="Calibri" w:cs="Calibri" w:eastAsia="Calibri" w:hAnsi="Calibri"/>
          <w:color w:val="555555"/>
          <w:sz w:val="20"/>
          <w:szCs w:val="20"/>
        </w:rPr>
        <w:t xml:space="preserve">Analytics Architecture · Pre-Dev Clarity · AI-Assisted Reporting  |  12 Years  |  Remote · EST</w:t>
      </w:r>
    </w:p>
    <w:p>
      <w:pPr>
        <w:spacing w:after="200" w:before="0"/>
        <w:jc w:val="center"/>
      </w:pPr>
      <w:r>
        <w:rPr>
          <w:rFonts w:ascii="Calibri" w:cs="Calibri" w:eastAsia="Calibri" w:hAnsi="Calibri"/>
          <w:color w:val="555555"/>
          <w:sz w:val="18"/>
          <w:szCs w:val="18"/>
        </w:rPr>
        <w:t xml:space="preserve">nivethaj14@gmail.com  |  +91 99620 17614  |  </w:t>
      </w:r>
      <w:r>
        <w:rPr>
          <w:rFonts w:ascii="Calibri" w:cs="Calibri" w:eastAsia="Calibri" w:hAnsi="Calibri"/>
          <w:color w:val="1F4E79"/>
          <w:sz w:val="18"/>
          <w:szCs w:val="18"/>
        </w:rPr>
        <w:t xml:space="preserve">LinkedIn</w:t>
      </w:r>
      <w:r>
        <w:rPr>
          <w:rFonts w:ascii="Calibri" w:cs="Calibri" w:eastAsia="Calibri" w:hAnsi="Calibri"/>
          <w:color w:val="555555"/>
          <w:sz w:val="18"/>
          <w:szCs w:val="18"/>
        </w:rPr>
        <w:t xml:space="preserve">  |  </w:t>
      </w:r>
      <w:r>
        <w:rPr>
          <w:rFonts w:ascii="Calibri" w:cs="Calibri" w:eastAsia="Calibri" w:hAnsi="Calibri"/>
          <w:color w:val="1F4E79"/>
          <w:sz w:val="18"/>
          <w:szCs w:val="18"/>
        </w:rPr>
        <w:t xml:space="preserve">nivethaj14.github.io/data_analytics_portfolio</w:t>
      </w:r>
    </w:p>
    <w:p>
      <w:pPr>
        <w:pBdr>
          <w:bottom w:val="single" w:color="1F4E79" w:sz="8" w:space="1"/>
        </w:pBdr>
        <w:spacing w:after="100" w:before="100"/>
      </w:pPr>
    </w:p>
    <w:p>
      <w:pPr>
        <w:spacing w:after="80" w:before="200"/>
      </w:pPr>
      <w:r>
        <w:rPr>
          <w:rFonts w:ascii="Calibri" w:cs="Calibri" w:eastAsia="Calibri" w:hAnsi="Calibri"/>
          <w:b/>
          <w:bCs/>
          <w:color w:val="1F4E79"/>
          <w:sz w:val="22"/>
          <w:szCs w:val="22"/>
        </w:rPr>
        <w:t xml:space="preserve">PROFESSIONAL SUMMARY</w:t>
      </w:r>
    </w:p>
    <w:p>
      <w:pPr>
        <w:spacing w:after="100" w:before="0"/>
      </w:pPr>
      <w:r>
        <w:rPr>
          <w:rFonts w:ascii="Calibri" w:cs="Calibri" w:eastAsia="Calibri" w:hAnsi="Calibri"/>
          <w:color w:val="1A1A1A"/>
          <w:sz w:val="20"/>
          <w:szCs w:val="20"/>
        </w:rPr>
        <w:t xml:space="preserve">Data &amp; AI Analytics Leader with 12+ years of experience building the platforms, semantic layers, and AI-powered analytics solutions that transform how organisations make decisions.</w:t>
      </w:r>
    </w:p>
    <w:p>
      <w:pPr>
        <w:spacing w:after="100" w:before="0"/>
      </w:pPr>
      <w:r>
        <w:rPr>
          <w:rFonts w:ascii="Calibri" w:cs="Calibri" w:eastAsia="Calibri" w:hAnsi="Calibri"/>
          <w:color w:val="1A1A1A"/>
          <w:sz w:val="20"/>
          <w:szCs w:val="20"/>
        </w:rPr>
        <w:t xml:space="preserve">I specialise in the full stack of data intelligence — from architecting ETL/ELT pipelines and governed dbt transformation layers, to building Snowflake Cortex AI interfaces that let business stakeholders query live data in plain English. My work sits at the intersection of data engineering depth and analytics product thinking.</w:t>
      </w:r>
    </w:p>
    <w:p>
      <w:pPr>
        <w:spacing w:after="40" w:before="80"/>
      </w:pPr>
      <w:r>
        <w:rPr>
          <w:rFonts w:ascii="Calibri" w:cs="Calibri" w:eastAsia="Calibri" w:hAnsi="Calibri"/>
          <w:b/>
          <w:bCs/>
          <w:color w:val="1F4E79"/>
          <w:sz w:val="20"/>
          <w:szCs w:val="20"/>
        </w:rPr>
        <w:t xml:space="preserve">What I build and how I build it:</w:t>
      </w:r>
    </w:p>
    <w:p>
      <w:pPr>
        <w:pStyle w:val="ListParagraph"/>
        <w:numPr>
          <w:ilvl w:val="0"/>
          <w:numId w:val="2"/>
        </w:numPr>
        <w:spacing w:after="40" w:before="40"/>
      </w:pPr>
      <w:r>
        <w:rPr>
          <w:rFonts w:ascii="Calibri" w:cs="Calibri" w:eastAsia="Calibri" w:hAnsi="Calibri"/>
          <w:color w:val="1A1A1A"/>
          <w:sz w:val="19"/>
          <w:szCs w:val="19"/>
        </w:rPr>
        <w:t xml:space="preserve">AI-augmented analytics — Snowflake Cortex AI in production for conversational BI, NL querying, and automated data summaries</w:t>
      </w:r>
    </w:p>
    <w:p>
      <w:pPr>
        <w:pStyle w:val="ListParagraph"/>
        <w:numPr>
          <w:ilvl w:val="0"/>
          <w:numId w:val="2"/>
        </w:numPr>
        <w:spacing w:after="40" w:before="40"/>
      </w:pPr>
      <w:r>
        <w:rPr>
          <w:rFonts w:ascii="Calibri" w:cs="Calibri" w:eastAsia="Calibri" w:hAnsi="Calibri"/>
          <w:color w:val="1A1A1A"/>
          <w:sz w:val="19"/>
          <w:szCs w:val="19"/>
        </w:rPr>
        <w:t xml:space="preserve">Governed semantic layers — version-controlled KPI definitions in dbt, eliminating metric drift across teams and dashboards</w:t>
      </w:r>
    </w:p>
    <w:p>
      <w:pPr>
        <w:pStyle w:val="ListParagraph"/>
        <w:numPr>
          <w:ilvl w:val="0"/>
          <w:numId w:val="2"/>
        </w:numPr>
        <w:spacing w:after="40" w:before="40"/>
      </w:pPr>
      <w:r>
        <w:rPr>
          <w:rFonts w:ascii="Calibri" w:cs="Calibri" w:eastAsia="Calibri" w:hAnsi="Calibri"/>
          <w:color w:val="1A1A1A"/>
          <w:sz w:val="19"/>
          <w:szCs w:val="19"/>
        </w:rPr>
        <w:t xml:space="preserve">Real-data prototyping — Streamlit-based validation environments so stakeholders approve outputs against live data before production builds</w:t>
      </w:r>
    </w:p>
    <w:p>
      <w:pPr>
        <w:pStyle w:val="ListParagraph"/>
        <w:numPr>
          <w:ilvl w:val="0"/>
          <w:numId w:val="2"/>
        </w:numPr>
        <w:spacing w:after="40" w:before="40"/>
      </w:pPr>
      <w:r>
        <w:rPr>
          <w:rFonts w:ascii="Calibri" w:cs="Calibri" w:eastAsia="Calibri" w:hAnsi="Calibri"/>
          <w:color w:val="1A1A1A"/>
          <w:sz w:val="19"/>
          <w:szCs w:val="19"/>
        </w:rPr>
        <w:t xml:space="preserve">Pre-development clarity — structured sessions that lock requirements, edge cases, and acceptance criteria upfront, reducing development effort by 30%</w:t>
      </w:r>
    </w:p>
    <w:p>
      <w:pPr>
        <w:pStyle w:val="ListParagraph"/>
        <w:numPr>
          <w:ilvl w:val="0"/>
          <w:numId w:val="2"/>
        </w:numPr>
        <w:spacing w:after="40" w:before="40"/>
      </w:pPr>
      <w:r>
        <w:rPr>
          <w:rFonts w:ascii="Calibri" w:cs="Calibri" w:eastAsia="Calibri" w:hAnsi="Calibri"/>
          <w:color w:val="1A1A1A"/>
          <w:sz w:val="19"/>
          <w:szCs w:val="19"/>
        </w:rPr>
        <w:t xml:space="preserve">Quality-first engineering — code review checklists and quarterly defect root cause reviews that reduced team defect rates by 70%</w:t>
      </w:r>
    </w:p>
    <w:p>
      <w:pPr>
        <w:spacing w:after="100" w:before="80"/>
      </w:pPr>
      <w:r>
        <w:rPr>
          <w:rFonts w:ascii="Calibri" w:cs="Calibri" w:eastAsia="Calibri" w:hAnsi="Calibri"/>
          <w:color w:val="1A1A1A"/>
          <w:sz w:val="20"/>
          <w:szCs w:val="20"/>
        </w:rPr>
        <w:t xml:space="preserve">The outcomes: 50% reduction in delivery timelines, 40% improvement in dashboard performance, zero mock-data rework cycles, and a 24-member team that ships trusted data products consistently.</w:t>
      </w:r>
    </w:p>
    <w:p>
      <w:pPr>
        <w:spacing w:after="160" w:before="0"/>
      </w:pPr>
      <w:r>
        <w:rPr>
          <w:rFonts w:ascii="Calibri" w:cs="Calibri" w:eastAsia="Calibri" w:hAnsi="Calibri"/>
          <w:color w:val="1A1A1A"/>
          <w:sz w:val="20"/>
          <w:szCs w:val="20"/>
        </w:rPr>
        <w:t xml:space="preserve">I use GitHub Copilot, Claude, and Snowflake Cortex AI daily — not as experiments, but as core parts of how I engineer. Actively exploring agentic AI workflows and RAG-based analytics patterns.</w:t>
      </w:r>
    </w:p>
    <w:p>
      <w:pPr>
        <w:pBdr>
          <w:bottom w:val="single" w:color="1F4E79" w:sz="8" w:space="1"/>
        </w:pBdr>
        <w:spacing w:after="100" w:before="100"/>
      </w:pPr>
    </w:p>
    <w:p>
      <w:pPr>
        <w:spacing w:after="80" w:before="200"/>
      </w:pPr>
      <w:r>
        <w:rPr>
          <w:rFonts w:ascii="Calibri" w:cs="Calibri" w:eastAsia="Calibri" w:hAnsi="Calibri"/>
          <w:b/>
          <w:bCs/>
          <w:color w:val="1F4E79"/>
          <w:sz w:val="22"/>
          <w:szCs w:val="22"/>
        </w:rPr>
        <w:t xml:space="preserve">CORE 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AI &amp; Analytics</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Snowflake Cortex AI · Conversational BI · NL Querying · AI-Assisted Reporting · Generative AI · Agentic AI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Semantic &amp; Metrics</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dbt · Semantic Layer Design · KPI Framework · Metric Versioning · Data Contracts · Self-Service Analytics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BI &amp; Visualization</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Power BI · Tableau · Streamlit · Executive Dashboards · Data Visualization · Reporting &amp; Insights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Data Engineering</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ETL/ELT · PySpark · Scala · Python · SQL / PL-SQL · Star Schema · Dimensional Modeling · Data Lakehouse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Cloud &amp; Platforms</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Snowflake · AWS (S3, Glue, Athena, RDS, Kinesis) · Databricks · Azure (familiar)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Quality &amp; Governance</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Pre-Dev Clarity Sessions · Real-Data Prototyping · Unit Test Documentation · Defect Root Cause Reviews · RBAC</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Engineering Practices</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Agile Scrum · SDLC · Git · JIRA · Confluence · CI/CD · Performance Tuning · Code Review</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AI Productivity</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GitHub Copilot · Claude · ChatGPT · Snowflake Cortex AI · AI-Assisted Development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100"/>
        <w:gridCol w:w="7260"/>
      </w:tblGrid>
      <w:tr>
        <w:tc>
          <w:tcPr>
            <w:tcW w:type="dxa" w:w="21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Domain</w:t>
            </w:r>
          </w:p>
        </w:tc>
        <w:tc>
          <w:tcPr>
            <w:tcW w:type="dxa" w:w="72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Healthcare Payer · Clinical Trials · Pharma Commercial Analytics · HR Analytics · Life Sciences</w:t>
            </w:r>
          </w:p>
        </w:tc>
      </w:tr>
    </w:tbl>
    <w:p>
      <w:pPr>
        <w:pBdr>
          <w:bottom w:val="single" w:color="1F4E79" w:sz="8" w:space="1"/>
        </w:pBdr>
        <w:spacing w:after="100" w:before="100"/>
      </w:pPr>
    </w:p>
    <w:p>
      <w:pPr>
        <w:spacing w:after="80" w:before="200"/>
      </w:pPr>
      <w:r>
        <w:rPr>
          <w:rFonts w:ascii="Calibri" w:cs="Calibri" w:eastAsia="Calibri" w:hAnsi="Calibri"/>
          <w:b/>
          <w:bCs/>
          <w:color w:val="1F4E79"/>
          <w:sz w:val="22"/>
          <w:szCs w:val="22"/>
        </w:rPr>
        <w:t xml:space="preserve">PROFESSIONAL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r>
              <w:rPr>
                <w:rFonts w:ascii="Calibri" w:cs="Calibri" w:eastAsia="Calibri" w:hAnsi="Calibri"/>
                <w:b/>
                <w:bCs/>
                <w:color w:val="1F4E79"/>
                <w:sz w:val="22"/>
                <w:szCs w:val="22"/>
              </w:rPr>
              <w:t xml:space="preserve">Associate Director — Data &amp; AI</w:t>
            </w:r>
          </w:p>
        </w:tc>
        <w:tc>
          <w:tcPr>
            <w:tcW w:type="dxa" w:w="3860"/>
            <w:tcBorders>
              <w:top w:val="none" w:color="FFFFFF" w:sz="0"/>
              <w:left w:val="none" w:color="FFFFFF" w:sz="0"/>
              <w:bottom w:val="none" w:color="FFFFFF" w:sz="0"/>
              <w:right w:val="none" w:color="FFFFFF" w:sz="0"/>
            </w:tcBorders>
          </w:tcPr>
          <w:p>
            <w:pPr>
              <w:jc w:val="right"/>
            </w:pPr>
            <w:r>
              <w:rPr>
                <w:rFonts w:ascii="Calibri" w:cs="Calibri" w:eastAsia="Calibri" w:hAnsi="Calibri"/>
                <w:color w:val="555555"/>
                <w:sz w:val="18"/>
                <w:szCs w:val="18"/>
              </w:rPr>
              <w:t xml:space="preserve">Jul 2021 – Present  |  Remote, India</w:t>
            </w:r>
          </w:p>
        </w:tc>
      </w:tr>
    </w:tbl>
    <w:p>
      <w:pPr>
        <w:spacing w:after="60" w:before="20"/>
      </w:pPr>
      <w:r>
        <w:rPr>
          <w:rFonts w:ascii="Calibri" w:cs="Calibri" w:eastAsia="Calibri" w:hAnsi="Calibri"/>
          <w:b/>
          <w:bCs/>
          <w:color w:val="1A1A1A"/>
          <w:sz w:val="20"/>
          <w:szCs w:val="20"/>
        </w:rPr>
        <w:t xml:space="preserve">Syneos Health  (Global CRO — Healthcare &amp; Pharma)</w:t>
      </w:r>
    </w:p>
    <w:p>
      <w:pPr>
        <w:pStyle w:val="ListParagraph"/>
        <w:numPr>
          <w:ilvl w:val="0"/>
          <w:numId w:val="2"/>
        </w:numPr>
        <w:spacing w:after="40" w:before="40"/>
      </w:pPr>
      <w:r>
        <w:rPr>
          <w:rFonts w:ascii="Calibri" w:cs="Calibri" w:eastAsia="Calibri" w:hAnsi="Calibri"/>
          <w:color w:val="1A1A1A"/>
          <w:sz w:val="19"/>
          <w:szCs w:val="19"/>
        </w:rPr>
        <w:t xml:space="preserve">Shipped Snowflake Cortex AI into production — built a natural language querying interface enabling pharma stakeholders to interact with live commercial and clinical data in plain English, eliminating ad hoc engineering requests and enabling self-service analytics for the first time.</w:t>
      </w:r>
    </w:p>
    <w:p>
      <w:pPr>
        <w:pStyle w:val="ListParagraph"/>
        <w:numPr>
          <w:ilvl w:val="0"/>
          <w:numId w:val="2"/>
        </w:numPr>
        <w:spacing w:after="40" w:before="40"/>
      </w:pPr>
      <w:r>
        <w:rPr>
          <w:rFonts w:ascii="Calibri" w:cs="Calibri" w:eastAsia="Calibri" w:hAnsi="Calibri"/>
          <w:color w:val="1A1A1A"/>
          <w:sz w:val="19"/>
          <w:szCs w:val="19"/>
        </w:rPr>
        <w:t xml:space="preserve">Architected a unified Snowflake data warehouse with a governed dbt semantic layer serving 10+ global pharma clients — single source of truth for all KPIs, zero metric drift across dashboards, reducing delivery timelines by 50% and enabling new client onboarding with zero engineering rework.</w:t>
      </w:r>
    </w:p>
    <w:p>
      <w:pPr>
        <w:pStyle w:val="ListParagraph"/>
        <w:numPr>
          <w:ilvl w:val="0"/>
          <w:numId w:val="2"/>
        </w:numPr>
        <w:spacing w:after="40" w:before="40"/>
      </w:pPr>
      <w:r>
        <w:rPr>
          <w:rFonts w:ascii="Calibri" w:cs="Calibri" w:eastAsia="Calibri" w:hAnsi="Calibri"/>
          <w:color w:val="1A1A1A"/>
          <w:sz w:val="19"/>
          <w:szCs w:val="19"/>
        </w:rPr>
        <w:t xml:space="preserve">Pioneered real-data prototyping using Streamlit — stakeholders validate KPI logic against live data before production builds begin, achieving zero mock-data rework cycles and accelerating delivery approval.</w:t>
      </w:r>
    </w:p>
    <w:p>
      <w:pPr>
        <w:pStyle w:val="ListParagraph"/>
        <w:numPr>
          <w:ilvl w:val="0"/>
          <w:numId w:val="2"/>
        </w:numPr>
        <w:spacing w:after="40" w:before="40"/>
      </w:pPr>
      <w:r>
        <w:rPr>
          <w:rFonts w:ascii="Calibri" w:cs="Calibri" w:eastAsia="Calibri" w:hAnsi="Calibri"/>
          <w:color w:val="1A1A1A"/>
          <w:sz w:val="19"/>
          <w:szCs w:val="19"/>
        </w:rPr>
        <w:t xml:space="preserve">Instituted pre-development clarity sessions that locked requirements, edge cases, and acceptance criteria upfront — eliminating assumption-driven rework and reducing development effort by 30%.</w:t>
      </w:r>
    </w:p>
    <w:p>
      <w:pPr>
        <w:pStyle w:val="ListParagraph"/>
        <w:numPr>
          <w:ilvl w:val="0"/>
          <w:numId w:val="2"/>
        </w:numPr>
        <w:spacing w:after="40" w:before="40"/>
      </w:pPr>
      <w:r>
        <w:rPr>
          <w:rFonts w:ascii="Calibri" w:cs="Calibri" w:eastAsia="Calibri" w:hAnsi="Calibri"/>
          <w:color w:val="1A1A1A"/>
          <w:sz w:val="19"/>
          <w:szCs w:val="19"/>
        </w:rPr>
        <w:t xml:space="preserve">Implemented pre-development unit test documentation — defining expected data outputs, edge cases, and acceptance criteria before any build began, eliminating requirement assumptions and reducing mid-sprint rework.</w:t>
      </w:r>
    </w:p>
    <w:p>
      <w:pPr>
        <w:pStyle w:val="ListParagraph"/>
        <w:numPr>
          <w:ilvl w:val="0"/>
          <w:numId w:val="2"/>
        </w:numPr>
        <w:spacing w:after="40" w:before="40"/>
      </w:pPr>
      <w:r>
        <w:rPr>
          <w:rFonts w:ascii="Calibri" w:cs="Calibri" w:eastAsia="Calibri" w:hAnsi="Calibri"/>
          <w:color w:val="1A1A1A"/>
          <w:sz w:val="19"/>
          <w:szCs w:val="19"/>
        </w:rPr>
        <w:t xml:space="preserve">Built code review checklists and quarterly defect root cause review sessions — identifying recurring error patterns, implementing preventive actions, and reducing team defect rates by 70%.</w:t>
      </w:r>
    </w:p>
    <w:p>
      <w:pPr>
        <w:pStyle w:val="ListParagraph"/>
        <w:numPr>
          <w:ilvl w:val="0"/>
          <w:numId w:val="2"/>
        </w:numPr>
        <w:spacing w:after="40" w:before="40"/>
      </w:pPr>
      <w:r>
        <w:rPr>
          <w:rFonts w:ascii="Calibri" w:cs="Calibri" w:eastAsia="Calibri" w:hAnsi="Calibri"/>
          <w:color w:val="1A1A1A"/>
          <w:sz w:val="19"/>
          <w:szCs w:val="19"/>
        </w:rPr>
        <w:t xml:space="preserve">Delivered executive Power BI dashboards for clinical, commercial, and HR analytics — achieving 40% improvement in dashboard query performance through incremental models, clustering, and materialisation strategy optimisation.</w:t>
      </w:r>
    </w:p>
    <w:p>
      <w:pPr>
        <w:pStyle w:val="ListParagraph"/>
        <w:numPr>
          <w:ilvl w:val="0"/>
          <w:numId w:val="2"/>
        </w:numPr>
        <w:spacing w:after="40" w:before="40"/>
      </w:pPr>
      <w:r>
        <w:rPr>
          <w:rFonts w:ascii="Calibri" w:cs="Calibri" w:eastAsia="Calibri" w:hAnsi="Calibri"/>
          <w:color w:val="1A1A1A"/>
          <w:sz w:val="19"/>
          <w:szCs w:val="19"/>
        </w:rPr>
        <w:t xml:space="preserve">Led and mentored a 24-member cross-functional team of data engineers, dbt developers, and Power BI analysts — instituting engineering standards, Agile Scrum ceremonies, and a quality-first culture.</w:t>
      </w:r>
    </w:p>
    <w:p>
      <w:pPr>
        <w:pStyle w:val="ListParagraph"/>
        <w:numPr>
          <w:ilvl w:val="0"/>
          <w:numId w:val="2"/>
        </w:numPr>
        <w:spacing w:after="40" w:before="40"/>
      </w:pPr>
      <w:r>
        <w:rPr>
          <w:rFonts w:ascii="Calibri" w:cs="Calibri" w:eastAsia="Calibri" w:hAnsi="Calibri"/>
          <w:color w:val="1A1A1A"/>
          <w:sz w:val="19"/>
          <w:szCs w:val="19"/>
        </w:rPr>
        <w:t xml:space="preserve">Integrated AI-assisted development tools (GitHub Copilot, Claude, Snowflake Cortex AI, ChatGPT) into daily engineering workflow — accelerating SQL development, documentation, and code quality across the team.</w:t>
      </w:r>
    </w:p>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r>
              <w:rPr>
                <w:rFonts w:ascii="Calibri" w:cs="Calibri" w:eastAsia="Calibri" w:hAnsi="Calibri"/>
                <w:b/>
                <w:bCs/>
                <w:color w:val="1F4E79"/>
                <w:sz w:val="22"/>
                <w:szCs w:val="22"/>
              </w:rPr>
              <w:t xml:space="preserve">Senior Business Analyst</w:t>
            </w:r>
          </w:p>
        </w:tc>
        <w:tc>
          <w:tcPr>
            <w:tcW w:type="dxa" w:w="3860"/>
            <w:tcBorders>
              <w:top w:val="none" w:color="FFFFFF" w:sz="0"/>
              <w:left w:val="none" w:color="FFFFFF" w:sz="0"/>
              <w:bottom w:val="none" w:color="FFFFFF" w:sz="0"/>
              <w:right w:val="none" w:color="FFFFFF" w:sz="0"/>
            </w:tcBorders>
          </w:tcPr>
          <w:p>
            <w:pPr>
              <w:jc w:val="right"/>
            </w:pPr>
            <w:r>
              <w:rPr>
                <w:rFonts w:ascii="Calibri" w:cs="Calibri" w:eastAsia="Calibri" w:hAnsi="Calibri"/>
                <w:color w:val="555555"/>
                <w:sz w:val="18"/>
                <w:szCs w:val="18"/>
              </w:rPr>
              <w:t xml:space="preserve">May 2020 – Jul 2021  |  Remote, India</w:t>
            </w:r>
          </w:p>
        </w:tc>
      </w:tr>
    </w:tbl>
    <w:p>
      <w:pPr>
        <w:spacing w:after="60" w:before="20"/>
      </w:pPr>
      <w:r>
        <w:rPr>
          <w:rFonts w:ascii="Calibri" w:cs="Calibri" w:eastAsia="Calibri" w:hAnsi="Calibri"/>
          <w:b/>
          <w:bCs/>
          <w:color w:val="1A1A1A"/>
          <w:sz w:val="20"/>
          <w:szCs w:val="20"/>
        </w:rPr>
        <w:t xml:space="preserve">Kyyba India Pvt Ltd</w:t>
      </w:r>
    </w:p>
    <w:p>
      <w:pPr>
        <w:pStyle w:val="ListParagraph"/>
        <w:numPr>
          <w:ilvl w:val="0"/>
          <w:numId w:val="2"/>
        </w:numPr>
        <w:spacing w:after="40" w:before="40"/>
      </w:pPr>
      <w:r>
        <w:rPr>
          <w:rFonts w:ascii="Calibri" w:cs="Calibri" w:eastAsia="Calibri" w:hAnsi="Calibri"/>
          <w:color w:val="1A1A1A"/>
          <w:sz w:val="19"/>
          <w:szCs w:val="19"/>
        </w:rPr>
        <w:t xml:space="preserve">Led requirements analysis, resolved data quality issues across reporting pipelines, and converted legacy HTML reports to Jasper Reports — improving reporting reliability and delivery speed for US healthcare clients.</w:t>
      </w:r>
    </w:p>
    <w:p>
      <w:pPr>
        <w:pStyle w:val="ListParagraph"/>
        <w:numPr>
          <w:ilvl w:val="0"/>
          <w:numId w:val="2"/>
        </w:numPr>
        <w:spacing w:after="40" w:before="40"/>
      </w:pPr>
      <w:r>
        <w:rPr>
          <w:rFonts w:ascii="Calibri" w:cs="Calibri" w:eastAsia="Calibri" w:hAnsi="Calibri"/>
          <w:color w:val="1A1A1A"/>
          <w:sz w:val="19"/>
          <w:szCs w:val="19"/>
        </w:rPr>
        <w:t xml:space="preserve">Designed UI/UX mockups in Adobe XD and collaborated with engineering teams to align data output with business reporting requirements across SDLC delivery cycles.</w:t>
      </w:r>
    </w:p>
    <w:p>
      <w:pPr>
        <w:spacing w:after="20" w:before="80"/>
      </w:pPr>
    </w:p>
    <w:p>
      <w:pPr>
        <w:spacing w:after="20" w:before="0"/>
      </w:pPr>
      <w:r>
        <w:rPr>
          <w:rFonts w:ascii="Calibri" w:cs="Calibri" w:eastAsia="Calibri" w:hAnsi="Calibri"/>
          <w:b/>
          <w:bCs/>
          <w:i/>
          <w:iCs/>
          <w:color w:val="555555"/>
          <w:sz w:val="19"/>
          <w:szCs w:val="19"/>
        </w:rPr>
        <w:t xml:space="preserve">Career Break — Marriage &amp; Maternity  |  Mar 2017 – May 2020</w:t>
      </w:r>
    </w:p>
    <w:p>
      <w:pPr>
        <w:spacing w:after="80" w:before="0"/>
      </w:pPr>
      <w:r>
        <w:rPr>
          <w:rFonts w:ascii="Calibri" w:cs="Calibri" w:eastAsia="Calibri" w:hAnsi="Calibri"/>
          <w:i/>
          <w:iCs/>
          <w:color w:val="555555"/>
          <w:sz w:val="18"/>
          <w:szCs w:val="18"/>
        </w:rPr>
        <w:t xml:space="preserve">Completed Master Certification in Data Science (Simplilearn, 2020) during this period.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r>
              <w:rPr>
                <w:rFonts w:ascii="Calibri" w:cs="Calibri" w:eastAsia="Calibri" w:hAnsi="Calibri"/>
                <w:b/>
                <w:bCs/>
                <w:color w:val="1F4E79"/>
                <w:sz w:val="22"/>
                <w:szCs w:val="22"/>
              </w:rPr>
              <w:t xml:space="preserve">Product Specialist — Healthcare Data</w:t>
            </w:r>
          </w:p>
        </w:tc>
        <w:tc>
          <w:tcPr>
            <w:tcW w:type="dxa" w:w="3860"/>
            <w:tcBorders>
              <w:top w:val="none" w:color="FFFFFF" w:sz="0"/>
              <w:left w:val="none" w:color="FFFFFF" w:sz="0"/>
              <w:bottom w:val="none" w:color="FFFFFF" w:sz="0"/>
              <w:right w:val="none" w:color="FFFFFF" w:sz="0"/>
            </w:tcBorders>
          </w:tcPr>
          <w:p>
            <w:pPr>
              <w:jc w:val="right"/>
            </w:pPr>
            <w:r>
              <w:rPr>
                <w:rFonts w:ascii="Calibri" w:cs="Calibri" w:eastAsia="Calibri" w:hAnsi="Calibri"/>
                <w:color w:val="555555"/>
                <w:sz w:val="18"/>
                <w:szCs w:val="18"/>
              </w:rPr>
              <w:t xml:space="preserve">Aug 2011 – Mar 2017  |  Chennai, India</w:t>
            </w:r>
          </w:p>
        </w:tc>
      </w:tr>
    </w:tbl>
    <w:p>
      <w:pPr>
        <w:spacing w:after="60" w:before="20"/>
      </w:pPr>
      <w:r>
        <w:rPr>
          <w:rFonts w:ascii="Calibri" w:cs="Calibri" w:eastAsia="Calibri" w:hAnsi="Calibri"/>
          <w:b/>
          <w:bCs/>
          <w:color w:val="1A1A1A"/>
          <w:sz w:val="20"/>
          <w:szCs w:val="20"/>
        </w:rPr>
        <w:t xml:space="preserve">Cognizant Technology Solutions</w:t>
      </w:r>
    </w:p>
    <w:p>
      <w:pPr>
        <w:pStyle w:val="ListParagraph"/>
        <w:numPr>
          <w:ilvl w:val="0"/>
          <w:numId w:val="2"/>
        </w:numPr>
        <w:spacing w:after="40" w:before="40"/>
      </w:pPr>
      <w:r>
        <w:rPr>
          <w:rFonts w:ascii="Calibri" w:cs="Calibri" w:eastAsia="Calibri" w:hAnsi="Calibri"/>
          <w:color w:val="1A1A1A"/>
          <w:sz w:val="19"/>
          <w:szCs w:val="19"/>
        </w:rPr>
        <w:t xml:space="preserve">Led design, build, and enhancement of healthcare payer data solutions across membership, claims, and benefits modules for multiple US clients — managing data defect resolution, delivery metrics, and operational efficiency.</w:t>
      </w:r>
    </w:p>
    <w:p>
      <w:pPr>
        <w:pStyle w:val="ListParagraph"/>
        <w:numPr>
          <w:ilvl w:val="0"/>
          <w:numId w:val="2"/>
        </w:numPr>
        <w:spacing w:after="40" w:before="40"/>
      </w:pPr>
      <w:r>
        <w:rPr>
          <w:rFonts w:ascii="Calibri" w:cs="Calibri" w:eastAsia="Calibri" w:hAnsi="Calibri"/>
          <w:color w:val="1A1A1A"/>
          <w:sz w:val="19"/>
          <w:szCs w:val="19"/>
        </w:rPr>
        <w:t xml:space="preserve">Earned Associate of the Quarter (Q4 2016) and consistent strong performer ratings — demonstrating delivery excellence and client satisfaction in a consulting delivery model.</w:t>
      </w:r>
    </w:p>
    <w:p>
      <w:pPr>
        <w:pBdr>
          <w:bottom w:val="single" w:color="1F4E79" w:sz="8" w:space="1"/>
        </w:pBdr>
        <w:spacing w:after="100" w:before="100"/>
      </w:pPr>
    </w:p>
    <w:p>
      <w:pPr>
        <w:spacing w:after="80" w:before="200"/>
      </w:pPr>
      <w:r>
        <w:rPr>
          <w:rFonts w:ascii="Calibri" w:cs="Calibri" w:eastAsia="Calibri" w:hAnsi="Calibri"/>
          <w:b/>
          <w:bCs/>
          <w:color w:val="1F4E79"/>
          <w:sz w:val="22"/>
          <w:szCs w:val="22"/>
        </w:rPr>
        <w:t xml:space="preserve">KEY DELIVERY OUTCOMES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50% faster delivery</w:t>
            </w:r>
          </w:p>
        </w:tc>
        <w:tc>
          <w:tcPr>
            <w:tcW w:type="dxa" w:w="65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Unified Snowflake star schema — multi-client/product architecture, zero rework per new client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40% dashboard perf gain</w:t>
            </w:r>
          </w:p>
        </w:tc>
        <w:tc>
          <w:tcPr>
            <w:tcW w:type="dxa" w:w="65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Redesigned Power BI dashboards — optimised materialisation, clustering, and query strategies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70% defect reduction</w:t>
            </w:r>
          </w:p>
        </w:tc>
        <w:tc>
          <w:tcPr>
            <w:tcW w:type="dxa" w:w="65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Quarterly defect root cause reviews + code review checklists — preventive action framework</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30% effort reduction</w:t>
            </w:r>
          </w:p>
        </w:tc>
        <w:tc>
          <w:tcPr>
            <w:tcW w:type="dxa" w:w="65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Pre-development clarity sessions — eliminated assumption-driven rework before build started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Zero mock-data rework</w:t>
            </w:r>
          </w:p>
        </w:tc>
        <w:tc>
          <w:tcPr>
            <w:tcW w:type="dxa" w:w="65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Streamlit + Cortex AI real-data prototyping — stakeholder validation before production build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Pr>
          <w:p>
            <w:pPr>
              <w:spacing w:after="30" w:before="30"/>
            </w:pPr>
            <w:r>
              <w:rPr>
                <w:rFonts w:ascii="Calibri" w:cs="Calibri" w:eastAsia="Calibri" w:hAnsi="Calibri"/>
                <w:b/>
                <w:bCs/>
                <w:color w:val="1F4E79"/>
                <w:sz w:val="19"/>
                <w:szCs w:val="19"/>
              </w:rPr>
              <w:t xml:space="preserve">Configurable KPI layer</w:t>
            </w:r>
          </w:p>
        </w:tc>
        <w:tc>
          <w:tcPr>
            <w:tcW w:type="dxa" w:w="6560"/>
            <w:tcBorders>
              <w:top w:val="none" w:color="FFFFFF" w:sz="0"/>
              <w:left w:val="none" w:color="FFFFFF" w:sz="0"/>
              <w:bottom w:val="none" w:color="FFFFFF" w:sz="0"/>
              <w:right w:val="none" w:color="FFFFFF" w:sz="0"/>
            </w:tcBorders>
          </w:tcPr>
          <w:p>
            <w:pPr>
              <w:spacing w:after="30" w:before="30"/>
            </w:pPr>
            <w:r>
              <w:rPr>
                <w:rFonts w:ascii="Calibri" w:cs="Calibri" w:eastAsia="Calibri" w:hAnsi="Calibri"/>
                <w:color w:val="1A1A1A"/>
                <w:sz w:val="19"/>
                <w:szCs w:val="19"/>
              </w:rPr>
              <w:t xml:space="preserve">Table-driven KPI logic in dbt — any client requirement met via config, no code deployment</w:t>
            </w:r>
          </w:p>
        </w:tc>
      </w:tr>
    </w:tbl>
    <w:p>
      <w:pPr>
        <w:pBdr>
          <w:bottom w:val="single" w:color="1F4E79" w:sz="8" w:space="1"/>
        </w:pBdr>
        <w:spacing w:after="100" w:before="100"/>
      </w:pPr>
    </w:p>
    <w:p>
      <w:pPr>
        <w:spacing w:after="80" w:before="200"/>
      </w:pPr>
      <w:r>
        <w:rPr>
          <w:rFonts w:ascii="Calibri" w:cs="Calibri" w:eastAsia="Calibri" w:hAnsi="Calibri"/>
          <w:b/>
          <w:bCs/>
          <w:color w:val="1F4E79"/>
          <w:sz w:val="22"/>
          <w:szCs w:val="22"/>
        </w:rPr>
        <w:t xml:space="preserve">CERTIFICATIONS &amp; 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20" w:before="30"/>
            </w:pPr>
            <w:r>
              <w:rPr>
                <w:rFonts w:ascii="Calibri" w:cs="Calibri" w:eastAsia="Calibri" w:hAnsi="Calibri"/>
                <w:b/>
                <w:bCs/>
                <w:color w:val="1A1A1A"/>
                <w:sz w:val="19"/>
                <w:szCs w:val="19"/>
              </w:rPr>
              <w:t xml:space="preserve">Oracle Certified SQL Expert (OCA)</w:t>
            </w:r>
          </w:p>
          <w:p>
            <w:pPr>
              <w:spacing w:after="30" w:before="0"/>
            </w:pPr>
            <w:r>
              <w:rPr>
                <w:rFonts w:ascii="Calibri" w:cs="Calibri" w:eastAsia="Calibri" w:hAnsi="Calibri"/>
                <w:color w:val="555555"/>
                <w:sz w:val="18"/>
                <w:szCs w:val="18"/>
              </w:rPr>
              <w:t xml:space="preserve">Oracle · 2014</w:t>
            </w:r>
          </w:p>
          <w:p>
            <w:pPr>
              <w:spacing w:after="20" w:before="30"/>
            </w:pPr>
            <w:r>
              <w:rPr>
                <w:rFonts w:ascii="Calibri" w:cs="Calibri" w:eastAsia="Calibri" w:hAnsi="Calibri"/>
                <w:b/>
                <w:bCs/>
                <w:color w:val="1A1A1A"/>
                <w:sz w:val="19"/>
                <w:szCs w:val="19"/>
              </w:rPr>
              <w:t xml:space="preserve">Master Certification in Data Science</w:t>
            </w:r>
          </w:p>
          <w:p>
            <w:pPr>
              <w:spacing w:after="30" w:before="0"/>
            </w:pPr>
            <w:r>
              <w:rPr>
                <w:rFonts w:ascii="Calibri" w:cs="Calibri" w:eastAsia="Calibri" w:hAnsi="Calibri"/>
                <w:color w:val="555555"/>
                <w:sz w:val="18"/>
                <w:szCs w:val="18"/>
              </w:rPr>
              <w:t xml:space="preserve">Simplilearn · 2020</w:t>
            </w:r>
          </w:p>
          <w:p>
            <w:pPr>
              <w:spacing w:after="20" w:before="30"/>
            </w:pPr>
            <w:r>
              <w:rPr>
                <w:rFonts w:ascii="Calibri" w:cs="Calibri" w:eastAsia="Calibri" w:hAnsi="Calibri"/>
                <w:b/>
                <w:bCs/>
                <w:color w:val="1A1A1A"/>
                <w:sz w:val="19"/>
                <w:szCs w:val="19"/>
              </w:rPr>
              <w:t xml:space="preserve">AHM 250 — Introduction to Healthcare (AHIP)</w:t>
            </w:r>
          </w:p>
          <w:p>
            <w:pPr>
              <w:spacing w:after="30" w:before="0"/>
            </w:pPr>
            <w:r>
              <w:rPr>
                <w:rFonts w:ascii="Calibri" w:cs="Calibri" w:eastAsia="Calibri" w:hAnsi="Calibri"/>
                <w:color w:val="555555"/>
                <w:sz w:val="18"/>
                <w:szCs w:val="18"/>
              </w:rPr>
              <w:t xml:space="preserve">AHIP · 2012</w:t>
            </w:r>
          </w:p>
        </w:tc>
        <w:tc>
          <w:tcPr>
            <w:tcW w:type="dxa" w:w="4680"/>
            <w:tcBorders>
              <w:top w:val="none" w:color="FFFFFF" w:sz="0"/>
              <w:left w:val="none" w:color="FFFFFF" w:sz="0"/>
              <w:bottom w:val="none" w:color="FFFFFF" w:sz="0"/>
              <w:right w:val="none" w:color="FFFFFF" w:sz="0"/>
            </w:tcBorders>
          </w:tcPr>
          <w:p>
            <w:pPr>
              <w:spacing w:after="20" w:before="30"/>
            </w:pPr>
            <w:r>
              <w:rPr>
                <w:rFonts w:ascii="Calibri" w:cs="Calibri" w:eastAsia="Calibri" w:hAnsi="Calibri"/>
                <w:b/>
                <w:bCs/>
                <w:color w:val="1A1A1A"/>
                <w:sz w:val="19"/>
                <w:szCs w:val="19"/>
              </w:rPr>
              <w:t xml:space="preserve">B.E. — Electronics &amp; Communication Engineering</w:t>
            </w:r>
          </w:p>
          <w:p>
            <w:pPr>
              <w:spacing w:after="30" w:before="0"/>
            </w:pPr>
            <w:r>
              <w:rPr>
                <w:rFonts w:ascii="Calibri" w:cs="Calibri" w:eastAsia="Calibri" w:hAnsi="Calibri"/>
                <w:color w:val="555555"/>
                <w:sz w:val="18"/>
                <w:szCs w:val="18"/>
              </w:rPr>
              <w:t xml:space="preserve">Anna University · 2011 · 80% — Top 10 percentile</w:t>
            </w:r>
          </w:p>
          <w:p>
            <w:pPr>
              <w:spacing w:after="20" w:before="30"/>
            </w:pPr>
            <w:r>
              <w:rPr>
                <w:rFonts w:ascii="Calibri" w:cs="Calibri" w:eastAsia="Calibri" w:hAnsi="Calibri"/>
                <w:b/>
                <w:bCs/>
                <w:color w:val="1F4E79"/>
                <w:sz w:val="19"/>
                <w:szCs w:val="19"/>
              </w:rPr>
              <w:t xml:space="preserve">Awards &amp; Recognition</w:t>
            </w:r>
          </w:p>
          <w:p>
            <w:pPr>
              <w:spacing w:after="20" w:before="0"/>
            </w:pPr>
            <w:r>
              <w:rPr>
                <w:rFonts w:ascii="Calibri" w:cs="Calibri" w:eastAsia="Calibri" w:hAnsi="Calibri"/>
                <w:color w:val="1A1A1A"/>
                <w:sz w:val="18"/>
                <w:szCs w:val="18"/>
              </w:rPr>
              <w:t xml:space="preserve">★  Exceptional Performer — Syneos Health (latest cycle)</w:t>
            </w:r>
          </w:p>
          <w:p>
            <w:pPr>
              <w:spacing w:after="20" w:before="0"/>
            </w:pPr>
            <w:r>
              <w:rPr>
                <w:rFonts w:ascii="Calibri" w:cs="Calibri" w:eastAsia="Calibri" w:hAnsi="Calibri"/>
                <w:color w:val="1A1A1A"/>
                <w:sz w:val="18"/>
                <w:szCs w:val="18"/>
              </w:rPr>
              <w:t xml:space="preserve">★  Best BI Visualization Idea — Cash prize recognition</w:t>
            </w:r>
          </w:p>
          <w:p>
            <w:pPr>
              <w:spacing w:after="20" w:before="0"/>
            </w:pPr>
            <w:r>
              <w:rPr>
                <w:rFonts w:ascii="Calibri" w:cs="Calibri" w:eastAsia="Calibri" w:hAnsi="Calibri"/>
                <w:color w:val="1A1A1A"/>
                <w:sz w:val="18"/>
                <w:szCs w:val="18"/>
              </w:rPr>
              <w:t xml:space="preserve">★  Associate of the Quarter Q4 2016 — Cognizant</w:t>
            </w:r>
          </w:p>
        </w:tc>
      </w:tr>
    </w:tbl>
    <w:p>
      <w:pPr>
        <w:pBdr>
          <w:bottom w:val="single" w:color="1F4E79" w:sz="8" w:space="1"/>
        </w:pBdr>
        <w:spacing w:after="100" w:before="100"/>
      </w:pPr>
    </w:p>
    <w:p>
      <w:pPr>
        <w:spacing w:after="80" w:before="200"/>
      </w:pPr>
      <w:r>
        <w:rPr>
          <w:rFonts w:ascii="Calibri" w:cs="Calibri" w:eastAsia="Calibri" w:hAnsi="Calibri"/>
          <w:b/>
          <w:bCs/>
          <w:color w:val="1F4E79"/>
          <w:sz w:val="22"/>
          <w:szCs w:val="22"/>
        </w:rPr>
        <w:t xml:space="preserve">CURRENTLY EXPLORING</w:t>
      </w:r>
    </w:p>
    <w:p>
      <w:pPr>
        <w:spacing w:after="80" w:before="0"/>
      </w:pPr>
      <w:r>
        <w:rPr>
          <w:rFonts w:ascii="Calibri" w:cs="Calibri" w:eastAsia="Calibri" w:hAnsi="Calibri"/>
          <w:color w:val="1A1A1A"/>
          <w:sz w:val="19"/>
          <w:szCs w:val="19"/>
        </w:rPr>
        <w:t xml:space="preserve">Analytics Lead, Principal Data Engineer, and Head of Data &amp; AI roles — fully remote, EST timezone overlap available. Actively exploring agentic AI workflows, RAG-based analytics patterns, and GenAI integration within Snowflake and Databricks ecosystems.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2026-07-20T06:09:55.938Z</dcterms:created>
  <dcterms:modified xsi:type="dcterms:W3CDTF">2026-07-20T06:09:55.958Z</dcterms:modified>
</cp:coreProperties>
</file>

<file path=docProps/custom.xml><?xml version="1.0" encoding="utf-8"?>
<Properties xmlns="http://schemas.openxmlformats.org/officeDocument/2006/custom-properties" xmlns:vt="http://schemas.openxmlformats.org/officeDocument/2006/docPropsVTypes"/>
</file>