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Open Sans" w:cs="Open Sans" w:eastAsia="Open Sans" w:hAnsi="Open Sans"/>
          <w:b/>
          <w:bCs/>
          <w:color w:val="01696F"/>
          <w:sz w:val="32"/>
          <w:szCs w:val="32"/>
        </w:rPr>
        <w:t xml:space="preserve">Manager guidance — impairment at work</w:t>
      </w:r>
    </w:p>
    <w:p>
      <w:pPr>
        <w:spacing w:after="120" w:line="28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Who this is for.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Anyone at ⟨organisation⟩ who supervises other people. It supports sections 5, 9 and 10 of the drug and alcohol policy — if this guidance and the policy ever appear to differ, the policy applies.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1. Your role — and its limits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You are not expected to diagnose anything, prove anything or run an investigation. Your role has exactly three parts: notice, act on safety, and escalate. Everything else — testing, medical review, disciplinary decisions — belongs to other people under the policy.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2. Noticing possible impairment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Signs that may indicate impairment include: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smell of alcohol; slurred or unusually slow speech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unsteadiness, poor coordination, drowsiness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unusually erratic, aggressive or withdrawn behaviour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glazed or bloodshot eyes, unusually large or small pupils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a marked change in work quality, timekeeping or judgement</w:t>
      </w:r>
    </w:p>
    <w:p>
      <w:pPr>
        <w:spacing w:after="60"/>
      </w:pP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None of these is proof. Every one of them has innocent explanations — medication, fatigue, illness, diabetes, stress, a neurological condition. That is exactly why the policy uses testing and medical review rather than a manager’s opinion. Your observation starts the process; it never concludes it.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3. Act on safety first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If you reasonably believe someone may be unfit for duty: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Remove them from the work calmly and without public discussion — especially from safety-critical duties such as ⟨safety-critical list⟩, and from any driving or equipment operation.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“safety-critical duties such as ⟨safety-critical list⟩” is shown only when safety-critical categories are selected; otherwise the step reads “especially from any driving or equipment operation”.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Do not let them drive. If they are stood down, ⟨organisation⟩ helps arrange safe transport home — this is a duty of care, not a punishment, and the policy says so.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Treat the stand-down as precautionary and say so: “I need you to stop work while we sort this out” — not “you’re in trouble”.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4. Holding the conversation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Do it privately, with a second manager or HR present where possible. Keep it short and factual.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Describe, don’t accuse.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“I’ve noticed X and Y this morning” — not “you’ve been drinking”.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Ask an open question.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“Is there anything going on that I should know about — anything affecting you at work?”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Listen for the two answers that change everything: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a medication declaration (handled under section 7 of the policy — confidential, no condition disclosed) and a voluntary disclosure of a problem (which the policy treats as a health matter, met with support).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“(which the policy treats as a health matter, met with support)” is shown only when the policy stance is support first.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Do not promise outcomes.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Not “it’ll be fine”, not “this means dismissal”. The process decides outcomes, not you.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Write down what you observed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factually, at the time, in your own words. Behaviour, times, words used. Your contemporaneous note is what protects both of you later.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Section 5 is shown only when the selected testing types include for cause: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5. Arranging a for-cause test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A for-cause test may be arranged where there is a reasonable belief, based on observed behaviour, appearance or other evidence, that someone may be under the influence.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Record the grounds first.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Before any test is arranged, write down what was observed, by whom and when. A test arranged without recorded grounds is the single most common way workplace testing fails.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Get a second opinion where practicable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another manager or HR confirming the observation strengthens the grounds and removes any suggestion of one person’s grudge.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Contact ⟨provider⟩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on ⟨provider contact number⟩ to arrange collection. Tell the individual a test is being arranged and why, in the terms recorded.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The contact number is shown only when the provider is NIVHA Laboratory Services, and renders as 02890 737942.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The individual will be told, before deciding, how a refusal is treated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that is the collector’s script, but do not contradict it. Never suggest refusing “won’t matter”.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Do not collect anything yourself.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No sniffing drinks bottles, no searching bags, no photographs, no improvised breathalysers. Collection is done under chain of custody by trained collectors, or the result is worthless.</w:t>
      </w:r>
    </w:p>
    <w:p>
      <w:pPr>
        <w:spacing w:after="60"/>
      </w:pP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While the result is pending, the person remains stood down on full pay. A screening result that is not negative (“non-negative”) is not a positive — it goes to the laboratory for confirmation and medical review. Do not treat it, or describe it, as a fail.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6. What never to do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diagnose (“he’s clearly an alcoholic”) — in writing or otherwise.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discuss one person’s situation with colleagues, or confirm a test happened.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search a person, their bag or vehicle — possession concerns go to ⟨policy owner⟩.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delay a safety decision to be kind. Removing someone from duty protects them too.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handle a medication disclosure as gossip — it is special category data under section 12 of the policy.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7. Afterwards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Whatever the outcome — negative result, confirmed violation, or support plan — the person returns to a normal working relationship. Where a return-to-work plan includes monitoring testing, that plan is agreed and confidential; your role is only to support the agreed adjustments. If you are unsure about anything under this guidance, ask ⟨policy owner⟩ before acting rather than after.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The sentence beginning “Where a return-to-work plan includes monitoring testing” is shown only when the selected testing types include return to work and monitoring.</w:t>
      </w:r>
    </w:p>
    <w:p>
      <w:pPr>
        <w:spacing w:after="60" w:before="200" w:line="260"/>
      </w:pPr>
      <w:r>
        <w:rPr>
          <w:rFonts w:ascii="Open Sans" w:cs="Open Sans" w:eastAsia="Open Sans" w:hAnsi="Open Sans"/>
          <w:i/>
          <w:iCs/>
          <w:color w:val="7A7974"/>
          <w:sz w:val="18"/>
          <w:szCs w:val="18"/>
        </w:rPr>
        <w:t xml:space="preserve">Supports the ⟨organisation⟩ drug and alcohol policy, version ⟨version⟩, ⟨date⟩. Not legal advice. Prepared with NIVHA Laboratory Services.</w:t>
      </w:r>
    </w:p>
    <w:sectPr>
      <w:headerReference w:type="default" r:id="rId7"/>
      <w:footerReference w:type="default" r:id="rId8"/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color w:val="7A7974"/>
        <w:sz w:val="14"/>
        <w:szCs w:val="14"/>
      </w:rPr>
      <w:t xml:space="preserve">v1.1 — issued 1 September 2026 · prepared with NIVHA Laboratory Services · a template for the organisation to review and adopt — not legal advice.</w:t>
    </w:r>
  </w:p>
  <w:p>
    <w:pPr>
      <w:jc w:val="center"/>
    </w:pPr>
    <w:r>
      <w:rPr>
        <w:rFonts w:ascii="Open Sans" w:cs="Open Sans" w:eastAsia="Open Sans" w:hAnsi="Open Sans"/>
        <w:color w:val="7A7974"/>
        <w:sz w:val="14"/>
        <w:szCs w:val="14"/>
      </w:rPr>
      <w:t xml:space="preserve">Page </w:t>
    </w:r>
    <w:r>
      <w:rPr>
        <w:rFonts w:ascii="Open Sans" w:cs="Open Sans" w:eastAsia="Open Sans" w:hAnsi="Open Sans"/>
        <w:color w:val="7A7974"/>
        <w:sz w:val="14"/>
        <w:szCs w:val="14"/>
      </w:rPr>
      <w:fldChar w:fldCharType="begin"/>
    </w:r>
    <w:r>
      <w:rPr>
        <w:rFonts w:ascii="Open Sans" w:cs="Open Sans" w:eastAsia="Open Sans" w:hAnsi="Open Sans"/>
        <w:color w:val="63686C"/>
        <w:sz w:val="14"/>
        <w:szCs w:val="14"/>
      </w:rPr>
      <w:instrText xml:space="preserve"> PAGE </w:instrText>
    </w:r>
    <w:r>
      <w:rPr>
        <w:rFonts w:ascii="Open Sans" w:cs="Open Sans" w:eastAsia="Open Sans" w:hAnsi="Open Sans"/>
        <w:color w:val="63686C"/>
        <w:sz w:val="14"/>
        <w:szCs w:val="14"/>
      </w:rPr>
      <w:fldChar w:fldCharType="separate"/>
    </w:r>
    <w:r>
      <w:rPr>
        <w:rFonts w:ascii="Open Sans" w:cs="Open Sans" w:eastAsia="Open Sans" w:hAnsi="Open Sans"/>
        <w:color w:val="63686C"/>
        <w:sz w:val="14"/>
        <w:szCs w:val="14"/>
      </w:rPr>
      <w:t>1</w:t>
    </w:r>
    <w:r>
      <w:rPr>
        <w:rFonts w:ascii="Open Sans" w:cs="Open Sans" w:eastAsia="Open Sans" w:hAnsi="Open Sans"/>
        <w:color w:val="63686C"/>
        <w:sz w:val="14"/>
        <w:szCs w:val="14"/>
      </w:rPr>
      <w:fldChar w:fldCharType="end"/>
    </w:r>
    <w:r>
      <w:rPr>
        <w:rFonts w:ascii="Open Sans" w:cs="Open Sans" w:eastAsia="Open Sans" w:hAnsi="Open Sans"/>
        <w:color w:val="7A7974"/>
        <w:sz w:val="14"/>
        <w:szCs w:val="14"/>
      </w:rPr>
      <w:t xml:space="preserve"> of </w:t>
    </w:r>
    <w:r>
      <w:rPr>
        <w:rFonts w:ascii="Open Sans" w:cs="Open Sans" w:eastAsia="Open Sans" w:hAnsi="Open Sans"/>
        <w:color w:val="7A7974"/>
        <w:sz w:val="14"/>
        <w:szCs w:val="14"/>
      </w:rPr>
      <w:fldChar w:fldCharType="begin"/>
    </w:r>
    <w:r>
      <w:rPr>
        <w:rFonts w:ascii="Open Sans" w:cs="Open Sans" w:eastAsia="Open Sans" w:hAnsi="Open Sans"/>
        <w:color w:val="63686C"/>
        <w:sz w:val="14"/>
        <w:szCs w:val="14"/>
      </w:rPr>
      <w:instrText xml:space="preserve"> NUMPAGES </w:instrText>
    </w:r>
    <w:r>
      <w:rPr>
        <w:rFonts w:ascii="Open Sans" w:cs="Open Sans" w:eastAsia="Open Sans" w:hAnsi="Open Sans"/>
        <w:color w:val="63686C"/>
        <w:sz w:val="14"/>
        <w:szCs w:val="14"/>
      </w:rPr>
      <w:fldChar w:fldCharType="separate"/>
    </w:r>
    <w:r>
      <w:rPr>
        <w:rFonts w:ascii="Open Sans" w:cs="Open Sans" w:eastAsia="Open Sans" w:hAnsi="Open Sans"/>
        <w:color w:val="63686C"/>
        <w:sz w:val="14"/>
        <w:szCs w:val="14"/>
      </w:rPr>
      <w:t>1</w:t>
    </w:r>
    <w:r>
      <w:rPr>
        <w:rFonts w:ascii="Open Sans" w:cs="Open Sans" w:eastAsia="Open Sans" w:hAnsi="Open Sans"/>
        <w:color w:val="63686C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pen Sans" w:cs="Open Sans" w:eastAsia="Open Sans" w:hAnsi="Open Sans"/>
        <w:color w:val="7A7974"/>
        <w:sz w:val="15"/>
        <w:szCs w:val="15"/>
      </w:rPr>
      <w:t xml:space="preserve">Manager guidance — ⟨organisation⟩ drug and alcohol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12B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Open Sans" w:cs="Open Sans" w:eastAsia="Open Sans" w:hAnsi="Open Sans"/>
      <w:b/>
      <w:bCs/>
      <w:color w:val="2825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Open Sans" w:cs="Open Sans" w:eastAsia="Open Sans" w:hAnsi="Open Sans"/>
      <w:b/>
      <w:bCs/>
      <w:color w:val="2825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2026-08-04T13:58:55.326Z</dcterms:created>
  <dcterms:modified xsi:type="dcterms:W3CDTF">2026-08-04T13:58:55.326Z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